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ED75E5C">
      <w:pPr>
        <w:rPr>
          <w:rFonts w:hint="default" w:ascii="Times New Roman" w:hAnsi="Times New Roman" w:eastAsia="仿宋_GB2312" w:cs="Times New Roman"/>
          <w:color w:val="auto"/>
          <w:sz w:val="36"/>
          <w:szCs w:val="36"/>
          <w:highlight w:val="none"/>
          <w:lang w:val="en-US" w:eastAsia="zh-CN"/>
        </w:rPr>
      </w:pPr>
      <w:bookmarkStart w:id="102" w:name="_GoBack"/>
      <w:bookmarkEnd w:id="102"/>
    </w:p>
    <w:p w14:paraId="00EAF6EE">
      <w:pPr>
        <w:rPr>
          <w:rFonts w:hint="default" w:ascii="Times New Roman" w:hAnsi="Times New Roman" w:eastAsia="仿宋_GB2312" w:cs="Times New Roman"/>
          <w:color w:val="auto"/>
          <w:sz w:val="36"/>
          <w:szCs w:val="36"/>
          <w:highlight w:val="none"/>
        </w:rPr>
      </w:pPr>
    </w:p>
    <w:p w14:paraId="3A32757D">
      <w:pPr>
        <w:rPr>
          <w:rFonts w:hint="default" w:ascii="Times New Roman" w:hAnsi="Times New Roman" w:eastAsia="仿宋_GB2312" w:cs="Times New Roman"/>
          <w:color w:val="auto"/>
          <w:sz w:val="36"/>
          <w:szCs w:val="36"/>
          <w:highlight w:val="none"/>
        </w:rPr>
      </w:pPr>
    </w:p>
    <w:p w14:paraId="0B77BF09">
      <w:pPr>
        <w:rPr>
          <w:rFonts w:hint="eastAsia" w:ascii="宋体" w:hAnsi="宋体" w:eastAsia="宋体" w:cs="宋体"/>
          <w:color w:val="auto"/>
          <w:sz w:val="36"/>
          <w:szCs w:val="36"/>
          <w:highlight w:val="none"/>
        </w:rPr>
      </w:pPr>
    </w:p>
    <w:p w14:paraId="4ED1D276">
      <w:pPr>
        <w:rPr>
          <w:rFonts w:hint="eastAsia" w:ascii="宋体" w:hAnsi="宋体" w:eastAsia="宋体" w:cs="宋体"/>
          <w:color w:val="auto"/>
          <w:sz w:val="36"/>
          <w:szCs w:val="36"/>
          <w:highlight w:val="none"/>
        </w:rPr>
      </w:pPr>
    </w:p>
    <w:p w14:paraId="67E46258">
      <w:pPr>
        <w:adjustRightInd w:val="0"/>
        <w:snapToGrid w:val="0"/>
        <w:jc w:val="center"/>
        <w:outlineLvl w:val="0"/>
        <w:rPr>
          <w:rFonts w:hint="eastAsia" w:ascii="宋体" w:hAnsi="宋体" w:eastAsia="宋体" w:cs="宋体"/>
          <w:bCs/>
          <w:color w:val="auto"/>
          <w:sz w:val="72"/>
          <w:szCs w:val="72"/>
          <w:highlight w:val="none"/>
        </w:rPr>
      </w:pPr>
      <w:bookmarkStart w:id="0" w:name="_Toc1041"/>
      <w:bookmarkStart w:id="1" w:name="_Toc13958"/>
      <w:bookmarkStart w:id="2" w:name="_Toc20566"/>
      <w:bookmarkStart w:id="3" w:name="_Toc8828"/>
      <w:bookmarkStart w:id="4" w:name="_Toc24661"/>
      <w:bookmarkStart w:id="5" w:name="_Toc845"/>
      <w:bookmarkStart w:id="6" w:name="_Toc80034800"/>
      <w:bookmarkStart w:id="7" w:name="_Toc18176"/>
      <w:bookmarkStart w:id="8" w:name="_Toc17705"/>
      <w:bookmarkStart w:id="9" w:name="_Toc15511"/>
      <w:r>
        <w:rPr>
          <w:rFonts w:hint="eastAsia" w:ascii="宋体" w:hAnsi="宋体" w:eastAsia="宋体" w:cs="宋体"/>
          <w:bCs/>
          <w:color w:val="auto"/>
          <w:sz w:val="72"/>
          <w:szCs w:val="72"/>
          <w:highlight w:val="none"/>
        </w:rPr>
        <w:t>建设项目环境影响报告表</w:t>
      </w:r>
      <w:bookmarkEnd w:id="0"/>
      <w:bookmarkEnd w:id="1"/>
      <w:bookmarkEnd w:id="2"/>
      <w:bookmarkEnd w:id="3"/>
      <w:bookmarkEnd w:id="4"/>
      <w:bookmarkEnd w:id="5"/>
      <w:bookmarkEnd w:id="6"/>
      <w:bookmarkEnd w:id="7"/>
      <w:bookmarkEnd w:id="8"/>
      <w:bookmarkEnd w:id="9"/>
    </w:p>
    <w:p w14:paraId="78B4FE95">
      <w:pPr>
        <w:adjustRightInd w:val="0"/>
        <w:snapToGrid w:val="0"/>
        <w:spacing w:before="192" w:beforeLines="80"/>
        <w:jc w:val="center"/>
        <w:rPr>
          <w:rFonts w:hint="eastAsia" w:ascii="宋体" w:hAnsi="宋体" w:eastAsia="宋体" w:cs="宋体"/>
          <w:bCs/>
          <w:color w:val="auto"/>
          <w:sz w:val="48"/>
          <w:szCs w:val="48"/>
          <w:highlight w:val="none"/>
        </w:rPr>
      </w:pPr>
      <w:r>
        <w:rPr>
          <w:rFonts w:hint="eastAsia" w:ascii="宋体" w:hAnsi="宋体" w:eastAsia="宋体" w:cs="宋体"/>
          <w:bCs/>
          <w:color w:val="auto"/>
          <w:sz w:val="48"/>
          <w:szCs w:val="48"/>
          <w:highlight w:val="none"/>
        </w:rPr>
        <w:t>（污染影响类）</w:t>
      </w:r>
    </w:p>
    <w:p w14:paraId="7A7A1BED">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1975AC30">
      <w:pPr>
        <w:rPr>
          <w:rFonts w:hint="default" w:ascii="Times New Roman" w:hAnsi="Times New Roman" w:cs="Times New Roman"/>
          <w:color w:val="auto"/>
          <w:highlight w:val="none"/>
        </w:rPr>
      </w:pPr>
    </w:p>
    <w:p w14:paraId="262A6AB1">
      <w:pPr>
        <w:jc w:val="center"/>
        <w:rPr>
          <w:rFonts w:hint="default" w:ascii="Times New Roman" w:hAnsi="Times New Roman" w:eastAsia="仿宋" w:cs="Times New Roman"/>
          <w:color w:val="auto"/>
          <w:sz w:val="52"/>
          <w:szCs w:val="52"/>
          <w:highlight w:val="none"/>
        </w:rPr>
      </w:pPr>
    </w:p>
    <w:p w14:paraId="6D7728F6">
      <w:pPr>
        <w:ind w:firstLine="1040"/>
        <w:rPr>
          <w:rFonts w:hint="default" w:ascii="Times New Roman" w:hAnsi="Times New Roman" w:eastAsia="仿宋" w:cs="Times New Roman"/>
          <w:color w:val="auto"/>
          <w:sz w:val="44"/>
          <w:szCs w:val="44"/>
          <w:highlight w:val="none"/>
        </w:rPr>
      </w:pPr>
    </w:p>
    <w:p w14:paraId="32825941">
      <w:pPr>
        <w:ind w:firstLine="1040"/>
        <w:rPr>
          <w:rFonts w:hint="default" w:ascii="Times New Roman" w:hAnsi="Times New Roman" w:eastAsia="仿宋" w:cs="Times New Roman"/>
          <w:color w:val="auto"/>
          <w:sz w:val="44"/>
          <w:szCs w:val="44"/>
          <w:highlight w:val="none"/>
        </w:rPr>
      </w:pPr>
    </w:p>
    <w:p w14:paraId="1A500674">
      <w:pPr>
        <w:ind w:firstLine="1040"/>
        <w:rPr>
          <w:rFonts w:hint="default" w:ascii="Times New Roman" w:hAnsi="Times New Roman" w:eastAsia="仿宋" w:cs="Times New Roman"/>
          <w:color w:val="auto"/>
          <w:sz w:val="44"/>
          <w:szCs w:val="44"/>
          <w:highlight w:val="none"/>
        </w:rPr>
      </w:pPr>
    </w:p>
    <w:p w14:paraId="7E9A0C94">
      <w:pPr>
        <w:ind w:firstLine="1040"/>
        <w:rPr>
          <w:rFonts w:hint="default" w:ascii="Times New Roman" w:hAnsi="Times New Roman" w:eastAsia="仿宋" w:cs="Times New Roman"/>
          <w:color w:val="auto"/>
          <w:sz w:val="44"/>
          <w:szCs w:val="44"/>
          <w:highlight w:val="none"/>
        </w:rPr>
      </w:pPr>
    </w:p>
    <w:p w14:paraId="4183F9D7">
      <w:pPr>
        <w:adjustRightInd w:val="0"/>
        <w:snapToGrid w:val="0"/>
        <w:spacing w:line="560" w:lineRule="exact"/>
        <w:ind w:left="2230" w:leftChars="300" w:hanging="1600" w:hangingChars="500"/>
        <w:rPr>
          <w:rFonts w:hint="default" w:ascii="Times New Roman" w:hAnsi="Times New Roman" w:cs="Times New Roman"/>
          <w:color w:val="auto"/>
          <w:sz w:val="32"/>
          <w:szCs w:val="32"/>
          <w:highlight w:val="none"/>
          <w:u w:val="single"/>
          <w:lang w:val="en-US"/>
        </w:rPr>
      </w:pPr>
      <w:r>
        <w:rPr>
          <w:rFonts w:hint="default" w:ascii="Times New Roman" w:hAnsi="Times New Roman" w:cs="Times New Roman"/>
          <w:color w:val="auto"/>
          <w:sz w:val="32"/>
          <w:szCs w:val="32"/>
          <w:highlight w:val="none"/>
        </w:rPr>
        <w:t>项目名称：</w:t>
      </w:r>
      <w:r>
        <w:rPr>
          <w:rFonts w:hint="eastAsia" w:cs="Times New Roman"/>
          <w:color w:val="auto"/>
          <w:sz w:val="32"/>
          <w:szCs w:val="32"/>
          <w:highlight w:val="none"/>
          <w:u w:val="single"/>
          <w:lang w:eastAsia="zh-CN"/>
        </w:rPr>
        <w:t>鸡西市盛熙煤炭销售有限</w:t>
      </w:r>
      <w:r>
        <w:rPr>
          <w:rFonts w:hint="eastAsia" w:cs="Times New Roman"/>
          <w:color w:val="auto"/>
          <w:sz w:val="32"/>
          <w:szCs w:val="32"/>
          <w:highlight w:val="none"/>
          <w:u w:val="single"/>
          <w:lang w:val="en-US" w:eastAsia="zh-CN"/>
        </w:rPr>
        <w:t>责任</w:t>
      </w:r>
      <w:r>
        <w:rPr>
          <w:rFonts w:hint="eastAsia" w:cs="Times New Roman"/>
          <w:color w:val="auto"/>
          <w:sz w:val="32"/>
          <w:szCs w:val="32"/>
          <w:highlight w:val="none"/>
          <w:u w:val="single"/>
          <w:lang w:eastAsia="zh-CN"/>
        </w:rPr>
        <w:t>公司</w:t>
      </w:r>
      <w:r>
        <w:rPr>
          <w:rFonts w:hint="default" w:ascii="Times New Roman" w:hAnsi="Times New Roman" w:cs="Times New Roman"/>
          <w:color w:val="auto"/>
          <w:sz w:val="32"/>
          <w:szCs w:val="32"/>
          <w:highlight w:val="none"/>
          <w:u w:val="single"/>
          <w:lang w:eastAsia="zh-CN"/>
        </w:rPr>
        <w:t>建设项目</w:t>
      </w:r>
    </w:p>
    <w:p w14:paraId="0F091698">
      <w:pPr>
        <w:adjustRightInd w:val="0"/>
        <w:snapToGrid w:val="0"/>
        <w:spacing w:line="560" w:lineRule="exact"/>
        <w:ind w:left="3510" w:leftChars="300" w:hanging="2880" w:hangingChars="900"/>
        <w:rPr>
          <w:rFonts w:hint="default" w:ascii="Times New Roman" w:hAnsi="Times New Roman" w:eastAsia="宋体" w:cs="Times New Roman"/>
          <w:color w:val="auto"/>
          <w:sz w:val="32"/>
          <w:szCs w:val="32"/>
          <w:highlight w:val="none"/>
          <w:lang w:val="en-US" w:eastAsia="zh-CN"/>
        </w:rPr>
      </w:pPr>
      <w:r>
        <w:rPr>
          <w:rFonts w:hint="default" w:ascii="Times New Roman" w:hAnsi="Times New Roman" w:cs="Times New Roman"/>
          <w:color w:val="auto"/>
          <w:sz w:val="32"/>
          <w:szCs w:val="32"/>
          <w:highlight w:val="none"/>
        </w:rPr>
        <w:t>建设单位：</w:t>
      </w:r>
      <w:r>
        <w:rPr>
          <w:rFonts w:hint="default"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eastAsia="zh-CN"/>
        </w:rPr>
        <w:t>鸡西市盛熙煤炭销售有限责任公司</w:t>
      </w:r>
      <w:r>
        <w:rPr>
          <w:rFonts w:hint="default"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lang w:val="en-US" w:eastAsia="zh-CN"/>
        </w:rPr>
        <w:t xml:space="preserve"> </w:t>
      </w:r>
    </w:p>
    <w:p w14:paraId="3D727C2A">
      <w:pPr>
        <w:adjustRightInd w:val="0"/>
        <w:snapToGrid w:val="0"/>
        <w:spacing w:line="560" w:lineRule="exact"/>
        <w:ind w:left="630" w:leftChars="300"/>
        <w:rPr>
          <w:rFonts w:hint="eastAsia" w:ascii="Times New Roman" w:hAnsi="Times New Roman" w:eastAsia="宋体" w:cs="Times New Roman"/>
          <w:color w:val="auto"/>
          <w:sz w:val="32"/>
          <w:szCs w:val="32"/>
          <w:highlight w:val="none"/>
          <w:u w:val="single"/>
          <w:lang w:val="en-US" w:eastAsia="zh-CN"/>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w:t>
      </w:r>
      <w:r>
        <w:rPr>
          <w:rFonts w:hint="default" w:ascii="Times New Roman" w:hAnsi="Times New Roman" w:cs="Times New Roman"/>
          <w:color w:val="auto"/>
          <w:sz w:val="32"/>
          <w:szCs w:val="32"/>
          <w:highlight w:val="none"/>
          <w:u w:val="single"/>
          <w:lang w:val="en-US" w:eastAsia="zh-CN"/>
        </w:rPr>
        <w:t xml:space="preserve"> </w:t>
      </w:r>
      <w:r>
        <w:rPr>
          <w:rFonts w:hint="eastAsia"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202</w:t>
      </w:r>
      <w:r>
        <w:rPr>
          <w:rFonts w:hint="default" w:ascii="Times New Roman" w:hAnsi="Times New Roman" w:cs="Times New Roman"/>
          <w:color w:val="auto"/>
          <w:sz w:val="32"/>
          <w:szCs w:val="32"/>
          <w:highlight w:val="none"/>
          <w:u w:val="single"/>
          <w:lang w:val="en-US" w:eastAsia="zh-CN"/>
        </w:rPr>
        <w:t>5</w:t>
      </w:r>
      <w:r>
        <w:rPr>
          <w:rFonts w:hint="default" w:ascii="Times New Roman" w:hAnsi="Times New Roman" w:cs="Times New Roman"/>
          <w:color w:val="auto"/>
          <w:sz w:val="32"/>
          <w:szCs w:val="32"/>
          <w:highlight w:val="none"/>
          <w:u w:val="single"/>
        </w:rPr>
        <w:t>年</w:t>
      </w:r>
      <w:r>
        <w:rPr>
          <w:rFonts w:hint="eastAsia" w:cs="Times New Roman"/>
          <w:color w:val="auto"/>
          <w:sz w:val="32"/>
          <w:szCs w:val="32"/>
          <w:highlight w:val="none"/>
          <w:u w:val="single"/>
          <w:lang w:val="en-US" w:eastAsia="zh-CN"/>
        </w:rPr>
        <w:t>11</w:t>
      </w:r>
      <w:r>
        <w:rPr>
          <w:rFonts w:hint="default" w:ascii="Times New Roman" w:hAnsi="Times New Roman" w:cs="Times New Roman"/>
          <w:color w:val="auto"/>
          <w:sz w:val="32"/>
          <w:szCs w:val="32"/>
          <w:highlight w:val="none"/>
          <w:u w:val="single"/>
        </w:rPr>
        <w:t xml:space="preserve">月         </w:t>
      </w:r>
      <w:r>
        <w:rPr>
          <w:rFonts w:hint="eastAsia" w:cs="Times New Roman"/>
          <w:color w:val="auto"/>
          <w:sz w:val="32"/>
          <w:szCs w:val="32"/>
          <w:highlight w:val="none"/>
          <w:u w:val="single"/>
          <w:lang w:val="en-US" w:eastAsia="zh-CN"/>
        </w:rPr>
        <w:t xml:space="preserve">  </w:t>
      </w:r>
      <w:r>
        <w:rPr>
          <w:rFonts w:hint="default" w:ascii="Times New Roman" w:hAnsi="Times New Roman" w:cs="Times New Roman"/>
          <w:color w:val="auto"/>
          <w:sz w:val="32"/>
          <w:szCs w:val="32"/>
          <w:highlight w:val="none"/>
          <w:u w:val="single"/>
        </w:rPr>
        <w:t xml:space="preserve">  </w:t>
      </w:r>
      <w:r>
        <w:rPr>
          <w:rFonts w:hint="eastAsia" w:cs="Times New Roman"/>
          <w:color w:val="auto"/>
          <w:sz w:val="32"/>
          <w:szCs w:val="32"/>
          <w:highlight w:val="none"/>
          <w:u w:val="single"/>
          <w:lang w:val="en-US" w:eastAsia="zh-CN"/>
        </w:rPr>
        <w:t xml:space="preserve"> </w:t>
      </w:r>
    </w:p>
    <w:p w14:paraId="258DE4C3">
      <w:pPr>
        <w:adjustRightInd w:val="0"/>
        <w:snapToGrid w:val="0"/>
        <w:spacing w:line="560" w:lineRule="exact"/>
        <w:rPr>
          <w:rFonts w:hint="default" w:ascii="Times New Roman" w:hAnsi="Times New Roman" w:eastAsia="仿宋_GB2312" w:cs="Times New Roman"/>
          <w:color w:val="auto"/>
          <w:sz w:val="36"/>
          <w:szCs w:val="36"/>
          <w:highlight w:val="none"/>
          <w:u w:val="single"/>
        </w:rPr>
      </w:pPr>
      <w:bookmarkStart w:id="10" w:name="_Hlk57884087"/>
    </w:p>
    <w:p w14:paraId="1AFD87A0">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10"/>
    <w:p w14:paraId="29FE8634">
      <w:pPr>
        <w:adjustRightInd w:val="0"/>
        <w:snapToGrid w:val="0"/>
        <w:spacing w:line="288" w:lineRule="auto"/>
        <w:jc w:val="center"/>
        <w:outlineLvl w:val="0"/>
        <w:rPr>
          <w:rFonts w:hint="eastAsia" w:ascii="宋体" w:hAnsi="宋体" w:eastAsia="宋体" w:cs="宋体"/>
          <w:color w:val="auto"/>
          <w:sz w:val="36"/>
          <w:szCs w:val="36"/>
          <w:highlight w:val="none"/>
        </w:rPr>
      </w:pPr>
      <w:bookmarkStart w:id="11" w:name="_Toc12071"/>
      <w:bookmarkStart w:id="12" w:name="_Toc6931"/>
      <w:bookmarkStart w:id="13" w:name="_Toc19825"/>
    </w:p>
    <w:p w14:paraId="52B4BA05">
      <w:pPr>
        <w:adjustRightInd w:val="0"/>
        <w:snapToGrid w:val="0"/>
        <w:spacing w:line="288" w:lineRule="auto"/>
        <w:jc w:val="center"/>
        <w:outlineLvl w:val="0"/>
        <w:rPr>
          <w:rFonts w:hint="eastAsia" w:ascii="宋体" w:hAnsi="宋体" w:eastAsia="宋体" w:cs="宋体"/>
          <w:color w:val="auto"/>
          <w:sz w:val="36"/>
          <w:szCs w:val="36"/>
          <w:highlight w:val="none"/>
        </w:rPr>
      </w:pPr>
    </w:p>
    <w:p w14:paraId="69150FAE">
      <w:pPr>
        <w:adjustRightInd w:val="0"/>
        <w:snapToGrid w:val="0"/>
        <w:spacing w:line="288" w:lineRule="auto"/>
        <w:jc w:val="center"/>
        <w:outlineLvl w:val="0"/>
        <w:rPr>
          <w:rFonts w:hint="eastAsia" w:ascii="宋体" w:hAnsi="宋体" w:eastAsia="宋体" w:cs="宋体"/>
          <w:color w:val="auto"/>
          <w:sz w:val="36"/>
          <w:szCs w:val="36"/>
          <w:highlight w:val="none"/>
        </w:rPr>
      </w:pPr>
    </w:p>
    <w:p w14:paraId="6FC04D66">
      <w:pPr>
        <w:adjustRightInd w:val="0"/>
        <w:snapToGrid w:val="0"/>
        <w:spacing w:line="288" w:lineRule="auto"/>
        <w:jc w:val="center"/>
        <w:outlineLvl w:val="0"/>
        <w:rPr>
          <w:rFonts w:hint="eastAsia" w:ascii="宋体" w:hAnsi="宋体" w:eastAsia="宋体" w:cs="宋体"/>
          <w:color w:val="auto"/>
          <w:sz w:val="36"/>
          <w:szCs w:val="36"/>
          <w:highlight w:val="none"/>
        </w:rPr>
      </w:pPr>
    </w:p>
    <w:p w14:paraId="3D0F4365">
      <w:pPr>
        <w:adjustRightInd w:val="0"/>
        <w:snapToGrid w:val="0"/>
        <w:spacing w:line="288" w:lineRule="auto"/>
        <w:jc w:val="center"/>
        <w:outlineLvl w:val="0"/>
        <w:rPr>
          <w:rFonts w:hint="eastAsia" w:ascii="宋体" w:hAnsi="宋体" w:eastAsia="宋体" w:cs="宋体"/>
          <w:color w:val="auto"/>
          <w:sz w:val="36"/>
          <w:szCs w:val="36"/>
          <w:highlight w:val="none"/>
        </w:rPr>
      </w:pPr>
      <w:r>
        <w:rPr>
          <w:rFonts w:hint="eastAsia" w:ascii="宋体" w:hAnsi="宋体" w:eastAsia="宋体" w:cs="宋体"/>
          <w:color w:val="auto"/>
          <w:sz w:val="36"/>
          <w:szCs w:val="36"/>
          <w:highlight w:val="none"/>
        </w:rPr>
        <w:t>中华人民共和国生态环境部制</w:t>
      </w:r>
      <w:bookmarkEnd w:id="11"/>
      <w:bookmarkEnd w:id="12"/>
      <w:bookmarkEnd w:id="13"/>
    </w:p>
    <w:p w14:paraId="5582159A">
      <w:pPr>
        <w:rPr>
          <w:rFonts w:hint="default" w:ascii="Times New Roman" w:hAnsi="Times New Roman" w:cs="Times New Roman"/>
          <w:color w:val="auto"/>
          <w:kern w:val="0"/>
          <w:sz w:val="48"/>
          <w:szCs w:val="48"/>
          <w:highlight w:val="none"/>
          <w:lang w:bidi="ar"/>
        </w:rPr>
      </w:pPr>
      <w:r>
        <w:rPr>
          <w:rFonts w:hint="default" w:ascii="Times New Roman" w:hAnsi="Times New Roman" w:cs="Times New Roman"/>
          <w:color w:val="auto"/>
          <w:highlight w:val="none"/>
        </w:rPr>
        <w:br w:type="page"/>
      </w:r>
    </w:p>
    <w:p w14:paraId="68C0B6AD">
      <w:pPr>
        <w:pStyle w:val="3"/>
        <w:rPr>
          <w:rFonts w:hint="default" w:ascii="Times New Roman" w:hAnsi="Times New Roman" w:cs="Times New Roman"/>
          <w:color w:val="auto"/>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sdt>
      <w:sdtPr>
        <w:rPr>
          <w:rFonts w:hint="default" w:ascii="Times New Roman" w:hAnsi="Times New Roman" w:eastAsia="宋体" w:cs="Times New Roman"/>
          <w:color w:val="auto"/>
          <w:kern w:val="2"/>
          <w:sz w:val="21"/>
          <w:szCs w:val="24"/>
          <w:highlight w:val="none"/>
          <w:lang w:val="en-US" w:eastAsia="zh-CN" w:bidi="ar-SA"/>
        </w:rPr>
        <w:id w:val="147451985"/>
        <w15:color w:val="DBDBDB"/>
        <w:docPartObj>
          <w:docPartGallery w:val="Table of Contents"/>
          <w:docPartUnique/>
        </w:docPartObj>
      </w:sdtPr>
      <w:sdtEndPr>
        <w:rPr>
          <w:rFonts w:hint="default" w:ascii="Times New Roman" w:hAnsi="Times New Roman" w:eastAsia="黑体" w:cs="Times New Roman"/>
          <w:snapToGrid w:val="0"/>
          <w:color w:val="auto"/>
          <w:kern w:val="0"/>
          <w:sz w:val="24"/>
          <w:szCs w:val="30"/>
          <w:highlight w:val="none"/>
          <w:lang w:val="en-US" w:eastAsia="zh-CN" w:bidi="ar-SA"/>
        </w:rPr>
      </w:sdtEndPr>
      <w:sdtContent>
        <w:p w14:paraId="49228E80">
          <w:pPr>
            <w:spacing w:before="0" w:beforeLines="0" w:after="0" w:afterLines="0" w:line="240" w:lineRule="auto"/>
            <w:ind w:left="0" w:leftChars="0" w:right="0" w:rightChars="0" w:firstLine="0" w:firstLineChars="0"/>
            <w:jc w:val="center"/>
            <w:rPr>
              <w:color w:val="auto"/>
              <w:highlight w:val="none"/>
            </w:rPr>
          </w:pPr>
          <w:bookmarkStart w:id="14" w:name="_Toc12634"/>
          <w:bookmarkStart w:id="15" w:name="_Toc30708"/>
          <w:r>
            <w:rPr>
              <w:color w:val="auto"/>
              <w:highlight w:val="none"/>
            </w:rPr>
            <w:drawing>
              <wp:inline distT="0" distB="0" distL="114300" distR="114300">
                <wp:extent cx="5609590" cy="7039610"/>
                <wp:effectExtent l="0" t="0" r="10160" b="889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1"/>
                        <a:stretch>
                          <a:fillRect/>
                        </a:stretch>
                      </pic:blipFill>
                      <pic:spPr>
                        <a:xfrm>
                          <a:off x="0" y="0"/>
                          <a:ext cx="5609590" cy="7039610"/>
                        </a:xfrm>
                        <a:prstGeom prst="rect">
                          <a:avLst/>
                        </a:prstGeom>
                        <a:noFill/>
                        <a:ln>
                          <a:noFill/>
                        </a:ln>
                      </pic:spPr>
                    </pic:pic>
                  </a:graphicData>
                </a:graphic>
              </wp:inline>
            </w:drawing>
          </w:r>
        </w:p>
        <w:p w14:paraId="01B9A3CA">
          <w:pPr>
            <w:spacing w:before="0" w:beforeLines="0" w:after="0" w:afterLines="0" w:line="240" w:lineRule="auto"/>
            <w:ind w:left="0" w:leftChars="0" w:right="0" w:rightChars="0" w:firstLine="0" w:firstLineChars="0"/>
            <w:jc w:val="center"/>
            <w:rPr>
              <w:color w:val="auto"/>
              <w:highlight w:val="none"/>
            </w:rPr>
          </w:pPr>
        </w:p>
        <w:p w14:paraId="7C1BD409">
          <w:pPr>
            <w:spacing w:before="0" w:beforeLines="0" w:after="0" w:afterLines="0" w:line="240" w:lineRule="auto"/>
            <w:ind w:left="0" w:leftChars="0" w:right="0" w:rightChars="0" w:firstLine="0" w:firstLineChars="0"/>
            <w:jc w:val="center"/>
            <w:rPr>
              <w:color w:val="auto"/>
              <w:highlight w:val="none"/>
            </w:rPr>
          </w:pPr>
        </w:p>
        <w:p w14:paraId="49CC5E09">
          <w:pPr>
            <w:spacing w:before="0" w:beforeLines="0" w:after="0" w:afterLines="0" w:line="240" w:lineRule="auto"/>
            <w:ind w:left="0" w:leftChars="0" w:right="0" w:rightChars="0" w:firstLine="0" w:firstLineChars="0"/>
            <w:jc w:val="center"/>
            <w:rPr>
              <w:color w:val="auto"/>
              <w:highlight w:val="none"/>
            </w:rPr>
          </w:pPr>
        </w:p>
        <w:p w14:paraId="33204293">
          <w:pPr>
            <w:spacing w:before="0" w:beforeLines="0" w:after="0" w:afterLines="0" w:line="240" w:lineRule="auto"/>
            <w:ind w:left="0" w:leftChars="0" w:right="0" w:rightChars="0" w:firstLine="0" w:firstLineChars="0"/>
            <w:jc w:val="center"/>
            <w:rPr>
              <w:color w:val="auto"/>
              <w:highlight w:val="none"/>
            </w:rPr>
          </w:pPr>
        </w:p>
        <w:p w14:paraId="56575027">
          <w:pPr>
            <w:spacing w:before="0" w:beforeLines="0" w:after="0" w:afterLines="0" w:line="240" w:lineRule="auto"/>
            <w:ind w:left="0" w:leftChars="0" w:right="0" w:rightChars="0" w:firstLine="0" w:firstLineChars="0"/>
            <w:jc w:val="center"/>
            <w:rPr>
              <w:color w:val="auto"/>
              <w:highlight w:val="none"/>
            </w:rPr>
          </w:pPr>
        </w:p>
        <w:p w14:paraId="6FA65731">
          <w:pPr>
            <w:spacing w:before="0" w:beforeLines="0" w:after="0" w:afterLines="0" w:line="240" w:lineRule="auto"/>
            <w:ind w:left="0" w:leftChars="0" w:right="0" w:rightChars="0" w:firstLine="0" w:firstLineChars="0"/>
            <w:jc w:val="center"/>
            <w:rPr>
              <w:color w:val="auto"/>
              <w:highlight w:val="none"/>
            </w:rPr>
          </w:pPr>
        </w:p>
        <w:p w14:paraId="3804012E">
          <w:pPr>
            <w:spacing w:before="0" w:beforeLines="0" w:after="0" w:afterLines="0" w:line="240" w:lineRule="auto"/>
            <w:ind w:left="0" w:leftChars="0" w:right="0" w:rightChars="0" w:firstLine="0" w:firstLineChars="0"/>
            <w:jc w:val="center"/>
            <w:rPr>
              <w:color w:val="auto"/>
              <w:highlight w:val="none"/>
            </w:rPr>
          </w:pPr>
        </w:p>
        <w:p w14:paraId="6B7A424F">
          <w:pPr>
            <w:pStyle w:val="20"/>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color w:val="auto"/>
              <w:highlight w:val="none"/>
            </w:rPr>
          </w:pPr>
          <w:bookmarkStart w:id="16" w:name="_Toc30745"/>
          <w:bookmarkStart w:id="17" w:name="_Toc11319"/>
        </w:p>
      </w:sdtContent>
    </w:sdt>
    <w:p w14:paraId="1A4A9EC7">
      <w:pPr>
        <w:pStyle w:val="20"/>
        <w:jc w:val="center"/>
        <w:outlineLvl w:val="9"/>
        <w:rPr>
          <w:rFonts w:hint="eastAsia" w:ascii="宋体" w:hAnsi="宋体" w:eastAsia="宋体" w:cs="宋体"/>
          <w:snapToGrid w:val="0"/>
          <w:color w:val="auto"/>
          <w:sz w:val="30"/>
          <w:szCs w:val="30"/>
          <w:highlight w:val="none"/>
        </w:rPr>
      </w:pPr>
      <w:r>
        <w:rPr>
          <w:rFonts w:hint="eastAsia" w:ascii="宋体" w:hAnsi="宋体" w:eastAsia="宋体" w:cs="宋体"/>
          <w:snapToGrid w:val="0"/>
          <w:color w:val="auto"/>
          <w:sz w:val="30"/>
          <w:szCs w:val="30"/>
          <w:highlight w:val="none"/>
        </w:rPr>
        <w:t>一、建设项目基本情况</w:t>
      </w:r>
      <w:bookmarkEnd w:id="14"/>
      <w:bookmarkEnd w:id="15"/>
      <w:bookmarkEnd w:id="16"/>
      <w:bookmarkEnd w:id="17"/>
    </w:p>
    <w:tbl>
      <w:tblPr>
        <w:tblStyle w:val="24"/>
        <w:tblW w:w="94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68"/>
        <w:gridCol w:w="2499"/>
        <w:gridCol w:w="2110"/>
        <w:gridCol w:w="3002"/>
      </w:tblGrid>
      <w:tr w14:paraId="5E53E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69910D0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建设项目名称</w:t>
            </w:r>
          </w:p>
        </w:tc>
        <w:tc>
          <w:tcPr>
            <w:tcW w:w="7611" w:type="dxa"/>
            <w:gridSpan w:val="3"/>
            <w:vAlign w:val="center"/>
          </w:tcPr>
          <w:p w14:paraId="630C9FEE">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鸡西市盛熙煤炭销售有限责任公司</w:t>
            </w:r>
            <w:r>
              <w:rPr>
                <w:rFonts w:hint="default" w:ascii="Times New Roman" w:hAnsi="Times New Roman" w:cs="Times New Roman"/>
                <w:color w:val="auto"/>
                <w:sz w:val="21"/>
                <w:szCs w:val="21"/>
                <w:highlight w:val="none"/>
                <w:lang w:eastAsia="zh-CN"/>
              </w:rPr>
              <w:t>建设项目</w:t>
            </w:r>
          </w:p>
        </w:tc>
      </w:tr>
      <w:tr w14:paraId="46F36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00F04A70">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项目代码</w:t>
            </w:r>
          </w:p>
        </w:tc>
        <w:tc>
          <w:tcPr>
            <w:tcW w:w="7611" w:type="dxa"/>
            <w:gridSpan w:val="3"/>
            <w:vAlign w:val="center"/>
          </w:tcPr>
          <w:p w14:paraId="116B2AB1">
            <w:pPr>
              <w:pStyle w:val="11"/>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w:t>
            </w:r>
          </w:p>
        </w:tc>
      </w:tr>
      <w:tr w14:paraId="52A7C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189EF194">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建设单位联系人</w:t>
            </w:r>
          </w:p>
        </w:tc>
        <w:tc>
          <w:tcPr>
            <w:tcW w:w="2499" w:type="dxa"/>
            <w:vAlign w:val="center"/>
          </w:tcPr>
          <w:p w14:paraId="0C7138EB">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李猛</w:t>
            </w:r>
          </w:p>
        </w:tc>
        <w:tc>
          <w:tcPr>
            <w:tcW w:w="2110" w:type="dxa"/>
            <w:vAlign w:val="center"/>
          </w:tcPr>
          <w:p w14:paraId="2C570CEA">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联系方式</w:t>
            </w:r>
          </w:p>
        </w:tc>
        <w:tc>
          <w:tcPr>
            <w:tcW w:w="3002" w:type="dxa"/>
            <w:vAlign w:val="center"/>
          </w:tcPr>
          <w:p w14:paraId="7DF25B9B">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13804884444</w:t>
            </w:r>
          </w:p>
        </w:tc>
      </w:tr>
      <w:tr w14:paraId="0841B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7A37ECAF">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建设地点</w:t>
            </w:r>
          </w:p>
        </w:tc>
        <w:tc>
          <w:tcPr>
            <w:tcW w:w="7611" w:type="dxa"/>
            <w:gridSpan w:val="3"/>
            <w:vAlign w:val="center"/>
          </w:tcPr>
          <w:p w14:paraId="05EEB686">
            <w:pPr>
              <w:adjustRightInd w:val="0"/>
              <w:snapToGrid w:val="0"/>
              <w:spacing w:line="340" w:lineRule="exact"/>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黑龙江省鸡西市</w:t>
            </w:r>
            <w:r>
              <w:rPr>
                <w:rFonts w:hint="eastAsia" w:cs="Times New Roman"/>
                <w:color w:val="auto"/>
                <w:sz w:val="21"/>
                <w:szCs w:val="21"/>
                <w:highlight w:val="none"/>
                <w:lang w:val="en-US" w:eastAsia="zh-CN"/>
              </w:rPr>
              <w:t>恒山区红旗乡义安村</w:t>
            </w:r>
          </w:p>
        </w:tc>
      </w:tr>
      <w:tr w14:paraId="49034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5C0C8B6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地理坐标</w:t>
            </w:r>
          </w:p>
        </w:tc>
        <w:tc>
          <w:tcPr>
            <w:tcW w:w="7611" w:type="dxa"/>
            <w:gridSpan w:val="3"/>
            <w:vAlign w:val="center"/>
          </w:tcPr>
          <w:p w14:paraId="16B22D70">
            <w:pPr>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u w:val="single"/>
              </w:rPr>
              <w:t>1</w:t>
            </w:r>
            <w:r>
              <w:rPr>
                <w:rFonts w:hint="default" w:ascii="Times New Roman" w:hAnsi="Times New Roman" w:cs="Times New Roman"/>
                <w:color w:val="auto"/>
                <w:sz w:val="21"/>
                <w:szCs w:val="21"/>
                <w:highlight w:val="none"/>
                <w:u w:val="single"/>
                <w:lang w:val="en-US" w:eastAsia="zh-CN"/>
              </w:rPr>
              <w:t>30</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lang w:val="en-US" w:eastAsia="zh-CN"/>
              </w:rPr>
              <w:t>5</w:t>
            </w:r>
            <w:r>
              <w:rPr>
                <w:rFonts w:hint="eastAsia" w:cs="Times New Roman"/>
                <w:color w:val="auto"/>
                <w:sz w:val="21"/>
                <w:szCs w:val="21"/>
                <w:highlight w:val="none"/>
                <w:u w:val="single"/>
                <w:lang w:val="en-US" w:eastAsia="zh-CN"/>
              </w:rPr>
              <w:t>4</w:t>
            </w:r>
            <w:r>
              <w:rPr>
                <w:rFonts w:hint="default" w:ascii="Times New Roman" w:hAnsi="Times New Roman" w:cs="Times New Roman"/>
                <w:color w:val="auto"/>
                <w:sz w:val="21"/>
                <w:szCs w:val="21"/>
                <w:highlight w:val="none"/>
              </w:rPr>
              <w:t>分</w:t>
            </w:r>
            <w:r>
              <w:rPr>
                <w:rFonts w:hint="eastAsia" w:cs="Times New Roman"/>
                <w:color w:val="auto"/>
                <w:sz w:val="21"/>
                <w:szCs w:val="21"/>
                <w:highlight w:val="none"/>
                <w:u w:val="single"/>
                <w:lang w:val="en-US" w:eastAsia="zh-CN"/>
              </w:rPr>
              <w:t>2</w:t>
            </w:r>
            <w:r>
              <w:rPr>
                <w:rFonts w:hint="default" w:ascii="Times New Roman" w:hAnsi="Times New Roman" w:cs="Times New Roman"/>
                <w:color w:val="auto"/>
                <w:sz w:val="21"/>
                <w:szCs w:val="21"/>
                <w:highlight w:val="none"/>
                <w:u w:val="single"/>
                <w:lang w:val="en-US" w:eastAsia="zh-CN"/>
              </w:rPr>
              <w:t>.</w:t>
            </w:r>
            <w:r>
              <w:rPr>
                <w:rFonts w:hint="eastAsia" w:cs="Times New Roman"/>
                <w:color w:val="auto"/>
                <w:sz w:val="21"/>
                <w:szCs w:val="21"/>
                <w:highlight w:val="none"/>
                <w:u w:val="single"/>
                <w:lang w:val="en-US" w:eastAsia="zh-CN"/>
              </w:rPr>
              <w:t>800</w:t>
            </w:r>
            <w:r>
              <w:rPr>
                <w:rFonts w:hint="default" w:ascii="Times New Roman" w:hAnsi="Times New Roman" w:cs="Times New Roman"/>
                <w:color w:val="auto"/>
                <w:sz w:val="21"/>
                <w:szCs w:val="21"/>
                <w:highlight w:val="none"/>
              </w:rPr>
              <w:t>秒，</w:t>
            </w:r>
            <w:r>
              <w:rPr>
                <w:rFonts w:hint="default" w:ascii="Times New Roman" w:hAnsi="Times New Roman" w:cs="Times New Roman"/>
                <w:color w:val="auto"/>
                <w:sz w:val="21"/>
                <w:szCs w:val="21"/>
                <w:highlight w:val="none"/>
                <w:u w:val="single"/>
              </w:rPr>
              <w:t>4</w:t>
            </w:r>
            <w:r>
              <w:rPr>
                <w:rFonts w:hint="default" w:ascii="Times New Roman" w:hAnsi="Times New Roman" w:cs="Times New Roman"/>
                <w:color w:val="auto"/>
                <w:sz w:val="21"/>
                <w:szCs w:val="21"/>
                <w:highlight w:val="none"/>
                <w:u w:val="single"/>
                <w:lang w:val="en-US" w:eastAsia="zh-CN"/>
              </w:rPr>
              <w:t>5</w:t>
            </w:r>
            <w:r>
              <w:rPr>
                <w:rFonts w:hint="default" w:ascii="Times New Roman" w:hAnsi="Times New Roman" w:cs="Times New Roman"/>
                <w:color w:val="auto"/>
                <w:sz w:val="21"/>
                <w:szCs w:val="21"/>
                <w:highlight w:val="none"/>
              </w:rPr>
              <w:t>度</w:t>
            </w:r>
            <w:r>
              <w:rPr>
                <w:rFonts w:hint="eastAsia" w:cs="Times New Roman"/>
                <w:color w:val="auto"/>
                <w:sz w:val="21"/>
                <w:szCs w:val="21"/>
                <w:highlight w:val="none"/>
                <w:u w:val="single"/>
                <w:lang w:val="en-US" w:eastAsia="zh-CN"/>
              </w:rPr>
              <w:t>11</w:t>
            </w:r>
            <w:r>
              <w:rPr>
                <w:rFonts w:hint="default" w:ascii="Times New Roman" w:hAnsi="Times New Roman" w:cs="Times New Roman"/>
                <w:color w:val="auto"/>
                <w:sz w:val="21"/>
                <w:szCs w:val="21"/>
                <w:highlight w:val="none"/>
              </w:rPr>
              <w:t>分</w:t>
            </w:r>
            <w:r>
              <w:rPr>
                <w:rFonts w:hint="eastAsia" w:cs="Times New Roman"/>
                <w:color w:val="auto"/>
                <w:sz w:val="21"/>
                <w:szCs w:val="21"/>
                <w:highlight w:val="none"/>
                <w:u w:val="single"/>
                <w:lang w:val="en-US" w:eastAsia="zh-CN"/>
              </w:rPr>
              <w:t>11</w:t>
            </w:r>
            <w:r>
              <w:rPr>
                <w:rFonts w:hint="default" w:ascii="Times New Roman" w:hAnsi="Times New Roman" w:cs="Times New Roman"/>
                <w:color w:val="auto"/>
                <w:sz w:val="21"/>
                <w:szCs w:val="21"/>
                <w:highlight w:val="none"/>
                <w:u w:val="single"/>
                <w:lang w:val="en-US" w:eastAsia="zh-CN"/>
              </w:rPr>
              <w:t>.</w:t>
            </w:r>
            <w:r>
              <w:rPr>
                <w:rFonts w:hint="eastAsia" w:cs="Times New Roman"/>
                <w:color w:val="auto"/>
                <w:sz w:val="21"/>
                <w:szCs w:val="21"/>
                <w:highlight w:val="none"/>
                <w:u w:val="single"/>
                <w:lang w:val="en-US" w:eastAsia="zh-CN"/>
              </w:rPr>
              <w:t>610</w:t>
            </w:r>
            <w:r>
              <w:rPr>
                <w:rFonts w:hint="default" w:ascii="Times New Roman" w:hAnsi="Times New Roman" w:cs="Times New Roman"/>
                <w:color w:val="auto"/>
                <w:sz w:val="21"/>
                <w:szCs w:val="21"/>
                <w:highlight w:val="none"/>
              </w:rPr>
              <w:t>秒）</w:t>
            </w:r>
          </w:p>
        </w:tc>
      </w:tr>
      <w:tr w14:paraId="3C891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868" w:type="dxa"/>
            <w:tcMar>
              <w:top w:w="16" w:type="dxa"/>
              <w:left w:w="16" w:type="dxa"/>
              <w:right w:w="16" w:type="dxa"/>
            </w:tcMar>
            <w:vAlign w:val="center"/>
          </w:tcPr>
          <w:p w14:paraId="04F92055">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国民经济</w:t>
            </w:r>
          </w:p>
          <w:p w14:paraId="39929DFD">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p>
        </w:tc>
        <w:tc>
          <w:tcPr>
            <w:tcW w:w="2499" w:type="dxa"/>
            <w:vAlign w:val="center"/>
          </w:tcPr>
          <w:p w14:paraId="36659686">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B0610 </w:t>
            </w:r>
            <w:r>
              <w:rPr>
                <w:rFonts w:hint="default" w:ascii="Times New Roman" w:hAnsi="Times New Roman" w:cs="Times New Roman"/>
                <w:b w:val="0"/>
                <w:bCs w:val="0"/>
                <w:color w:val="auto"/>
                <w:kern w:val="2"/>
                <w:sz w:val="21"/>
                <w:szCs w:val="21"/>
                <w:highlight w:val="none"/>
                <w:lang w:val="en-US" w:eastAsia="zh-CN" w:bidi="ar-SA"/>
              </w:rPr>
              <w:t>烟煤和无烟煤开采洗选</w:t>
            </w:r>
          </w:p>
        </w:tc>
        <w:tc>
          <w:tcPr>
            <w:tcW w:w="2110" w:type="dxa"/>
            <w:vAlign w:val="center"/>
          </w:tcPr>
          <w:p w14:paraId="23F3A57D">
            <w:pPr>
              <w:adjustRightInd w:val="0"/>
              <w:snapToGrid w:val="0"/>
              <w:spacing w:line="340" w:lineRule="exact"/>
              <w:jc w:val="center"/>
              <w:rPr>
                <w:rFonts w:hint="default" w:ascii="Times New Roman" w:hAnsi="Times New Roman" w:cs="Times New Roman"/>
                <w:color w:val="auto"/>
                <w:sz w:val="21"/>
                <w:szCs w:val="21"/>
                <w:highlight w:val="none"/>
              </w:rPr>
            </w:pPr>
            <w:bookmarkStart w:id="18" w:name="_Hlk49843745"/>
            <w:r>
              <w:rPr>
                <w:rFonts w:hint="default" w:ascii="Times New Roman" w:hAnsi="Times New Roman" w:cs="Times New Roman"/>
                <w:color w:val="auto"/>
                <w:sz w:val="21"/>
                <w:szCs w:val="21"/>
                <w:highlight w:val="none"/>
              </w:rPr>
              <w:t>建设项目</w:t>
            </w:r>
          </w:p>
          <w:p w14:paraId="1B4D9B85">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bookmarkEnd w:id="18"/>
          </w:p>
        </w:tc>
        <w:tc>
          <w:tcPr>
            <w:tcW w:w="3002" w:type="dxa"/>
            <w:vAlign w:val="center"/>
          </w:tcPr>
          <w:p w14:paraId="421EE19A">
            <w:pPr>
              <w:numPr>
                <w:ilvl w:val="0"/>
                <w:numId w:val="0"/>
              </w:numPr>
              <w:spacing w:before="0" w:after="0" w:line="240" w:lineRule="auto"/>
              <w:ind w:left="0" w:leftChars="0" w:firstLine="0" w:firstLineChars="0"/>
              <w:outlineLvl w:val="9"/>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b w:val="0"/>
                <w:bCs w:val="0"/>
                <w:color w:val="auto"/>
                <w:kern w:val="2"/>
                <w:sz w:val="21"/>
                <w:szCs w:val="21"/>
                <w:highlight w:val="none"/>
                <w:lang w:val="en-US" w:eastAsia="zh-CN" w:bidi="ar-SA"/>
              </w:rPr>
              <w:t>四、煤炭</w:t>
            </w:r>
            <w:r>
              <w:rPr>
                <w:rFonts w:hint="default" w:ascii="Times New Roman" w:hAnsi="Times New Roman" w:cs="Times New Roman"/>
                <w:b w:val="0"/>
                <w:bCs w:val="0"/>
                <w:color w:val="auto"/>
                <w:kern w:val="2"/>
                <w:sz w:val="21"/>
                <w:szCs w:val="21"/>
                <w:highlight w:val="none"/>
                <w:lang w:val="en-US" w:eastAsia="zh-CN" w:bidi="ar-SA"/>
              </w:rPr>
              <w:t>开采和</w:t>
            </w:r>
            <w:r>
              <w:rPr>
                <w:rFonts w:hint="default" w:ascii="Times New Roman" w:hAnsi="Times New Roman" w:eastAsia="宋体" w:cs="Times New Roman"/>
                <w:b w:val="0"/>
                <w:bCs w:val="0"/>
                <w:color w:val="auto"/>
                <w:kern w:val="2"/>
                <w:sz w:val="21"/>
                <w:szCs w:val="21"/>
                <w:highlight w:val="none"/>
                <w:lang w:val="en-US" w:eastAsia="zh-CN" w:bidi="ar-SA"/>
              </w:rPr>
              <w:t>洗选业</w:t>
            </w:r>
            <w:r>
              <w:rPr>
                <w:rFonts w:hint="default" w:ascii="Times New Roman" w:hAnsi="Times New Roman" w:cs="Times New Roman"/>
                <w:b w:val="0"/>
                <w:bCs w:val="0"/>
                <w:color w:val="auto"/>
                <w:kern w:val="2"/>
                <w:sz w:val="21"/>
                <w:szCs w:val="21"/>
                <w:highlight w:val="none"/>
                <w:lang w:val="en-US" w:eastAsia="zh-CN" w:bidi="ar-SA"/>
              </w:rPr>
              <w:t xml:space="preserve"> </w:t>
            </w:r>
            <w:r>
              <w:rPr>
                <w:rFonts w:hint="default" w:ascii="Times New Roman" w:hAnsi="Times New Roman" w:eastAsia="宋体" w:cs="Times New Roman"/>
                <w:b w:val="0"/>
                <w:bCs w:val="0"/>
                <w:color w:val="auto"/>
                <w:kern w:val="2"/>
                <w:sz w:val="21"/>
                <w:szCs w:val="21"/>
                <w:highlight w:val="none"/>
                <w:lang w:val="en-US" w:eastAsia="zh-CN" w:bidi="ar-SA"/>
              </w:rPr>
              <w:t>6</w:t>
            </w:r>
            <w:r>
              <w:rPr>
                <w:rFonts w:hint="default" w:ascii="Times New Roman" w:hAnsi="Times New Roman" w:cs="Times New Roman"/>
                <w:b w:val="0"/>
                <w:bCs w:val="0"/>
                <w:color w:val="auto"/>
                <w:kern w:val="2"/>
                <w:sz w:val="21"/>
                <w:szCs w:val="21"/>
                <w:highlight w:val="none"/>
                <w:lang w:val="en-US" w:eastAsia="zh-CN" w:bidi="ar-SA"/>
              </w:rPr>
              <w:t>烟煤和无烟煤开采洗选</w:t>
            </w:r>
            <w:r>
              <w:rPr>
                <w:rFonts w:hint="default" w:ascii="Times New Roman" w:hAnsi="Times New Roman" w:eastAsia="宋体" w:cs="Times New Roman"/>
                <w:b w:val="0"/>
                <w:bCs w:val="0"/>
                <w:color w:val="auto"/>
                <w:kern w:val="2"/>
                <w:sz w:val="21"/>
                <w:szCs w:val="21"/>
                <w:highlight w:val="none"/>
                <w:lang w:val="en-US" w:eastAsia="zh-CN" w:bidi="ar-SA"/>
              </w:rPr>
              <w:t>061</w:t>
            </w:r>
            <w:r>
              <w:rPr>
                <w:rFonts w:hint="default" w:ascii="Times New Roman" w:hAnsi="Times New Roman" w:eastAsia="宋体" w:cs="Times New Roman"/>
                <w:color w:val="auto"/>
                <w:sz w:val="21"/>
                <w:szCs w:val="21"/>
                <w:highlight w:val="none"/>
              </w:rPr>
              <w:t>煤炭储存、集运</w:t>
            </w:r>
          </w:p>
        </w:tc>
      </w:tr>
      <w:tr w14:paraId="7AD19E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868" w:type="dxa"/>
            <w:tcMar>
              <w:top w:w="16" w:type="dxa"/>
              <w:left w:w="16" w:type="dxa"/>
              <w:right w:w="16" w:type="dxa"/>
            </w:tcMar>
            <w:vAlign w:val="center"/>
          </w:tcPr>
          <w:p w14:paraId="63CA7A0D">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建设性质</w:t>
            </w:r>
          </w:p>
        </w:tc>
        <w:tc>
          <w:tcPr>
            <w:tcW w:w="2499" w:type="dxa"/>
            <w:vAlign w:val="center"/>
          </w:tcPr>
          <w:p w14:paraId="631783FB">
            <w:pPr>
              <w:spacing w:line="340" w:lineRule="exact"/>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新建（迁建）</w:t>
            </w:r>
          </w:p>
          <w:p w14:paraId="57B499EB">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改建</w:t>
            </w:r>
          </w:p>
          <w:p w14:paraId="2B6CBE37">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扩建</w:t>
            </w:r>
          </w:p>
          <w:p w14:paraId="393F4F5C">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技术改造</w:t>
            </w:r>
          </w:p>
        </w:tc>
        <w:tc>
          <w:tcPr>
            <w:tcW w:w="2110" w:type="dxa"/>
            <w:vAlign w:val="center"/>
          </w:tcPr>
          <w:p w14:paraId="664A8D87">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356AC06C">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申报情形</w:t>
            </w:r>
          </w:p>
        </w:tc>
        <w:tc>
          <w:tcPr>
            <w:tcW w:w="3002" w:type="dxa"/>
            <w:vAlign w:val="center"/>
          </w:tcPr>
          <w:p w14:paraId="6EC59F74">
            <w:pPr>
              <w:spacing w:line="340" w:lineRule="exact"/>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☑首次申报项目             </w:t>
            </w:r>
          </w:p>
          <w:p w14:paraId="2E7FDC0A">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不予批准后再次申报项目</w:t>
            </w:r>
          </w:p>
          <w:p w14:paraId="01B6C522">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 xml:space="preserve">超五年重新审核项目     </w:t>
            </w:r>
          </w:p>
          <w:p w14:paraId="05B76B1C">
            <w:pPr>
              <w:spacing w:line="340" w:lineRule="exact"/>
              <w:jc w:val="left"/>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重大变动重新报批项目</w:t>
            </w:r>
          </w:p>
        </w:tc>
      </w:tr>
      <w:tr w14:paraId="036FA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868" w:type="dxa"/>
            <w:tcMar>
              <w:top w:w="16" w:type="dxa"/>
              <w:left w:w="16" w:type="dxa"/>
              <w:right w:w="16" w:type="dxa"/>
            </w:tcMar>
            <w:vAlign w:val="center"/>
          </w:tcPr>
          <w:p w14:paraId="7AFA7BE8">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7990165E">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备案）部门（选填）</w:t>
            </w:r>
          </w:p>
        </w:tc>
        <w:tc>
          <w:tcPr>
            <w:tcW w:w="2499" w:type="dxa"/>
            <w:vAlign w:val="center"/>
          </w:tcPr>
          <w:p w14:paraId="2E3806C7">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2110" w:type="dxa"/>
            <w:vAlign w:val="center"/>
          </w:tcPr>
          <w:p w14:paraId="769F39C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7E0F86E8">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备案）文号（选填）</w:t>
            </w:r>
          </w:p>
        </w:tc>
        <w:tc>
          <w:tcPr>
            <w:tcW w:w="3002" w:type="dxa"/>
            <w:vAlign w:val="center"/>
          </w:tcPr>
          <w:p w14:paraId="01093651">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053B0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08EA3DB3">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总投资（万元）</w:t>
            </w:r>
          </w:p>
        </w:tc>
        <w:tc>
          <w:tcPr>
            <w:tcW w:w="2499" w:type="dxa"/>
            <w:vAlign w:val="center"/>
          </w:tcPr>
          <w:p w14:paraId="69C13B40">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2110" w:type="dxa"/>
            <w:tcMar>
              <w:top w:w="16" w:type="dxa"/>
              <w:left w:w="16" w:type="dxa"/>
              <w:right w:w="16" w:type="dxa"/>
            </w:tcMar>
            <w:vAlign w:val="center"/>
          </w:tcPr>
          <w:p w14:paraId="00B57CC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3002" w:type="dxa"/>
            <w:vAlign w:val="center"/>
          </w:tcPr>
          <w:p w14:paraId="414CFFDD">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31.8</w:t>
            </w:r>
          </w:p>
        </w:tc>
      </w:tr>
      <w:tr w14:paraId="2D24D4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868" w:type="dxa"/>
            <w:tcMar>
              <w:top w:w="16" w:type="dxa"/>
              <w:left w:w="16" w:type="dxa"/>
              <w:right w:w="16" w:type="dxa"/>
            </w:tcMar>
            <w:vAlign w:val="center"/>
          </w:tcPr>
          <w:p w14:paraId="5B05B3A9">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环保投资占比（%）</w:t>
            </w:r>
          </w:p>
        </w:tc>
        <w:tc>
          <w:tcPr>
            <w:tcW w:w="2499" w:type="dxa"/>
            <w:vAlign w:val="center"/>
          </w:tcPr>
          <w:p w14:paraId="4FD9B695">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6.36</w:t>
            </w:r>
          </w:p>
        </w:tc>
        <w:tc>
          <w:tcPr>
            <w:tcW w:w="2110" w:type="dxa"/>
            <w:tcMar>
              <w:top w:w="16" w:type="dxa"/>
              <w:left w:w="16" w:type="dxa"/>
              <w:right w:w="16" w:type="dxa"/>
            </w:tcMar>
            <w:vAlign w:val="center"/>
          </w:tcPr>
          <w:p w14:paraId="446B3BC2">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3002" w:type="dxa"/>
            <w:vAlign w:val="center"/>
          </w:tcPr>
          <w:p w14:paraId="0454DD15">
            <w:pPr>
              <w:adjustRightInd w:val="0"/>
              <w:snapToGrid w:val="0"/>
              <w:spacing w:line="340" w:lineRule="exact"/>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6年5月</w:t>
            </w:r>
            <w:r>
              <w:rPr>
                <w:rFonts w:hint="default" w:ascii="Times New Roman" w:hAnsi="Times New Roman" w:cs="Times New Roman"/>
                <w:color w:val="auto"/>
                <w:sz w:val="21"/>
                <w:szCs w:val="21"/>
                <w:highlight w:val="none"/>
                <w:lang w:val="en-US" w:eastAsia="zh-CN"/>
              </w:rPr>
              <w:t>-202</w:t>
            </w:r>
            <w:r>
              <w:rPr>
                <w:rFonts w:hint="eastAsia" w:cs="Times New Roman"/>
                <w:color w:val="auto"/>
                <w:sz w:val="21"/>
                <w:szCs w:val="21"/>
                <w:highlight w:val="none"/>
                <w:lang w:val="en-US" w:eastAsia="zh-CN"/>
              </w:rPr>
              <w:t>6年7月</w:t>
            </w:r>
          </w:p>
        </w:tc>
      </w:tr>
      <w:tr w14:paraId="55E0C0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868" w:type="dxa"/>
            <w:tcMar>
              <w:top w:w="16" w:type="dxa"/>
              <w:left w:w="16" w:type="dxa"/>
              <w:right w:w="16" w:type="dxa"/>
            </w:tcMar>
            <w:vAlign w:val="center"/>
          </w:tcPr>
          <w:p w14:paraId="68E15D0B">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是否开工建设</w:t>
            </w:r>
          </w:p>
        </w:tc>
        <w:tc>
          <w:tcPr>
            <w:tcW w:w="2499" w:type="dxa"/>
            <w:vAlign w:val="center"/>
          </w:tcPr>
          <w:p w14:paraId="767D1015">
            <w:pPr>
              <w:adjustRightInd w:val="0"/>
              <w:snapToGrid w:val="0"/>
              <w:spacing w:line="340" w:lineRule="exact"/>
              <w:rPr>
                <w:rFonts w:hint="default" w:ascii="Times New Roman" w:hAnsi="Times New Roman" w:cs="Times New Roman"/>
                <w:color w:val="auto"/>
                <w:sz w:val="21"/>
                <w:szCs w:val="21"/>
                <w:highlight w:val="none"/>
                <w:u w:val="single"/>
              </w:rPr>
            </w:pPr>
            <w:r>
              <w:rPr>
                <w:rFonts w:hint="default" w:ascii="Times New Roman" w:hAnsi="Times New Roman" w:cs="Times New Roman"/>
                <w:color w:val="auto"/>
                <w:sz w:val="21"/>
                <w:szCs w:val="21"/>
                <w:highlight w:val="none"/>
              </w:rPr>
              <w:t>否：</w:t>
            </w:r>
            <w:r>
              <w:rPr>
                <w:rFonts w:hint="default" w:ascii="Times New Roman" w:hAnsi="Times New Roman" w:cs="Times New Roman"/>
                <w:color w:val="auto"/>
                <w:sz w:val="21"/>
                <w:szCs w:val="21"/>
                <w:highlight w:val="none"/>
                <w:u w:val="single"/>
                <w:lang w:val="en-US" w:eastAsia="zh-CN"/>
              </w:rPr>
              <w:t>√</w:t>
            </w:r>
            <w:r>
              <w:rPr>
                <w:rFonts w:hint="default" w:ascii="Times New Roman" w:hAnsi="Times New Roman" w:cs="Times New Roman"/>
                <w:color w:val="auto"/>
                <w:sz w:val="21"/>
                <w:szCs w:val="21"/>
                <w:highlight w:val="none"/>
                <w:u w:val="single"/>
              </w:rPr>
              <w:t xml:space="preserve">        </w:t>
            </w:r>
          </w:p>
          <w:p w14:paraId="1C1A4557">
            <w:pPr>
              <w:adjustRightInd w:val="0"/>
              <w:snapToGrid w:val="0"/>
              <w:spacing w:line="340" w:lineRule="exact"/>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p>
        </w:tc>
        <w:tc>
          <w:tcPr>
            <w:tcW w:w="2110" w:type="dxa"/>
            <w:tcMar>
              <w:top w:w="16" w:type="dxa"/>
              <w:left w:w="16" w:type="dxa"/>
              <w:right w:w="16" w:type="dxa"/>
            </w:tcMar>
            <w:vAlign w:val="center"/>
          </w:tcPr>
          <w:p w14:paraId="1F980849">
            <w:pPr>
              <w:adjustRightInd w:val="0"/>
              <w:snapToGrid w:val="0"/>
              <w:spacing w:line="340" w:lineRule="exact"/>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用地（用海）</w:t>
            </w:r>
          </w:p>
          <w:p w14:paraId="2522672F">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面积（m</w:t>
            </w:r>
            <w:r>
              <w:rPr>
                <w:rFonts w:hint="default" w:ascii="Times New Roman" w:hAnsi="Times New Roman" w:cs="Times New Roman"/>
                <w:color w:val="auto"/>
                <w:spacing w:val="-6"/>
                <w:sz w:val="21"/>
                <w:szCs w:val="21"/>
                <w:highlight w:val="none"/>
                <w:vertAlign w:val="superscript"/>
              </w:rPr>
              <w:t>2</w:t>
            </w:r>
            <w:r>
              <w:rPr>
                <w:rFonts w:hint="default" w:ascii="Times New Roman" w:hAnsi="Times New Roman" w:cs="Times New Roman"/>
                <w:color w:val="auto"/>
                <w:spacing w:val="-6"/>
                <w:sz w:val="21"/>
                <w:szCs w:val="21"/>
                <w:highlight w:val="none"/>
              </w:rPr>
              <w:t>）</w:t>
            </w:r>
          </w:p>
        </w:tc>
        <w:tc>
          <w:tcPr>
            <w:tcW w:w="3002" w:type="dxa"/>
            <w:vAlign w:val="center"/>
          </w:tcPr>
          <w:p w14:paraId="5DAA87F6">
            <w:pPr>
              <w:adjustRightInd w:val="0"/>
              <w:snapToGrid w:val="0"/>
              <w:spacing w:line="34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10327.83</w:t>
            </w:r>
          </w:p>
        </w:tc>
      </w:tr>
      <w:tr w14:paraId="7369C9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868" w:type="dxa"/>
            <w:vAlign w:val="center"/>
          </w:tcPr>
          <w:p w14:paraId="358FD769">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专项评价设置情况</w:t>
            </w:r>
          </w:p>
        </w:tc>
        <w:tc>
          <w:tcPr>
            <w:tcW w:w="7611" w:type="dxa"/>
            <w:gridSpan w:val="3"/>
            <w:vAlign w:val="center"/>
          </w:tcPr>
          <w:p w14:paraId="60F6FD6A">
            <w:pPr>
              <w:autoSpaceDE w:val="0"/>
              <w:autoSpaceDN w:val="0"/>
              <w:adjustRightInd w:val="0"/>
              <w:snapToGrid w:val="0"/>
              <w:spacing w:line="340" w:lineRule="exact"/>
              <w:jc w:val="center"/>
              <w:rPr>
                <w:rFonts w:hint="default" w:ascii="Times New Roman" w:hAnsi="Times New Roman" w:eastAsia="宋体" w:cs="Times New Roman"/>
                <w:color w:val="auto"/>
                <w:kern w:val="0"/>
                <w:sz w:val="21"/>
                <w:szCs w:val="21"/>
                <w:highlight w:val="none"/>
                <w:lang w:val="en-US" w:eastAsia="zh-CN"/>
              </w:rPr>
            </w:pPr>
          </w:p>
          <w:p w14:paraId="2268536E">
            <w:pPr>
              <w:autoSpaceDE w:val="0"/>
              <w:autoSpaceDN w:val="0"/>
              <w:adjustRightInd w:val="0"/>
              <w:snapToGrid w:val="0"/>
              <w:spacing w:line="340" w:lineRule="exact"/>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表1-1 专项设置情况</w:t>
            </w:r>
          </w:p>
          <w:tbl>
            <w:tblPr>
              <w:tblStyle w:val="2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36"/>
              <w:gridCol w:w="3334"/>
              <w:gridCol w:w="3022"/>
            </w:tblGrid>
            <w:tr w14:paraId="5133B7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EA6E5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专项评价的类别</w:t>
                  </w:r>
                </w:p>
              </w:tc>
              <w:tc>
                <w:tcPr>
                  <w:tcW w:w="2255" w:type="pct"/>
                  <w:noWrap w:val="0"/>
                  <w:vAlign w:val="center"/>
                </w:tcPr>
                <w:p w14:paraId="1614842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设置原则</w:t>
                  </w:r>
                </w:p>
              </w:tc>
              <w:tc>
                <w:tcPr>
                  <w:tcW w:w="2044" w:type="pct"/>
                  <w:noWrap w:val="0"/>
                  <w:vAlign w:val="center"/>
                </w:tcPr>
                <w:p w14:paraId="5A44D0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是否设置</w:t>
                  </w:r>
                </w:p>
              </w:tc>
            </w:tr>
            <w:tr w14:paraId="69D21F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3941D1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大气</w:t>
                  </w:r>
                </w:p>
              </w:tc>
              <w:tc>
                <w:tcPr>
                  <w:tcW w:w="2255" w:type="pct"/>
                  <w:noWrap w:val="0"/>
                  <w:vAlign w:val="center"/>
                </w:tcPr>
                <w:p w14:paraId="44384B4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排放废气含有毒有害污染物、二噁英、苯并[</w:t>
                  </w:r>
                  <w:r>
                    <w:rPr>
                      <w:rFonts w:hint="default" w:ascii="Times New Roman" w:hAnsi="Times New Roman" w:eastAsia="宋体" w:cs="Times New Roman"/>
                      <w:i/>
                      <w:iCs/>
                      <w:color w:val="auto"/>
                      <w:spacing w:val="0"/>
                      <w:kern w:val="21"/>
                      <w:sz w:val="18"/>
                      <w:szCs w:val="18"/>
                      <w:highlight w:val="none"/>
                    </w:rPr>
                    <w:t>a</w:t>
                  </w:r>
                  <w:r>
                    <w:rPr>
                      <w:rFonts w:hint="default" w:ascii="Times New Roman" w:hAnsi="Times New Roman" w:eastAsia="宋体" w:cs="Times New Roman"/>
                      <w:color w:val="auto"/>
                      <w:spacing w:val="0"/>
                      <w:kern w:val="21"/>
                      <w:sz w:val="18"/>
                      <w:szCs w:val="18"/>
                      <w:highlight w:val="none"/>
                    </w:rPr>
                    <w:t>]芘、氰化物、氯气且厂界外500米范围内有环境空气保护目标的建设项目</w:t>
                  </w:r>
                </w:p>
              </w:tc>
              <w:tc>
                <w:tcPr>
                  <w:tcW w:w="2044" w:type="pct"/>
                  <w:noWrap w:val="0"/>
                  <w:vAlign w:val="center"/>
                </w:tcPr>
                <w:p w14:paraId="05B0C97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不设置</w:t>
                  </w:r>
                  <w:r>
                    <w:rPr>
                      <w:rFonts w:hint="default" w:ascii="Times New Roman" w:hAnsi="Times New Roman" w:eastAsia="宋体" w:cs="Times New Roman"/>
                      <w:color w:val="auto"/>
                      <w:spacing w:val="0"/>
                      <w:kern w:val="21"/>
                      <w:sz w:val="18"/>
                      <w:szCs w:val="18"/>
                      <w:highlight w:val="none"/>
                      <w:lang w:eastAsia="zh-CN"/>
                    </w:rPr>
                    <w:t>，</w:t>
                  </w:r>
                  <w:r>
                    <w:rPr>
                      <w:rFonts w:hint="default" w:ascii="Times New Roman" w:hAnsi="Times New Roman" w:eastAsia="宋体" w:cs="Times New Roman"/>
                      <w:color w:val="auto"/>
                      <w:spacing w:val="0"/>
                      <w:kern w:val="21"/>
                      <w:sz w:val="18"/>
                      <w:szCs w:val="18"/>
                      <w:highlight w:val="none"/>
                    </w:rPr>
                    <w:t>项目排放废气</w:t>
                  </w:r>
                  <w:r>
                    <w:rPr>
                      <w:rFonts w:hint="default" w:ascii="Times New Roman" w:hAnsi="Times New Roman" w:eastAsia="宋体" w:cs="Times New Roman"/>
                      <w:color w:val="auto"/>
                      <w:spacing w:val="0"/>
                      <w:kern w:val="21"/>
                      <w:sz w:val="18"/>
                      <w:szCs w:val="18"/>
                      <w:highlight w:val="none"/>
                      <w:lang w:val="en-US" w:eastAsia="zh-CN"/>
                    </w:rPr>
                    <w:t>不</w:t>
                  </w:r>
                  <w:r>
                    <w:rPr>
                      <w:rFonts w:hint="default" w:ascii="Times New Roman" w:hAnsi="Times New Roman" w:eastAsia="宋体" w:cs="Times New Roman"/>
                      <w:color w:val="auto"/>
                      <w:spacing w:val="0"/>
                      <w:kern w:val="21"/>
                      <w:sz w:val="18"/>
                      <w:szCs w:val="18"/>
                      <w:highlight w:val="none"/>
                    </w:rPr>
                    <w:t>含有毒有害污染物</w:t>
                  </w:r>
                </w:p>
              </w:tc>
            </w:tr>
            <w:tr w14:paraId="4E0A9F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68E6D42">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地表水</w:t>
                  </w:r>
                </w:p>
              </w:tc>
              <w:tc>
                <w:tcPr>
                  <w:tcW w:w="2255" w:type="pct"/>
                  <w:noWrap w:val="0"/>
                  <w:vAlign w:val="center"/>
                </w:tcPr>
                <w:p w14:paraId="6A7603B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新增工业废水直排建设项目（槽罐车外送污水处理厂的除外）；新增废水直排的污水集中处理厂</w:t>
                  </w:r>
                </w:p>
              </w:tc>
              <w:tc>
                <w:tcPr>
                  <w:tcW w:w="2044" w:type="pct"/>
                  <w:noWrap w:val="0"/>
                  <w:vAlign w:val="center"/>
                </w:tcPr>
                <w:p w14:paraId="3B6CCC3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不设置</w:t>
                  </w:r>
                  <w:r>
                    <w:rPr>
                      <w:rFonts w:hint="default" w:ascii="Times New Roman" w:hAnsi="Times New Roman" w:eastAsia="宋体" w:cs="Times New Roman"/>
                      <w:color w:val="auto"/>
                      <w:spacing w:val="0"/>
                      <w:kern w:val="21"/>
                      <w:sz w:val="18"/>
                      <w:szCs w:val="18"/>
                      <w:highlight w:val="none"/>
                      <w:lang w:eastAsia="zh-CN"/>
                    </w:rPr>
                    <w:t>，</w:t>
                  </w:r>
                  <w:r>
                    <w:rPr>
                      <w:rFonts w:hint="default" w:ascii="Times New Roman" w:hAnsi="Times New Roman" w:eastAsia="宋体" w:cs="Times New Roman"/>
                      <w:color w:val="auto"/>
                      <w:spacing w:val="0"/>
                      <w:kern w:val="21"/>
                      <w:sz w:val="18"/>
                      <w:szCs w:val="18"/>
                      <w:highlight w:val="none"/>
                      <w:lang w:val="en-US" w:eastAsia="zh-CN"/>
                    </w:rPr>
                    <w:t>项目不</w:t>
                  </w:r>
                  <w:r>
                    <w:rPr>
                      <w:rFonts w:hint="default" w:ascii="Times New Roman" w:hAnsi="Times New Roman" w:eastAsia="宋体" w:cs="Times New Roman"/>
                      <w:color w:val="auto"/>
                      <w:spacing w:val="0"/>
                      <w:kern w:val="21"/>
                      <w:sz w:val="18"/>
                      <w:szCs w:val="18"/>
                      <w:highlight w:val="none"/>
                    </w:rPr>
                    <w:t>新增工业废水直排</w:t>
                  </w:r>
                </w:p>
              </w:tc>
            </w:tr>
            <w:tr w14:paraId="673905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0" w:hRule="atLeast"/>
                <w:jc w:val="center"/>
              </w:trPr>
              <w:tc>
                <w:tcPr>
                  <w:tcW w:w="700" w:type="pct"/>
                  <w:noWrap w:val="0"/>
                  <w:vAlign w:val="center"/>
                </w:tcPr>
                <w:p w14:paraId="61BE8B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环境风险</w:t>
                  </w:r>
                </w:p>
              </w:tc>
              <w:tc>
                <w:tcPr>
                  <w:tcW w:w="2255" w:type="pct"/>
                  <w:noWrap w:val="0"/>
                  <w:vAlign w:val="center"/>
                </w:tcPr>
                <w:p w14:paraId="152BD24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有毒有害和易燃易爆危险物质存储量超过临界量的建设项目</w:t>
                  </w:r>
                </w:p>
              </w:tc>
              <w:tc>
                <w:tcPr>
                  <w:tcW w:w="2044" w:type="pct"/>
                  <w:noWrap w:val="0"/>
                  <w:vAlign w:val="center"/>
                </w:tcPr>
                <w:p w14:paraId="0ECC48F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cs="Times New Roman" w:eastAsiaTheme="minorEastAsia"/>
                      <w:color w:val="auto"/>
                      <w:kern w:val="0"/>
                      <w:sz w:val="18"/>
                      <w:szCs w:val="18"/>
                      <w:highlight w:val="none"/>
                    </w:rPr>
                    <w:t>本</w:t>
                  </w:r>
                  <w:r>
                    <w:rPr>
                      <w:rFonts w:hint="default" w:ascii="Times New Roman" w:hAnsi="Times New Roman" w:eastAsia="宋体" w:cs="Times New Roman"/>
                      <w:color w:val="auto"/>
                      <w:spacing w:val="0"/>
                      <w:kern w:val="21"/>
                      <w:sz w:val="18"/>
                      <w:szCs w:val="18"/>
                      <w:highlight w:val="none"/>
                    </w:rPr>
                    <w:t>项目涉及危险物质存储量未超过临界量</w:t>
                  </w:r>
                  <w:r>
                    <w:rPr>
                      <w:rFonts w:hint="default" w:ascii="Times New Roman" w:hAnsi="Times New Roman" w:eastAsia="宋体" w:cs="Times New Roman"/>
                      <w:color w:val="auto"/>
                      <w:spacing w:val="0"/>
                      <w:kern w:val="21"/>
                      <w:sz w:val="18"/>
                      <w:szCs w:val="18"/>
                      <w:highlight w:val="none"/>
                      <w:lang w:val="en-US" w:eastAsia="zh-CN"/>
                    </w:rPr>
                    <w:t>，因此无需开展环境风险专项评价</w:t>
                  </w:r>
                </w:p>
              </w:tc>
            </w:tr>
            <w:tr w14:paraId="02255B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68F08C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生态</w:t>
                  </w:r>
                </w:p>
              </w:tc>
              <w:tc>
                <w:tcPr>
                  <w:tcW w:w="2255" w:type="pct"/>
                  <w:noWrap w:val="0"/>
                  <w:vAlign w:val="center"/>
                </w:tcPr>
                <w:p w14:paraId="4099E9AE">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取水口下游500米范围内有重要水生生物的自然产卵场、索饵场、越冬场和洄游通道的新增河道取水的污染类建设项目</w:t>
                  </w:r>
                </w:p>
              </w:tc>
              <w:tc>
                <w:tcPr>
                  <w:tcW w:w="2044" w:type="pct"/>
                  <w:noWrap w:val="0"/>
                  <w:vAlign w:val="center"/>
                </w:tcPr>
                <w:p w14:paraId="451FC3F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lang w:eastAsia="zh-CN"/>
                    </w:rPr>
                    <w:t>不设置</w:t>
                  </w:r>
                </w:p>
              </w:tc>
            </w:tr>
            <w:tr w14:paraId="33E9EF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F19A90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海洋</w:t>
                  </w:r>
                </w:p>
              </w:tc>
              <w:tc>
                <w:tcPr>
                  <w:tcW w:w="2255" w:type="pct"/>
                  <w:noWrap w:val="0"/>
                  <w:vAlign w:val="center"/>
                </w:tcPr>
                <w:p w14:paraId="0809E089">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直接向海排放污染物的海洋工程建设项目</w:t>
                  </w:r>
                </w:p>
              </w:tc>
              <w:tc>
                <w:tcPr>
                  <w:tcW w:w="2044" w:type="pct"/>
                  <w:noWrap w:val="0"/>
                  <w:vAlign w:val="center"/>
                </w:tcPr>
                <w:p w14:paraId="2B26577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lang w:eastAsia="zh-CN"/>
                    </w:rPr>
                    <w:t>不设置</w:t>
                  </w:r>
                </w:p>
              </w:tc>
            </w:tr>
            <w:tr w14:paraId="16DB73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13E9E1">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lang w:eastAsia="zh-CN"/>
                    </w:rPr>
                  </w:pPr>
                  <w:r>
                    <w:rPr>
                      <w:rFonts w:hint="default" w:ascii="Times New Roman" w:hAnsi="Times New Roman" w:eastAsia="宋体" w:cs="Times New Roman"/>
                      <w:color w:val="auto"/>
                      <w:spacing w:val="0"/>
                      <w:kern w:val="21"/>
                      <w:sz w:val="18"/>
                      <w:szCs w:val="18"/>
                      <w:highlight w:val="none"/>
                      <w:lang w:eastAsia="zh-CN"/>
                    </w:rPr>
                    <w:t>地下水</w:t>
                  </w:r>
                </w:p>
              </w:tc>
              <w:tc>
                <w:tcPr>
                  <w:tcW w:w="2255" w:type="pct"/>
                  <w:noWrap w:val="0"/>
                  <w:vAlign w:val="center"/>
                </w:tcPr>
                <w:p w14:paraId="7FEA087F">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lang w:eastAsia="zh-CN"/>
                    </w:rPr>
                    <w:t>地下水原则上不开展专项评价，涉及集中式饮用水水源和热水、矿泉水、温泉等特殊地下水资源保护区的开展地下水专项评价工作</w:t>
                  </w:r>
                </w:p>
              </w:tc>
              <w:tc>
                <w:tcPr>
                  <w:tcW w:w="2044" w:type="pct"/>
                  <w:noWrap w:val="0"/>
                  <w:vAlign w:val="center"/>
                </w:tcPr>
                <w:p w14:paraId="254E490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lang w:eastAsia="zh-CN"/>
                    </w:rPr>
                  </w:pPr>
                  <w:r>
                    <w:rPr>
                      <w:rFonts w:hint="default" w:ascii="Times New Roman" w:hAnsi="Times New Roman" w:eastAsia="宋体" w:cs="Times New Roman"/>
                      <w:color w:val="auto"/>
                      <w:spacing w:val="0"/>
                      <w:kern w:val="21"/>
                      <w:sz w:val="18"/>
                      <w:szCs w:val="18"/>
                      <w:highlight w:val="none"/>
                      <w:lang w:eastAsia="zh-CN"/>
                    </w:rPr>
                    <w:t>不设置</w:t>
                  </w:r>
                </w:p>
              </w:tc>
            </w:tr>
            <w:tr w14:paraId="2291B4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2E91C8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lang w:eastAsia="zh-CN"/>
                    </w:rPr>
                  </w:pPr>
                  <w:r>
                    <w:rPr>
                      <w:rFonts w:hint="default" w:ascii="Times New Roman" w:hAnsi="Times New Roman" w:eastAsia="宋体" w:cs="Times New Roman"/>
                      <w:color w:val="auto"/>
                      <w:spacing w:val="0"/>
                      <w:kern w:val="21"/>
                      <w:sz w:val="18"/>
                      <w:szCs w:val="18"/>
                      <w:highlight w:val="none"/>
                      <w:lang w:eastAsia="zh-CN"/>
                    </w:rPr>
                    <w:t>土壤</w:t>
                  </w:r>
                </w:p>
              </w:tc>
              <w:tc>
                <w:tcPr>
                  <w:tcW w:w="2255" w:type="pct"/>
                  <w:vMerge w:val="restart"/>
                  <w:noWrap w:val="0"/>
                  <w:vAlign w:val="center"/>
                </w:tcPr>
                <w:p w14:paraId="708A566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rPr>
                    <w:t>土壤、声环境不开展专项评价</w:t>
                  </w:r>
                </w:p>
              </w:tc>
              <w:tc>
                <w:tcPr>
                  <w:tcW w:w="2044" w:type="pct"/>
                  <w:noWrap w:val="0"/>
                  <w:vAlign w:val="center"/>
                </w:tcPr>
                <w:p w14:paraId="744252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lang w:eastAsia="zh-CN"/>
                    </w:rPr>
                  </w:pPr>
                  <w:r>
                    <w:rPr>
                      <w:rFonts w:hint="default" w:ascii="Times New Roman" w:hAnsi="Times New Roman" w:eastAsia="宋体" w:cs="Times New Roman"/>
                      <w:color w:val="auto"/>
                      <w:spacing w:val="0"/>
                      <w:kern w:val="21"/>
                      <w:sz w:val="18"/>
                      <w:szCs w:val="18"/>
                      <w:highlight w:val="none"/>
                      <w:lang w:eastAsia="zh-CN"/>
                    </w:rPr>
                    <w:t>不设置</w:t>
                  </w:r>
                </w:p>
              </w:tc>
            </w:tr>
            <w:tr w14:paraId="416ED5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EDCD0B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r>
                    <w:rPr>
                      <w:rFonts w:hint="default" w:ascii="Times New Roman" w:hAnsi="Times New Roman" w:eastAsia="宋体" w:cs="Times New Roman"/>
                      <w:color w:val="auto"/>
                      <w:spacing w:val="0"/>
                      <w:kern w:val="21"/>
                      <w:sz w:val="18"/>
                      <w:szCs w:val="18"/>
                      <w:highlight w:val="none"/>
                      <w:lang w:eastAsia="zh-CN"/>
                    </w:rPr>
                    <w:t>声环境</w:t>
                  </w:r>
                </w:p>
              </w:tc>
              <w:tc>
                <w:tcPr>
                  <w:tcW w:w="2255" w:type="pct"/>
                  <w:vMerge w:val="continue"/>
                  <w:noWrap w:val="0"/>
                  <w:vAlign w:val="center"/>
                </w:tcPr>
                <w:p w14:paraId="3075E4B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rPr>
                  </w:pPr>
                </w:p>
              </w:tc>
              <w:tc>
                <w:tcPr>
                  <w:tcW w:w="2044" w:type="pct"/>
                  <w:noWrap w:val="0"/>
                  <w:vAlign w:val="center"/>
                </w:tcPr>
                <w:p w14:paraId="64DF249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spacing w:val="0"/>
                      <w:kern w:val="21"/>
                      <w:sz w:val="18"/>
                      <w:szCs w:val="18"/>
                      <w:highlight w:val="none"/>
                      <w:lang w:eastAsia="zh-CN"/>
                    </w:rPr>
                  </w:pPr>
                  <w:r>
                    <w:rPr>
                      <w:rFonts w:hint="default" w:ascii="Times New Roman" w:hAnsi="Times New Roman" w:eastAsia="宋体" w:cs="Times New Roman"/>
                      <w:color w:val="auto"/>
                      <w:spacing w:val="0"/>
                      <w:kern w:val="21"/>
                      <w:sz w:val="18"/>
                      <w:szCs w:val="18"/>
                      <w:highlight w:val="none"/>
                      <w:lang w:eastAsia="zh-CN"/>
                    </w:rPr>
                    <w:t>不设置</w:t>
                  </w:r>
                </w:p>
              </w:tc>
            </w:tr>
          </w:tbl>
          <w:p w14:paraId="180BDE96">
            <w:pPr>
              <w:autoSpaceDE w:val="0"/>
              <w:autoSpaceDN w:val="0"/>
              <w:adjustRightInd w:val="0"/>
              <w:snapToGrid w:val="0"/>
              <w:spacing w:line="340" w:lineRule="exact"/>
              <w:jc w:val="center"/>
              <w:rPr>
                <w:rFonts w:hint="default" w:ascii="Times New Roman" w:hAnsi="Times New Roman" w:eastAsia="宋体" w:cs="Times New Roman"/>
                <w:color w:val="auto"/>
                <w:kern w:val="0"/>
                <w:sz w:val="21"/>
                <w:szCs w:val="21"/>
                <w:highlight w:val="none"/>
                <w:lang w:val="en-US" w:eastAsia="zh-CN"/>
              </w:rPr>
            </w:pPr>
          </w:p>
        </w:tc>
      </w:tr>
      <w:tr w14:paraId="7C822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868" w:type="dxa"/>
            <w:vAlign w:val="center"/>
          </w:tcPr>
          <w:p w14:paraId="4A3962BE">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规划情况</w:t>
            </w:r>
          </w:p>
        </w:tc>
        <w:tc>
          <w:tcPr>
            <w:tcW w:w="7611" w:type="dxa"/>
            <w:gridSpan w:val="3"/>
            <w:vAlign w:val="center"/>
          </w:tcPr>
          <w:p w14:paraId="3C834186">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w:t>
            </w:r>
          </w:p>
        </w:tc>
      </w:tr>
      <w:tr w14:paraId="40302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8" w:type="dxa"/>
            <w:vAlign w:val="center"/>
          </w:tcPr>
          <w:p w14:paraId="32B1D283">
            <w:pPr>
              <w:adjustRightInd w:val="0"/>
              <w:snapToGrid w:val="0"/>
              <w:spacing w:line="34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规划环境影响</w:t>
            </w:r>
          </w:p>
          <w:p w14:paraId="46E86EA6">
            <w:pPr>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rPr>
              <w:t>评价情况</w:t>
            </w:r>
          </w:p>
        </w:tc>
        <w:tc>
          <w:tcPr>
            <w:tcW w:w="7611" w:type="dxa"/>
            <w:gridSpan w:val="3"/>
            <w:vAlign w:val="center"/>
          </w:tcPr>
          <w:p w14:paraId="3F48FC9E">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w:t>
            </w:r>
          </w:p>
        </w:tc>
      </w:tr>
      <w:tr w14:paraId="3B98FC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868" w:type="dxa"/>
            <w:vAlign w:val="center"/>
          </w:tcPr>
          <w:p w14:paraId="2ED86CB7">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规划及规划环境</w:t>
            </w:r>
          </w:p>
          <w:p w14:paraId="6134CA1B">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影响评价符合性分析</w:t>
            </w:r>
          </w:p>
        </w:tc>
        <w:tc>
          <w:tcPr>
            <w:tcW w:w="7611" w:type="dxa"/>
            <w:gridSpan w:val="3"/>
            <w:vAlign w:val="center"/>
          </w:tcPr>
          <w:p w14:paraId="5F75F615">
            <w:pPr>
              <w:autoSpaceDE w:val="0"/>
              <w:autoSpaceDN w:val="0"/>
              <w:adjustRightInd w:val="0"/>
              <w:snapToGrid w:val="0"/>
              <w:spacing w:line="340" w:lineRule="exact"/>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w:t>
            </w:r>
          </w:p>
        </w:tc>
      </w:tr>
      <w:tr w14:paraId="7F9D44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0" w:hRule="atLeast"/>
          <w:jc w:val="center"/>
        </w:trPr>
        <w:tc>
          <w:tcPr>
            <w:tcW w:w="1868" w:type="dxa"/>
            <w:vAlign w:val="center"/>
          </w:tcPr>
          <w:p w14:paraId="679EA0BD">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其他符合性分析</w:t>
            </w:r>
          </w:p>
        </w:tc>
        <w:tc>
          <w:tcPr>
            <w:tcW w:w="7611" w:type="dxa"/>
            <w:gridSpan w:val="3"/>
            <w:vAlign w:val="center"/>
          </w:tcPr>
          <w:p w14:paraId="3677073C">
            <w:pPr>
              <w:pStyle w:val="32"/>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1、产业政策符合性分析</w:t>
            </w:r>
          </w:p>
          <w:p w14:paraId="1E6D9F2A">
            <w:pPr>
              <w:pStyle w:val="32"/>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根据《产业结构调整指导目录（</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24</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rPr>
              <w:t>）》，本项目属</w:t>
            </w:r>
            <w:r>
              <w:rPr>
                <w:rFonts w:hint="eastAsia" w:ascii="宋体" w:hAnsi="宋体" w:eastAsia="宋体" w:cs="宋体"/>
                <w:color w:val="auto"/>
                <w:sz w:val="21"/>
                <w:szCs w:val="21"/>
                <w:highlight w:val="none"/>
              </w:rPr>
              <w:t>于</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三煤炭第一条：储煤设施建设</w:t>
            </w:r>
            <w:r>
              <w:rPr>
                <w:rFonts w:hint="eastAsia" w:ascii="宋体" w:hAnsi="宋体" w:eastAsia="宋体" w:cs="宋体"/>
                <w:color w:val="auto"/>
                <w:sz w:val="21"/>
                <w:szCs w:val="21"/>
                <w:highlight w:val="none"/>
                <w:lang w:eastAsia="zh-CN"/>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属于鼓励类项目，</w:t>
            </w:r>
            <w:r>
              <w:rPr>
                <w:rFonts w:hint="default" w:ascii="Times New Roman" w:hAnsi="Times New Roman" w:eastAsia="宋体" w:cs="Times New Roman"/>
                <w:color w:val="auto"/>
                <w:sz w:val="21"/>
                <w:szCs w:val="21"/>
                <w:highlight w:val="none"/>
                <w:lang w:val="en-US" w:eastAsia="zh-CN"/>
              </w:rPr>
              <w:t>项目生产过程中</w:t>
            </w:r>
            <w:r>
              <w:rPr>
                <w:rFonts w:hint="default" w:ascii="Times New Roman" w:hAnsi="Times New Roman" w:cs="Times New Roman"/>
                <w:color w:val="auto"/>
                <w:sz w:val="21"/>
                <w:szCs w:val="21"/>
                <w:highlight w:val="none"/>
                <w:lang w:val="en-US" w:eastAsia="zh-CN"/>
              </w:rPr>
              <w:t>不使用</w:t>
            </w:r>
            <w:r>
              <w:rPr>
                <w:rFonts w:hint="default" w:ascii="Times New Roman" w:hAnsi="Times New Roman" w:eastAsia="宋体" w:cs="Times New Roman"/>
                <w:color w:val="auto"/>
                <w:sz w:val="21"/>
                <w:szCs w:val="21"/>
                <w:highlight w:val="none"/>
                <w:lang w:val="en-US" w:eastAsia="zh-CN"/>
              </w:rPr>
              <w:t>国家明令禁止的淘汰类和限制类的工艺和设备，符合国家的产业政策和环保政策</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因此本项目的建设符合国家产业政策要求。</w:t>
            </w:r>
          </w:p>
          <w:p w14:paraId="50E46AD7">
            <w:pPr>
              <w:pStyle w:val="32"/>
              <w:spacing w:line="360" w:lineRule="auto"/>
              <w:jc w:val="both"/>
              <w:rPr>
                <w:rFonts w:hint="default" w:ascii="Times New Roman" w:hAnsi="Times New Roman" w:eastAsia="宋体" w:cs="Times New Roman"/>
                <w:b/>
                <w:color w:val="auto"/>
                <w:sz w:val="21"/>
                <w:szCs w:val="21"/>
                <w:highlight w:val="none"/>
                <w:lang w:val="en-US"/>
              </w:rPr>
            </w:pPr>
            <w:r>
              <w:rPr>
                <w:rFonts w:hint="default" w:ascii="Times New Roman" w:hAnsi="Times New Roman" w:eastAsia="宋体" w:cs="Times New Roman"/>
                <w:b/>
                <w:color w:val="auto"/>
                <w:sz w:val="21"/>
                <w:szCs w:val="21"/>
                <w:highlight w:val="none"/>
              </w:rPr>
              <w:t>2、</w:t>
            </w:r>
            <w:r>
              <w:rPr>
                <w:rFonts w:hint="default" w:ascii="Times New Roman" w:hAnsi="Times New Roman" w:eastAsia="宋体" w:cs="Times New Roman"/>
                <w:b/>
                <w:color w:val="auto"/>
                <w:sz w:val="21"/>
                <w:szCs w:val="21"/>
                <w:highlight w:val="none"/>
                <w:lang w:val="en-US" w:eastAsia="zh-CN"/>
              </w:rPr>
              <w:t>环境影响评价技术文件类型的符合性分析</w:t>
            </w:r>
          </w:p>
          <w:p w14:paraId="5E35B493">
            <w:pPr>
              <w:pStyle w:val="34"/>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根据《建设项目环境影响评价分类管理名录》（2021年版）四、煤炭开采和洗选中煤炭储存、集运项目应当编制环境影响评价报告表，详见表1-</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p>
          <w:p w14:paraId="40FA8454">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表1</w:t>
            </w:r>
            <w:r>
              <w:rPr>
                <w:rFonts w:hint="default" w:ascii="Times New Roman" w:hAnsi="Times New Roman"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 xml:space="preserve"> 建设项目环境影响评价分类管理名录</w:t>
            </w:r>
          </w:p>
          <w:tbl>
            <w:tblPr>
              <w:tblStyle w:val="25"/>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6"/>
              <w:gridCol w:w="2392"/>
              <w:gridCol w:w="950"/>
              <w:gridCol w:w="2470"/>
              <w:gridCol w:w="1230"/>
            </w:tblGrid>
            <w:tr w14:paraId="25250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728" w:type="dxa"/>
                  <w:gridSpan w:val="2"/>
                  <w:tcBorders>
                    <w:tl2br w:val="nil"/>
                    <w:tr2bl w:val="nil"/>
                  </w:tcBorders>
                </w:tcPr>
                <w:p w14:paraId="137EF0BC">
                  <w:pPr>
                    <w:adjustRightInd w:val="0"/>
                    <w:snapToGrid w:val="0"/>
                    <w:jc w:val="right"/>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cs="Times New Roman"/>
                      <w:color w:val="auto"/>
                      <w:sz w:val="18"/>
                      <w:szCs w:val="18"/>
                      <w:highlight w:val="none"/>
                    </w:rPr>
                    <mc:AlternateContent>
                      <mc:Choice Requires="wps">
                        <w:drawing>
                          <wp:anchor distT="0" distB="0" distL="114300" distR="114300" simplePos="0" relativeHeight="251663360" behindDoc="0" locked="0" layoutInCell="1" allowOverlap="1">
                            <wp:simplePos x="0" y="0"/>
                            <wp:positionH relativeFrom="column">
                              <wp:posOffset>-56515</wp:posOffset>
                            </wp:positionH>
                            <wp:positionV relativeFrom="paragraph">
                              <wp:posOffset>-4445</wp:posOffset>
                            </wp:positionV>
                            <wp:extent cx="1609725" cy="323850"/>
                            <wp:effectExtent l="1270" t="6350" r="8255" b="12700"/>
                            <wp:wrapNone/>
                            <wp:docPr id="39" name="直接连接符 39"/>
                            <wp:cNvGraphicFramePr/>
                            <a:graphic xmlns:a="http://schemas.openxmlformats.org/drawingml/2006/main">
                              <a:graphicData uri="http://schemas.microsoft.com/office/word/2010/wordprocessingShape">
                                <wps:wsp>
                                  <wps:cNvCnPr/>
                                  <wps:spPr>
                                    <a:xfrm>
                                      <a:off x="2342515" y="6812915"/>
                                      <a:ext cx="1609725" cy="3238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5pt;margin-top:-0.35pt;height:25.5pt;width:126.75pt;z-index:251663360;mso-width-relative:page;mso-height-relative:page;" filled="f" stroked="t" coordsize="21600,21600" o:gfxdata="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vvordgAAAAHAQAADwAAAAAAAAABACAAAAAiAAAAZHJzL2Rvd25yZXYueG1s&#10;UEsBAhQAFAAAAAgAh07iQEmu3tj4AQAAxQMAAA4AAAAAAAAAAQAgAAAAJwEAAGRycy9lMm9Eb2Mu&#10;eG1sUEsFBgAAAAAGAAYAWQEAAJEFAAAAAA==&#10;">
                            <v:fill on="f" focussize="0,0"/>
                            <v:stroke weight="1pt" color="#000000 [3213]" miterlimit="8" joinstyle="miter"/>
                            <v:imagedata o:title=""/>
                            <o:lock v:ext="edit" aspectratio="f"/>
                          </v:line>
                        </w:pict>
                      </mc:Fallback>
                    </mc:AlternateContent>
                  </w:r>
                  <w:r>
                    <w:rPr>
                      <w:rFonts w:hint="default" w:ascii="Times New Roman" w:hAnsi="Times New Roman" w:eastAsia="宋体" w:cs="Times New Roman"/>
                      <w:color w:val="auto"/>
                      <w:kern w:val="21"/>
                      <w:sz w:val="18"/>
                      <w:szCs w:val="18"/>
                      <w:highlight w:val="none"/>
                      <w:lang w:val="en-US" w:eastAsia="zh-CN"/>
                    </w:rPr>
                    <w:t>环评类别</w:t>
                  </w:r>
                </w:p>
                <w:p w14:paraId="16DBCA65">
                  <w:pPr>
                    <w:adjustRightInd w:val="0"/>
                    <w:snapToGrid w:val="0"/>
                    <w:jc w:val="left"/>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项目类别</w:t>
                  </w:r>
                </w:p>
              </w:tc>
              <w:tc>
                <w:tcPr>
                  <w:tcW w:w="950" w:type="dxa"/>
                  <w:tcBorders>
                    <w:tl2br w:val="nil"/>
                    <w:tr2bl w:val="nil"/>
                  </w:tcBorders>
                  <w:vAlign w:val="center"/>
                </w:tcPr>
                <w:p w14:paraId="19642C92">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报告书</w:t>
                  </w:r>
                </w:p>
              </w:tc>
              <w:tc>
                <w:tcPr>
                  <w:tcW w:w="2470" w:type="dxa"/>
                  <w:tcBorders>
                    <w:tl2br w:val="nil"/>
                    <w:tr2bl w:val="nil"/>
                  </w:tcBorders>
                  <w:vAlign w:val="center"/>
                </w:tcPr>
                <w:p w14:paraId="4F9B2E33">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报告表</w:t>
                  </w:r>
                </w:p>
              </w:tc>
              <w:tc>
                <w:tcPr>
                  <w:tcW w:w="1230" w:type="dxa"/>
                  <w:tcBorders>
                    <w:tl2br w:val="nil"/>
                    <w:tr2bl w:val="nil"/>
                  </w:tcBorders>
                  <w:vAlign w:val="center"/>
                </w:tcPr>
                <w:p w14:paraId="2F8A0CE9">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登记表</w:t>
                  </w:r>
                </w:p>
              </w:tc>
            </w:tr>
            <w:tr w14:paraId="0848D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7378" w:type="dxa"/>
                  <w:gridSpan w:val="5"/>
                  <w:tcBorders>
                    <w:tl2br w:val="nil"/>
                    <w:tr2bl w:val="nil"/>
                  </w:tcBorders>
                </w:tcPr>
                <w:p w14:paraId="65746FF8">
                  <w:pPr>
                    <w:adjustRightInd w:val="0"/>
                    <w:snapToGrid w:val="0"/>
                    <w:jc w:val="left"/>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四、煤炭开采和洗选</w:t>
                  </w:r>
                </w:p>
              </w:tc>
            </w:tr>
            <w:tr w14:paraId="7EE70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336" w:type="dxa"/>
                  <w:tcBorders>
                    <w:tl2br w:val="nil"/>
                    <w:tr2bl w:val="nil"/>
                  </w:tcBorders>
                  <w:vAlign w:val="center"/>
                </w:tcPr>
                <w:p w14:paraId="64293EF5">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6</w:t>
                  </w:r>
                </w:p>
              </w:tc>
              <w:tc>
                <w:tcPr>
                  <w:tcW w:w="2392" w:type="dxa"/>
                  <w:tcBorders>
                    <w:tl2br w:val="nil"/>
                    <w:tr2bl w:val="nil"/>
                  </w:tcBorders>
                  <w:vAlign w:val="center"/>
                </w:tcPr>
                <w:p w14:paraId="377418FA">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烟煤和无烟煤开采洗选061；褐煤开采洗选062；其他煤炭采选069</w:t>
                  </w:r>
                </w:p>
              </w:tc>
              <w:tc>
                <w:tcPr>
                  <w:tcW w:w="950" w:type="dxa"/>
                  <w:tcBorders>
                    <w:tl2br w:val="nil"/>
                    <w:tr2bl w:val="nil"/>
                  </w:tcBorders>
                  <w:vAlign w:val="center"/>
                </w:tcPr>
                <w:p w14:paraId="0C333964">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煤炭开采</w:t>
                  </w:r>
                </w:p>
              </w:tc>
              <w:tc>
                <w:tcPr>
                  <w:tcW w:w="2470" w:type="dxa"/>
                  <w:tcBorders>
                    <w:tl2br w:val="nil"/>
                    <w:tr2bl w:val="nil"/>
                  </w:tcBorders>
                  <w:vAlign w:val="center"/>
                </w:tcPr>
                <w:p w14:paraId="64A9D530">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b w:val="0"/>
                      <w:bCs w:val="0"/>
                      <w:color w:val="auto"/>
                      <w:kern w:val="2"/>
                      <w:sz w:val="18"/>
                      <w:szCs w:val="18"/>
                      <w:highlight w:val="none"/>
                      <w:lang w:val="en-US" w:eastAsia="zh-CN" w:bidi="ar-SA"/>
                    </w:rPr>
                    <w:t>煤炭洗选、配煤；煤炭储存、集运；风井场地、瓦斯抽放站；矿区修复治理工程</w:t>
                  </w:r>
                </w:p>
              </w:tc>
              <w:tc>
                <w:tcPr>
                  <w:tcW w:w="1230" w:type="dxa"/>
                  <w:tcBorders>
                    <w:tl2br w:val="nil"/>
                    <w:tr2bl w:val="nil"/>
                  </w:tcBorders>
                  <w:vAlign w:val="center"/>
                </w:tcPr>
                <w:p w14:paraId="1F62CE4B">
                  <w:pPr>
                    <w:adjustRightInd w:val="0"/>
                    <w:snapToGrid w:val="0"/>
                    <w:jc w:val="center"/>
                    <w:rPr>
                      <w:rFonts w:hint="default" w:ascii="Times New Roman" w:hAnsi="Times New Roman" w:eastAsia="宋体" w:cs="Times New Roman"/>
                      <w:color w:val="auto"/>
                      <w:kern w:val="21"/>
                      <w:sz w:val="18"/>
                      <w:szCs w:val="18"/>
                      <w:highlight w:val="none"/>
                      <w:lang w:val="en-US" w:eastAsia="zh-CN"/>
                    </w:rPr>
                  </w:pPr>
                  <w:r>
                    <w:rPr>
                      <w:rFonts w:hint="default" w:ascii="Times New Roman" w:hAnsi="Times New Roman" w:eastAsia="宋体" w:cs="Times New Roman"/>
                      <w:color w:val="auto"/>
                      <w:kern w:val="21"/>
                      <w:sz w:val="18"/>
                      <w:szCs w:val="18"/>
                      <w:highlight w:val="none"/>
                      <w:lang w:val="en-US" w:eastAsia="zh-CN"/>
                    </w:rPr>
                    <w:t>/</w:t>
                  </w:r>
                </w:p>
              </w:tc>
            </w:tr>
          </w:tbl>
          <w:p w14:paraId="117C6619">
            <w:pPr>
              <w:pStyle w:val="34"/>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本项目为储煤场建设项目，属于利用固定场所进行煤炭储存和销售，根据上表可知，项目应编制环境影响评价技术文件类型为环境影响评价报告表。</w:t>
            </w:r>
          </w:p>
          <w:p w14:paraId="7CA5D012">
            <w:pPr>
              <w:pStyle w:val="34"/>
              <w:spacing w:line="360" w:lineRule="auto"/>
              <w:ind w:firstLine="0"/>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rPr>
              <w:t>选址合理性分析</w:t>
            </w:r>
          </w:p>
          <w:p w14:paraId="2DA6DB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auto"/>
                <w:highlight w:val="none"/>
                <w:lang w:val="en-US" w:eastAsia="zh-CN"/>
              </w:rPr>
            </w:pPr>
            <w:r>
              <w:rPr>
                <w:rFonts w:hint="eastAsia"/>
                <w:color w:val="auto"/>
                <w:highlight w:val="none"/>
                <w:lang w:val="en-US" w:eastAsia="zh-CN"/>
              </w:rPr>
              <w:t>（1）选址相符性</w:t>
            </w:r>
          </w:p>
          <w:p w14:paraId="3282B4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b w:val="0"/>
                <w:bCs w:val="0"/>
                <w:color w:val="auto"/>
                <w:sz w:val="21"/>
                <w:szCs w:val="21"/>
                <w:highlight w:val="none"/>
                <w:lang w:eastAsia="zh-CN"/>
              </w:rPr>
            </w:pPr>
            <w:r>
              <w:rPr>
                <w:rFonts w:hint="default"/>
                <w:color w:val="auto"/>
                <w:highlight w:val="none"/>
                <w:lang w:val="en-US" w:eastAsia="zh-CN"/>
              </w:rPr>
              <w:t>本项目位于黑龙江</w:t>
            </w:r>
            <w:r>
              <w:rPr>
                <w:rFonts w:hint="default" w:ascii="Times New Roman" w:hAnsi="Times New Roman" w:eastAsia="宋体" w:cs="Times New Roman"/>
                <w:color w:val="auto"/>
                <w:highlight w:val="none"/>
                <w:lang w:val="en-US" w:eastAsia="zh-CN"/>
              </w:rPr>
              <w:t>省鸡西市</w:t>
            </w:r>
            <w:r>
              <w:rPr>
                <w:rFonts w:hint="eastAsia" w:ascii="Times New Roman" w:hAnsi="Times New Roman" w:eastAsia="宋体" w:cs="Times New Roman"/>
                <w:color w:val="auto"/>
                <w:highlight w:val="none"/>
                <w:lang w:val="en-US" w:eastAsia="zh-CN"/>
              </w:rPr>
              <w:t>恒山区红旗乡义安村，</w:t>
            </w:r>
            <w:r>
              <w:rPr>
                <w:rFonts w:hint="eastAsia"/>
                <w:b w:val="0"/>
                <w:bCs w:val="0"/>
                <w:color w:val="auto"/>
                <w:sz w:val="21"/>
                <w:szCs w:val="21"/>
                <w:highlight w:val="none"/>
                <w:lang w:val="en-US" w:eastAsia="zh-CN"/>
              </w:rPr>
              <w:t>根</w:t>
            </w:r>
            <w:r>
              <w:rPr>
                <w:rFonts w:hint="eastAsia" w:ascii="Times New Roman" w:hAnsi="Times New Roman" w:eastAsia="宋体" w:cs="Times New Roman"/>
                <w:b w:val="0"/>
                <w:bCs w:val="0"/>
                <w:color w:val="auto"/>
                <w:sz w:val="21"/>
                <w:szCs w:val="21"/>
                <w:highlight w:val="none"/>
                <w:lang w:val="en-US" w:eastAsia="zh-CN"/>
              </w:rPr>
              <w:t xml:space="preserve">据 </w:t>
            </w:r>
            <w:r>
              <w:rPr>
                <w:rFonts w:hint="default" w:ascii="Times New Roman" w:hAnsi="Times New Roman" w:eastAsia="宋体" w:cs="Times New Roman"/>
                <w:b w:val="0"/>
                <w:bCs w:val="0"/>
                <w:color w:val="auto"/>
                <w:sz w:val="21"/>
                <w:szCs w:val="21"/>
                <w:highlight w:val="none"/>
                <w:lang w:val="en-US" w:eastAsia="zh-CN"/>
              </w:rPr>
              <w:fldChar w:fldCharType="begin"/>
            </w:r>
            <w:r>
              <w:rPr>
                <w:rFonts w:hint="default" w:ascii="Times New Roman" w:hAnsi="Times New Roman" w:eastAsia="宋体" w:cs="Times New Roman"/>
                <w:b w:val="0"/>
                <w:bCs w:val="0"/>
                <w:color w:val="auto"/>
                <w:sz w:val="21"/>
                <w:szCs w:val="21"/>
                <w:highlight w:val="none"/>
                <w:lang w:val="en-US" w:eastAsia="zh-CN"/>
              </w:rPr>
              <w:instrText xml:space="preserve"> HYPERLINK "https://www.jixi.gov.cn/jixi/c100330/202405/297673/files/3.%E3%80%8A%E9%B8%A1%E8%A5%BF%E5%B8%82%E6%81%92%E5%B1%B1%E5%8C%BA%E7%BA%A2%E6%97%97%E4%B9%A1%EF%BC%88%E5%90%AB%E8%A1%97%E9%81%93%EF%BC%89%E5%9B%BD%E5%9C%9F%E7%A9%BA%E9%97%B4%E6%80%BB%E4%BD%93%E8%A7%84%E5%88%92%EF%BC%882021-2035%E5%B9%B4%EF%BC%89%E3%80%8B%EF%BC%88%E5%85%AC%E7%A4%BA%E7%89%88%EF%BC%89.pdf" \t "https://www.jixi.gov.cn/jixi/c100330/202405/_blank" </w:instrText>
            </w:r>
            <w:r>
              <w:rPr>
                <w:rFonts w:hint="default" w:ascii="Times New Roman" w:hAnsi="Times New Roman" w:eastAsia="宋体" w:cs="Times New Roman"/>
                <w:b w:val="0"/>
                <w:bCs w:val="0"/>
                <w:color w:val="auto"/>
                <w:sz w:val="21"/>
                <w:szCs w:val="21"/>
                <w:highlight w:val="none"/>
                <w:lang w:val="en-US" w:eastAsia="zh-CN"/>
              </w:rPr>
              <w:fldChar w:fldCharType="separate"/>
            </w:r>
            <w:r>
              <w:rPr>
                <w:rFonts w:hint="eastAsia" w:ascii="Times New Roman" w:hAnsi="Times New Roman" w:eastAsia="宋体" w:cs="Times New Roman"/>
                <w:b w:val="0"/>
                <w:bCs w:val="0"/>
                <w:color w:val="auto"/>
                <w:sz w:val="21"/>
                <w:szCs w:val="21"/>
                <w:highlight w:val="none"/>
                <w:lang w:val="en-US" w:eastAsia="zh-CN"/>
              </w:rPr>
              <w:t>《鸡西市恒山区红旗乡（含街道）国土空间总体规划（2021-2035年）》</w:t>
            </w:r>
            <w:r>
              <w:rPr>
                <w:rFonts w:hint="eastAsia" w:ascii="Times New Roman" w:hAnsi="Times New Roman" w:eastAsia="宋体" w:cs="Times New Roman"/>
                <w:b w:val="0"/>
                <w:bCs w:val="0"/>
                <w:color w:val="auto"/>
                <w:sz w:val="21"/>
                <w:szCs w:val="21"/>
                <w:highlight w:val="none"/>
                <w:lang w:val="en-US" w:eastAsia="zh-CN"/>
              </w:rPr>
              <w:fldChar w:fldCharType="end"/>
            </w:r>
            <w:r>
              <w:rPr>
                <w:rFonts w:hint="eastAsia" w:ascii="Times New Roman" w:hAnsi="Times New Roman" w:eastAsia="宋体" w:cs="Times New Roman"/>
                <w:b w:val="0"/>
                <w:bCs w:val="0"/>
                <w:color w:val="auto"/>
                <w:sz w:val="21"/>
                <w:szCs w:val="21"/>
                <w:highlight w:val="none"/>
                <w:lang w:val="en-US" w:eastAsia="zh-CN"/>
              </w:rPr>
              <w:t>，恒山区发展定位</w:t>
            </w:r>
            <w:r>
              <w:rPr>
                <w:rFonts w:hint="eastAsia" w:cs="Times New Roman" w:eastAsiaTheme="minorEastAsia"/>
                <w:b w:val="0"/>
                <w:bCs w:val="0"/>
                <w:color w:val="auto"/>
                <w:sz w:val="21"/>
                <w:szCs w:val="21"/>
                <w:highlight w:val="none"/>
                <w:lang w:eastAsia="zh-CN"/>
              </w:rPr>
              <w:t>：</w:t>
            </w:r>
            <w:r>
              <w:rPr>
                <w:rFonts w:hint="eastAsia" w:eastAsiaTheme="minorEastAsia"/>
                <w:b w:val="0"/>
                <w:bCs w:val="0"/>
                <w:color w:val="auto"/>
                <w:sz w:val="21"/>
                <w:szCs w:val="21"/>
                <w:highlight w:val="none"/>
                <w:lang w:eastAsia="zh-CN"/>
              </w:rPr>
              <w:t>恒山区特色精品农业发展乡</w:t>
            </w:r>
            <w:r>
              <w:rPr>
                <w:rFonts w:hint="default"/>
                <w:b w:val="0"/>
                <w:bCs w:val="0"/>
                <w:color w:val="auto"/>
                <w:sz w:val="21"/>
                <w:szCs w:val="21"/>
                <w:highlight w:val="none"/>
              </w:rPr>
              <w:t>、</w:t>
            </w:r>
            <w:r>
              <w:rPr>
                <w:rFonts w:hint="eastAsia"/>
                <w:b w:val="0"/>
                <w:bCs w:val="0"/>
                <w:color w:val="auto"/>
                <w:sz w:val="21"/>
                <w:szCs w:val="21"/>
                <w:highlight w:val="none"/>
                <w:lang w:eastAsia="zh-CN"/>
              </w:rPr>
              <w:t>煤炭产业重点发展乡</w:t>
            </w:r>
            <w:r>
              <w:rPr>
                <w:rFonts w:hint="default"/>
                <w:b w:val="0"/>
                <w:bCs w:val="0"/>
                <w:color w:val="auto"/>
                <w:sz w:val="21"/>
                <w:szCs w:val="21"/>
                <w:highlight w:val="none"/>
              </w:rPr>
              <w:t>、</w:t>
            </w:r>
            <w:r>
              <w:rPr>
                <w:rFonts w:hint="eastAsia"/>
                <w:b w:val="0"/>
                <w:bCs w:val="0"/>
                <w:color w:val="auto"/>
                <w:sz w:val="21"/>
                <w:szCs w:val="21"/>
                <w:highlight w:val="none"/>
                <w:lang w:eastAsia="zh-CN"/>
              </w:rPr>
              <w:t>生态碳汇发展乡。</w:t>
            </w:r>
          </w:p>
          <w:p w14:paraId="4D4157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统筹划定三条控制线：依照功能划定生态保护红线是在生态空间范围内具有特殊重要生态功能、必须强制性严格保护的区域。保质保量划定永久基本农田是为保障国家粮食安全和重要农产品供给，实施永久特殊保护的耕地。永久基本农田一经划定，必须严格遵守《基本农田保护条例》，严控建设占用永久基本农田。集约绿色 划定城镇开发边界是一定时期内因城镇发展需要，可以集中进行城镇开发建设，完善城镇功能、提升空间品质的区域边界；防止城镇无序</w:t>
            </w:r>
            <w:r>
              <w:rPr>
                <w:rFonts w:hint="eastAsia" w:cs="Times New Roman"/>
                <w:b w:val="0"/>
                <w:bCs w:val="0"/>
                <w:color w:val="auto"/>
                <w:sz w:val="21"/>
                <w:szCs w:val="21"/>
                <w:highlight w:val="none"/>
                <w:lang w:val="en-US" w:eastAsia="zh-CN"/>
              </w:rPr>
              <w:t>蔓延</w:t>
            </w:r>
            <w:r>
              <w:rPr>
                <w:rFonts w:hint="eastAsia" w:ascii="Times New Roman" w:hAnsi="Times New Roman" w:eastAsia="宋体" w:cs="Times New Roman"/>
                <w:b w:val="0"/>
                <w:bCs w:val="0"/>
                <w:color w:val="auto"/>
                <w:sz w:val="21"/>
                <w:szCs w:val="21"/>
                <w:highlight w:val="none"/>
                <w:lang w:val="en-US" w:eastAsia="zh-CN"/>
              </w:rPr>
              <w:t>，优化城市结构、美化空间形态、提升空间效率。</w:t>
            </w:r>
          </w:p>
          <w:p w14:paraId="495D037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本项目为煤炭储存、集运项目，符合恒山区发展定位。厂区用地性质为采矿用地，</w:t>
            </w:r>
            <w:r>
              <w:rPr>
                <w:rFonts w:hint="eastAsia" w:ascii="Times New Roman" w:hAnsi="Times New Roman" w:eastAsia="宋体" w:cs="Times New Roman"/>
                <w:color w:val="auto"/>
                <w:highlight w:val="none"/>
                <w:lang w:val="en-US" w:eastAsia="zh-CN"/>
              </w:rPr>
              <w:t>不属于鸡西市</w:t>
            </w:r>
            <w:r>
              <w:rPr>
                <w:rFonts w:hint="default"/>
                <w:color w:val="auto"/>
                <w:highlight w:val="none"/>
                <w:lang w:val="en-US" w:eastAsia="zh-CN"/>
              </w:rPr>
              <w:t>高污染燃料禁燃区</w:t>
            </w:r>
            <w:r>
              <w:rPr>
                <w:rFonts w:hint="eastAsia"/>
                <w:color w:val="auto"/>
                <w:highlight w:val="none"/>
                <w:lang w:val="en-US" w:eastAsia="zh-CN"/>
              </w:rPr>
              <w:t>范围内</w:t>
            </w:r>
            <w:r>
              <w:rPr>
                <w:rFonts w:hint="eastAsia"/>
                <w:b w:val="0"/>
                <w:bCs w:val="0"/>
                <w:color w:val="auto"/>
                <w:sz w:val="21"/>
                <w:szCs w:val="21"/>
                <w:highlight w:val="none"/>
                <w:lang w:val="en-US" w:eastAsia="zh-CN"/>
              </w:rPr>
              <w:t>，不涉及生态保护红线、不涉及耕地及</w:t>
            </w:r>
            <w:r>
              <w:rPr>
                <w:rFonts w:hint="eastAsia"/>
                <w:b w:val="0"/>
                <w:bCs w:val="0"/>
                <w:color w:val="auto"/>
                <w:sz w:val="21"/>
                <w:szCs w:val="21"/>
                <w:highlight w:val="none"/>
              </w:rPr>
              <w:t>永久基本农田</w:t>
            </w:r>
            <w:r>
              <w:rPr>
                <w:rFonts w:hint="eastAsia"/>
                <w:b w:val="0"/>
                <w:bCs w:val="0"/>
                <w:color w:val="auto"/>
                <w:sz w:val="21"/>
                <w:szCs w:val="21"/>
                <w:highlight w:val="none"/>
                <w:lang w:eastAsia="zh-CN"/>
              </w:rPr>
              <w:t>，结合恒山区发展定位以及厂区用地情况，项目选址可行</w:t>
            </w:r>
            <w:r>
              <w:rPr>
                <w:rFonts w:hint="default"/>
                <w:b w:val="0"/>
                <w:bCs w:val="0"/>
                <w:color w:val="auto"/>
                <w:sz w:val="21"/>
                <w:szCs w:val="21"/>
                <w:highlight w:val="none"/>
                <w:lang w:val="en-US" w:eastAsia="zh-CN"/>
              </w:rPr>
              <w:t>。</w:t>
            </w:r>
          </w:p>
          <w:p w14:paraId="581292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auto"/>
                <w:highlight w:val="none"/>
                <w:lang w:val="en-US" w:eastAsia="zh-CN"/>
              </w:rPr>
            </w:pPr>
            <w:r>
              <w:rPr>
                <w:rFonts w:hint="eastAsia"/>
                <w:color w:val="auto"/>
                <w:highlight w:val="none"/>
                <w:lang w:val="en-US" w:eastAsia="zh-CN"/>
              </w:rPr>
              <w:t>（2）外环境相容性</w:t>
            </w:r>
          </w:p>
          <w:p w14:paraId="081BF855">
            <w:pPr>
              <w:autoSpaceDE w:val="0"/>
              <w:autoSpaceDN w:val="0"/>
              <w:adjustRightInd w:val="0"/>
              <w:snapToGrid w:val="0"/>
              <w:spacing w:line="360" w:lineRule="auto"/>
              <w:ind w:firstLine="420" w:firstLineChars="200"/>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本项目厂区</w:t>
            </w:r>
            <w:r>
              <w:rPr>
                <w:rFonts w:hint="default" w:ascii="Times New Roman" w:hAnsi="Times New Roman" w:cs="Times New Roman"/>
                <w:color w:val="auto"/>
                <w:kern w:val="0"/>
                <w:sz w:val="21"/>
                <w:szCs w:val="21"/>
                <w:highlight w:val="none"/>
                <w:lang w:val="en-US" w:eastAsia="zh-CN"/>
              </w:rPr>
              <w:t>南侧为</w:t>
            </w:r>
            <w:r>
              <w:rPr>
                <w:rFonts w:hint="eastAsia" w:cs="Times New Roman"/>
                <w:color w:val="auto"/>
                <w:kern w:val="0"/>
                <w:sz w:val="21"/>
                <w:szCs w:val="21"/>
                <w:highlight w:val="none"/>
                <w:lang w:val="en-US" w:eastAsia="zh-CN"/>
              </w:rPr>
              <w:t>空地</w:t>
            </w:r>
            <w:r>
              <w:rPr>
                <w:rFonts w:hint="default" w:ascii="Times New Roman" w:hAnsi="Times New Roman" w:cs="Times New Roman"/>
                <w:color w:val="auto"/>
                <w:kern w:val="0"/>
                <w:sz w:val="21"/>
                <w:szCs w:val="21"/>
                <w:highlight w:val="none"/>
                <w:lang w:val="en-US" w:eastAsia="zh-CN"/>
              </w:rPr>
              <w:t>，北侧</w:t>
            </w:r>
            <w:r>
              <w:rPr>
                <w:rFonts w:hint="eastAsia" w:cs="Times New Roman"/>
                <w:color w:val="auto"/>
                <w:kern w:val="0"/>
                <w:sz w:val="21"/>
                <w:szCs w:val="21"/>
                <w:highlight w:val="none"/>
                <w:lang w:val="en-US" w:eastAsia="zh-CN"/>
              </w:rPr>
              <w:t>隔道路距离55m为义安村</w:t>
            </w:r>
            <w:r>
              <w:rPr>
                <w:rFonts w:hint="default" w:ascii="Times New Roman" w:hAnsi="Times New Roman" w:cs="Times New Roman"/>
                <w:color w:val="auto"/>
                <w:kern w:val="0"/>
                <w:sz w:val="21"/>
                <w:szCs w:val="21"/>
                <w:highlight w:val="none"/>
                <w:lang w:val="en-US" w:eastAsia="zh-CN"/>
              </w:rPr>
              <w:t>，西侧</w:t>
            </w:r>
            <w:r>
              <w:rPr>
                <w:rFonts w:hint="eastAsia" w:ascii="Times New Roman" w:hAnsi="Times New Roman" w:cs="Times New Roman"/>
                <w:color w:val="auto"/>
                <w:kern w:val="0"/>
                <w:sz w:val="21"/>
                <w:szCs w:val="21"/>
                <w:highlight w:val="none"/>
                <w:lang w:val="en-US" w:eastAsia="zh-CN"/>
              </w:rPr>
              <w:t>为</w:t>
            </w:r>
            <w:r>
              <w:rPr>
                <w:rFonts w:hint="eastAsia" w:cs="Times New Roman"/>
                <w:color w:val="auto"/>
                <w:kern w:val="0"/>
                <w:sz w:val="21"/>
                <w:szCs w:val="21"/>
                <w:highlight w:val="none"/>
                <w:lang w:val="en-US" w:eastAsia="zh-CN"/>
              </w:rPr>
              <w:t>农田、西侧150米处为黄泥河</w:t>
            </w:r>
            <w:r>
              <w:rPr>
                <w:rFonts w:hint="default" w:ascii="Times New Roman" w:hAnsi="Times New Roman" w:cs="Times New Roman"/>
                <w:color w:val="auto"/>
                <w:kern w:val="0"/>
                <w:sz w:val="21"/>
                <w:szCs w:val="21"/>
                <w:highlight w:val="none"/>
                <w:lang w:val="en-US" w:eastAsia="zh-CN"/>
              </w:rPr>
              <w:t>，东侧</w:t>
            </w:r>
            <w:r>
              <w:rPr>
                <w:rFonts w:hint="eastAsia" w:cs="Times New Roman"/>
                <w:color w:val="auto"/>
                <w:kern w:val="0"/>
                <w:sz w:val="21"/>
                <w:szCs w:val="21"/>
                <w:highlight w:val="none"/>
                <w:lang w:val="en-US" w:eastAsia="zh-CN"/>
              </w:rPr>
              <w:t>为废弃铁路及洗煤厂</w:t>
            </w:r>
            <w:r>
              <w:rPr>
                <w:rFonts w:hint="default"/>
                <w:color w:val="auto"/>
                <w:highlight w:val="none"/>
                <w:lang w:val="en-US" w:eastAsia="zh-CN"/>
              </w:rPr>
              <w:t>。项目所在地具有方便的交通运输和水电条件，便于项目的建设。项目建设过程中产生的噪声、废水、废气、固废对周围环境将产生一定影响</w:t>
            </w:r>
            <w:r>
              <w:rPr>
                <w:rFonts w:hint="eastAsia"/>
                <w:color w:val="auto"/>
                <w:highlight w:val="none"/>
                <w:lang w:val="en-US" w:eastAsia="zh-CN"/>
              </w:rPr>
              <w:t>，本项目厂界外50米范围内无声环境保护目标，厂界外</w:t>
            </w:r>
            <w:r>
              <w:rPr>
                <w:rFonts w:hint="default"/>
                <w:color w:val="auto"/>
                <w:highlight w:val="none"/>
                <w:lang w:val="en-US" w:eastAsia="zh-CN"/>
              </w:rPr>
              <w:t>500米范围内大气环境保护目标</w:t>
            </w:r>
            <w:r>
              <w:rPr>
                <w:rFonts w:hint="eastAsia"/>
                <w:color w:val="auto"/>
                <w:highlight w:val="none"/>
                <w:lang w:val="en-US" w:eastAsia="zh-CN"/>
              </w:rPr>
              <w:t>为义安村、大恒山街道，</w:t>
            </w:r>
            <w:r>
              <w:rPr>
                <w:rFonts w:hint="default" w:ascii="Times New Roman" w:hAnsi="Times New Roman" w:cs="Times New Roman"/>
                <w:color w:val="auto"/>
                <w:kern w:val="0"/>
                <w:sz w:val="21"/>
                <w:szCs w:val="21"/>
                <w:highlight w:val="none"/>
              </w:rPr>
              <w:t>项目区及周围无自然保护区，无风景名胜区，也未发现珍稀保护动植物，属一般区域。本项目所在地地势平坦，厂区地理位置交通便利，基础设施</w:t>
            </w:r>
            <w:r>
              <w:rPr>
                <w:rFonts w:hint="default" w:ascii="Times New Roman" w:hAnsi="Times New Roman" w:cs="Times New Roman"/>
                <w:color w:val="auto"/>
                <w:kern w:val="0"/>
                <w:sz w:val="21"/>
                <w:szCs w:val="21"/>
                <w:highlight w:val="none"/>
                <w:lang w:val="en-US" w:eastAsia="zh-CN"/>
              </w:rPr>
              <w:t>齐全，</w:t>
            </w:r>
            <w:r>
              <w:rPr>
                <w:rFonts w:hint="default" w:ascii="Times New Roman" w:hAnsi="Times New Roman" w:cs="Times New Roman"/>
                <w:color w:val="auto"/>
                <w:kern w:val="0"/>
                <w:sz w:val="21"/>
                <w:szCs w:val="21"/>
                <w:highlight w:val="none"/>
              </w:rPr>
              <w:t>项目不在风景名胜区、自然保护区、水源保护区及其他需要特别保护的区域内，没有明显的环境制约因素。</w:t>
            </w:r>
          </w:p>
          <w:p w14:paraId="6CEE4C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ascii="Times New Roman" w:cs="Times New Roman" w:hAnsiTheme="minorEastAsia" w:eastAsiaTheme="minorEastAsia"/>
                <w:color w:val="auto"/>
                <w:kern w:val="0"/>
                <w:sz w:val="21"/>
                <w:szCs w:val="21"/>
                <w:highlight w:val="none"/>
                <w:lang w:val="en-US" w:eastAsia="zh-CN" w:bidi="ar-SA"/>
              </w:rPr>
            </w:pPr>
            <w:r>
              <w:rPr>
                <w:rFonts w:hint="eastAsia" w:ascii="Times New Roman" w:cs="Times New Roman" w:hAnsiTheme="minorEastAsia" w:eastAsiaTheme="minorEastAsia"/>
                <w:color w:val="auto"/>
                <w:kern w:val="0"/>
                <w:sz w:val="21"/>
                <w:szCs w:val="21"/>
                <w:highlight w:val="none"/>
                <w:lang w:val="en-US" w:eastAsia="zh-CN" w:bidi="ar-SA"/>
              </w:rPr>
              <w:t>（3）污染防治措施可行性</w:t>
            </w:r>
          </w:p>
          <w:p w14:paraId="783BAD9E">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本项目为储煤场项目，日常生产中有无组织颗粒物产生，</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雾降尘，禁止在重污染天气、大风天气进行作业，运输车辆全面苫盖，定期去外部指定洗车点对车辆进行清洗。煤炭堆场及运输产生的颗粒物能够满足《煤炭工业污染物排放标准》（GB20426-2006）中表5无组织</w:t>
            </w:r>
            <w:r>
              <w:rPr>
                <w:rFonts w:hint="eastAsia" w:cs="Times New Roman"/>
                <w:color w:val="auto"/>
                <w:kern w:val="0"/>
                <w:sz w:val="21"/>
                <w:szCs w:val="21"/>
                <w:highlight w:val="none"/>
                <w:lang w:val="en-US" w:eastAsia="zh-CN"/>
              </w:rPr>
              <w:t>限值</w:t>
            </w:r>
            <w:r>
              <w:rPr>
                <w:rFonts w:hint="default" w:ascii="Times New Roman" w:hAnsi="Times New Roman" w:eastAsia="宋体" w:cs="Times New Roman"/>
                <w:color w:val="auto"/>
                <w:kern w:val="0"/>
                <w:sz w:val="21"/>
                <w:szCs w:val="21"/>
                <w:highlight w:val="none"/>
                <w:lang w:val="en-US" w:eastAsia="zh-CN"/>
              </w:rPr>
              <w:t>排放标准</w:t>
            </w:r>
            <w:r>
              <w:rPr>
                <w:rFonts w:hint="eastAsia" w:ascii="Times New Roman" w:hAnsi="Times New Roman"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项目无生产废水产生，生活废水排入防渗旱厕，定期外运堆肥；生产设备选用低噪声设备，采取隔声、降噪等措施，厂界噪声满足《工业企业厂界环境噪声排放标准》</w:t>
            </w:r>
            <w:r>
              <w:rPr>
                <w:rFonts w:hint="default" w:ascii="Times New Roman" w:hAnsi="Times New Roman" w:cs="Times New Roman"/>
                <w:color w:val="auto"/>
                <w:sz w:val="21"/>
                <w:szCs w:val="21"/>
                <w:highlight w:val="none"/>
              </w:rPr>
              <w:t>（GB12348-2008）表1中2类标准要求；生活垃圾由市政部门统一处理；</w:t>
            </w:r>
            <w:r>
              <w:rPr>
                <w:rFonts w:hint="default" w:ascii="Times New Roman" w:hAnsi="Times New Roman" w:cs="Times New Roman"/>
                <w:color w:val="auto"/>
                <w:sz w:val="21"/>
                <w:szCs w:val="21"/>
                <w:highlight w:val="none"/>
                <w:lang w:eastAsia="zh-CN"/>
              </w:rPr>
              <w:t>初期</w:t>
            </w:r>
            <w:r>
              <w:rPr>
                <w:rFonts w:hint="default" w:ascii="Times New Roman" w:hAnsi="Times New Roman" w:cs="Times New Roman"/>
                <w:color w:val="auto"/>
                <w:sz w:val="21"/>
                <w:szCs w:val="21"/>
                <w:highlight w:val="none"/>
                <w:lang w:val="en-US" w:eastAsia="zh-CN"/>
              </w:rPr>
              <w:t>雨水收集池沉渣</w:t>
            </w:r>
            <w:r>
              <w:rPr>
                <w:rFonts w:hint="eastAsia" w:cs="Times New Roman"/>
                <w:color w:val="auto"/>
                <w:sz w:val="21"/>
                <w:szCs w:val="21"/>
                <w:highlight w:val="none"/>
                <w:lang w:val="en-US" w:eastAsia="zh-CN"/>
              </w:rPr>
              <w:t>清理后与煤炭一同外售，</w:t>
            </w:r>
            <w:r>
              <w:rPr>
                <w:rFonts w:hint="default" w:ascii="Times New Roman" w:hAnsi="Times New Roman" w:cs="Times New Roman"/>
                <w:color w:val="auto"/>
                <w:sz w:val="21"/>
                <w:szCs w:val="21"/>
                <w:highlight w:val="none"/>
              </w:rPr>
              <w:t>进行资源化利用，定期清运</w:t>
            </w:r>
            <w:r>
              <w:rPr>
                <w:rFonts w:hint="default" w:ascii="Times New Roman" w:hAnsi="Times New Roman" w:cs="Times New Roman"/>
                <w:color w:val="auto"/>
                <w:sz w:val="21"/>
                <w:szCs w:val="21"/>
                <w:highlight w:val="none"/>
                <w:lang w:eastAsia="zh-CN"/>
              </w:rPr>
              <w:t>；废机油</w:t>
            </w:r>
            <w:r>
              <w:rPr>
                <w:rFonts w:hint="eastAsia" w:cs="Times New Roman"/>
                <w:color w:val="auto"/>
                <w:sz w:val="21"/>
                <w:szCs w:val="21"/>
                <w:highlight w:val="none"/>
                <w:lang w:eastAsia="zh-CN"/>
              </w:rPr>
              <w:t>、废弃含油抹布手套、</w:t>
            </w:r>
            <w:r>
              <w:rPr>
                <w:rFonts w:hint="eastAsia" w:cs="Times New Roman"/>
                <w:color w:val="auto"/>
                <w:sz w:val="21"/>
                <w:szCs w:val="21"/>
                <w:highlight w:val="none"/>
                <w:lang w:val="en-US" w:eastAsia="zh-CN"/>
              </w:rPr>
              <w:t>废机油桶</w:t>
            </w:r>
            <w:r>
              <w:rPr>
                <w:rFonts w:hint="default" w:ascii="Times New Roman" w:hAnsi="Times New Roman" w:cs="Times New Roman"/>
                <w:color w:val="auto"/>
                <w:sz w:val="21"/>
                <w:szCs w:val="21"/>
                <w:highlight w:val="none"/>
                <w:lang w:eastAsia="zh-CN"/>
              </w:rPr>
              <w:t>统一暂存于危险废物贮存点，委托有资质单位处置。</w:t>
            </w:r>
            <w:r>
              <w:rPr>
                <w:rFonts w:hint="default" w:ascii="Times New Roman" w:hAnsi="Times New Roman" w:cs="Times New Roman"/>
                <w:color w:val="auto"/>
                <w:sz w:val="21"/>
                <w:szCs w:val="21"/>
                <w:highlight w:val="none"/>
              </w:rPr>
              <w:t>一</w:t>
            </w:r>
            <w:r>
              <w:rPr>
                <w:rFonts w:hint="default" w:ascii="Times New Roman" w:hAnsi="Times New Roman" w:cs="Times New Roman"/>
                <w:color w:val="auto"/>
                <w:sz w:val="21"/>
                <w:szCs w:val="21"/>
                <w:highlight w:val="none"/>
                <w:lang w:eastAsia="zh-CN"/>
              </w:rPr>
              <w:t>般固废执行《一般工业固体废物贮存和填埋污染控制标准》（GB18599-2020）、《固体废物分类与代码目录》（公告2024年第4号）标准要求，</w:t>
            </w:r>
            <w:r>
              <w:rPr>
                <w:rFonts w:hint="default" w:ascii="Times New Roman" w:hAnsi="Times New Roman" w:cs="Times New Roman"/>
                <w:color w:val="auto"/>
                <w:sz w:val="21"/>
                <w:szCs w:val="21"/>
                <w:highlight w:val="none"/>
                <w:lang w:val="en-US" w:eastAsia="zh-CN"/>
              </w:rPr>
              <w:t>危险废物贮存符合</w:t>
            </w:r>
            <w:r>
              <w:rPr>
                <w:rFonts w:hint="default" w:ascii="Times New Roman" w:hAnsi="Times New Roman" w:cs="Times New Roman"/>
                <w:color w:val="auto"/>
                <w:sz w:val="21"/>
                <w:szCs w:val="21"/>
                <w:highlight w:val="none"/>
                <w:lang w:eastAsia="zh-CN"/>
              </w:rPr>
              <w:t>《危险废物贮存污染控制标准》（GB18597-20</w:t>
            </w:r>
            <w:r>
              <w:rPr>
                <w:rFonts w:hint="default" w:ascii="Times New Roman" w:hAnsi="Times New Roman" w:cs="Times New Roman"/>
                <w:color w:val="auto"/>
                <w:sz w:val="21"/>
                <w:szCs w:val="21"/>
                <w:highlight w:val="none"/>
                <w:lang w:val="en-US" w:eastAsia="zh-CN"/>
              </w:rPr>
              <w:t>23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18"/>
                <w:szCs w:val="18"/>
                <w:highlight w:val="none"/>
                <w:lang w:eastAsia="zh-CN"/>
              </w:rPr>
              <w:t>。</w:t>
            </w:r>
          </w:p>
          <w:p w14:paraId="42D67C20">
            <w:pPr>
              <w:autoSpaceDE w:val="0"/>
              <w:autoSpaceDN w:val="0"/>
              <w:adjustRightInd w:val="0"/>
              <w:snapToGrid w:val="0"/>
              <w:spacing w:line="360" w:lineRule="auto"/>
              <w:ind w:firstLine="420" w:firstLineChars="200"/>
              <w:rPr>
                <w:rFonts w:hint="default" w:ascii="Times New Roman" w:hAnsi="Times New Roman" w:cs="Times New Roman"/>
                <w:color w:val="auto"/>
                <w:kern w:val="0"/>
                <w:sz w:val="21"/>
                <w:szCs w:val="21"/>
                <w:highlight w:val="none"/>
              </w:rPr>
            </w:pPr>
            <w:r>
              <w:rPr>
                <w:rFonts w:hint="eastAsia" w:cs="Times New Roman"/>
                <w:color w:val="auto"/>
                <w:sz w:val="21"/>
                <w:szCs w:val="21"/>
                <w:highlight w:val="none"/>
                <w:lang w:val="en-US" w:eastAsia="zh-CN"/>
              </w:rPr>
              <w:t>项目周边大气环境保护目标均位于厂区上风向、侧风向，</w:t>
            </w:r>
            <w:r>
              <w:rPr>
                <w:rFonts w:hint="default" w:ascii="Times New Roman" w:hAnsi="Times New Roman" w:cs="Times New Roman"/>
                <w:color w:val="auto"/>
                <w:sz w:val="21"/>
                <w:szCs w:val="21"/>
                <w:highlight w:val="none"/>
                <w:lang w:val="en-US" w:eastAsia="zh-CN"/>
              </w:rPr>
              <w:t>综上所述，</w:t>
            </w:r>
            <w:r>
              <w:rPr>
                <w:rFonts w:hint="default" w:ascii="Times New Roman" w:hAnsi="Times New Roman" w:cs="Times New Roman"/>
                <w:color w:val="auto"/>
                <w:sz w:val="21"/>
                <w:szCs w:val="21"/>
                <w:highlight w:val="none"/>
              </w:rPr>
              <w:t>本项目各项污染物经过有效的污染治理措施后对环境影响较小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从环保的角度分析本项目的选址是合理的</w:t>
            </w:r>
            <w:r>
              <w:rPr>
                <w:rFonts w:hint="default" w:ascii="Times New Roman" w:hAnsi="Times New Roman" w:cs="Times New Roman"/>
                <w:color w:val="auto"/>
                <w:kern w:val="0"/>
                <w:sz w:val="21"/>
                <w:szCs w:val="21"/>
                <w:highlight w:val="none"/>
              </w:rPr>
              <w:t>。</w:t>
            </w:r>
          </w:p>
          <w:p w14:paraId="092198DB">
            <w:pPr>
              <w:spacing w:line="360" w:lineRule="auto"/>
              <w:jc w:val="left"/>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生态环境分区管控分析报告</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符合性</w:t>
            </w:r>
          </w:p>
          <w:p w14:paraId="2A908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本项目位于</w:t>
            </w:r>
            <w:r>
              <w:rPr>
                <w:rFonts w:hint="default" w:ascii="Times New Roman" w:hAnsi="Times New Roman" w:cs="Times New Roman"/>
                <w:color w:val="auto"/>
                <w:sz w:val="21"/>
                <w:szCs w:val="21"/>
                <w:highlight w:val="none"/>
                <w:lang w:val="en-US" w:eastAsia="zh-CN"/>
              </w:rPr>
              <w:t>黑龙江省鸡西市</w:t>
            </w:r>
            <w:r>
              <w:rPr>
                <w:rFonts w:hint="eastAsia" w:cs="Times New Roman"/>
                <w:color w:val="auto"/>
                <w:sz w:val="21"/>
                <w:szCs w:val="21"/>
                <w:highlight w:val="none"/>
                <w:lang w:val="en-US" w:eastAsia="zh-CN"/>
              </w:rPr>
              <w:t>恒山区红旗乡义安村</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w:t>
            </w:r>
            <w:r>
              <w:rPr>
                <w:rFonts w:hint="eastAsia" w:ascii="宋体" w:hAnsi="宋体" w:eastAsia="宋体" w:cs="宋体"/>
                <w:color w:val="auto"/>
                <w:kern w:val="0"/>
                <w:sz w:val="21"/>
                <w:szCs w:val="21"/>
                <w:highlight w:val="none"/>
                <w:lang w:bidi="ar"/>
              </w:rPr>
              <w:t>施“三线一单”</w:t>
            </w:r>
            <w:r>
              <w:rPr>
                <w:rFonts w:hint="default" w:ascii="Times New Roman" w:hAnsi="Times New Roman" w:eastAsia="宋体" w:cs="Times New Roman"/>
                <w:color w:val="auto"/>
                <w:kern w:val="0"/>
                <w:sz w:val="21"/>
                <w:szCs w:val="21"/>
                <w:highlight w:val="none"/>
                <w:lang w:bidi="ar"/>
              </w:rPr>
              <w:t>生</w:t>
            </w:r>
            <w:r>
              <w:rPr>
                <w:rFonts w:hint="default" w:ascii="Times New Roman" w:hAnsi="Times New Roman" w:cs="Times New Roman"/>
                <w:color w:val="auto"/>
                <w:kern w:val="0"/>
                <w:sz w:val="21"/>
                <w:szCs w:val="21"/>
                <w:highlight w:val="none"/>
                <w:lang w:bidi="ar"/>
              </w:rPr>
              <w:t>态环境分区管控的意见》（黑政发〔2020〕14号）、《</w:t>
            </w:r>
            <w:r>
              <w:rPr>
                <w:rFonts w:hint="default" w:ascii="Times New Roman" w:hAnsi="Times New Roman"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三线一单</w:t>
            </w:r>
            <w:r>
              <w:rPr>
                <w:rFonts w:hint="eastAsia"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bidi="ar"/>
              </w:rPr>
              <w:t>生态环境分区管控的意见》（</w:t>
            </w:r>
            <w:r>
              <w:rPr>
                <w:rFonts w:hint="default"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default"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sz w:val="21"/>
                <w:szCs w:val="21"/>
                <w:highlight w:val="none"/>
              </w:rPr>
              <w:t>《鸡西市生态环境准入清单》（2023年版）</w:t>
            </w:r>
            <w:r>
              <w:rPr>
                <w:rFonts w:hint="default" w:ascii="Times New Roman" w:hAnsi="Times New Roman" w:cs="Times New Roman"/>
                <w:color w:val="auto"/>
                <w:kern w:val="0"/>
                <w:sz w:val="21"/>
                <w:szCs w:val="21"/>
                <w:highlight w:val="none"/>
                <w:lang w:eastAsia="zh-CN" w:bidi="ar"/>
              </w:rPr>
              <w:t>和《</w:t>
            </w:r>
            <w:r>
              <w:rPr>
                <w:rFonts w:hint="eastAsia" w:cs="Times New Roman"/>
                <w:color w:val="auto"/>
                <w:kern w:val="0"/>
                <w:sz w:val="21"/>
                <w:szCs w:val="21"/>
                <w:highlight w:val="none"/>
                <w:lang w:eastAsia="zh-CN" w:bidi="ar"/>
              </w:rPr>
              <w:t>鸡西市盛熙煤炭销售有限责任公司</w:t>
            </w:r>
            <w:r>
              <w:rPr>
                <w:rFonts w:hint="default" w:ascii="Times New Roman" w:hAnsi="Times New Roman" w:cs="Times New Roman"/>
                <w:color w:val="auto"/>
                <w:kern w:val="0"/>
                <w:sz w:val="21"/>
                <w:szCs w:val="21"/>
                <w:highlight w:val="none"/>
                <w:lang w:eastAsia="zh-CN" w:bidi="ar"/>
              </w:rPr>
              <w:t>生态环境分区管控分析报告》（见附件）</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kern w:val="0"/>
                <w:sz w:val="21"/>
                <w:szCs w:val="21"/>
                <w:highlight w:val="none"/>
                <w:lang w:eastAsia="zh-CN" w:bidi="ar"/>
              </w:rPr>
              <w:t>本项目</w:t>
            </w:r>
            <w:r>
              <w:rPr>
                <w:rFonts w:hint="eastAsia" w:ascii="宋体" w:hAnsi="宋体" w:eastAsia="宋体" w:cs="宋体"/>
                <w:color w:val="auto"/>
                <w:kern w:val="0"/>
                <w:sz w:val="21"/>
                <w:szCs w:val="21"/>
                <w:highlight w:val="none"/>
                <w:lang w:eastAsia="zh-CN" w:bidi="ar"/>
              </w:rPr>
              <w:t>与“生态环境分区管控”</w:t>
            </w:r>
            <w:r>
              <w:rPr>
                <w:rFonts w:hint="default" w:ascii="Times New Roman" w:hAnsi="Times New Roman" w:cs="Times New Roman"/>
                <w:color w:val="auto"/>
                <w:kern w:val="0"/>
                <w:sz w:val="21"/>
                <w:szCs w:val="21"/>
                <w:highlight w:val="none"/>
                <w:lang w:eastAsia="zh-CN" w:bidi="ar"/>
              </w:rPr>
              <w:t>符合性如下：</w:t>
            </w:r>
          </w:p>
          <w:p w14:paraId="45BA23DF">
            <w:pPr>
              <w:pStyle w:val="17"/>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（1）</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一图</w:t>
            </w:r>
            <w:r>
              <w:rPr>
                <w:rFonts w:hint="eastAsia" w:cs="Times New Roman"/>
                <w:color w:val="auto"/>
                <w:sz w:val="21"/>
                <w:szCs w:val="21"/>
                <w:highlight w:val="none"/>
                <w:lang w:eastAsia="zh-CN"/>
              </w:rPr>
              <w:t>”</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eastAsia="zh-CN"/>
              </w:rPr>
              <w:t>根据</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鸡西市盛熙煤炭销售有限责任公司</w:t>
            </w:r>
            <w:r>
              <w:rPr>
                <w:rFonts w:hint="default" w:ascii="Times New Roman" w:hAnsi="Times New Roman" w:cs="Times New Roman"/>
                <w:color w:val="auto"/>
                <w:kern w:val="0"/>
                <w:sz w:val="21"/>
                <w:szCs w:val="21"/>
                <w:highlight w:val="none"/>
                <w:lang w:eastAsia="zh-CN" w:bidi="ar"/>
              </w:rPr>
              <w:t>生态环境分区管控分析报告》，项目与环境管控单元叠加图见图</w:t>
            </w:r>
            <w:r>
              <w:rPr>
                <w:rFonts w:hint="default" w:ascii="Times New Roman" w:hAnsi="Times New Roman" w:cs="Times New Roman"/>
                <w:color w:val="auto"/>
                <w:kern w:val="0"/>
                <w:sz w:val="21"/>
                <w:szCs w:val="21"/>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kern w:val="0"/>
                <w:sz w:val="24"/>
                <w:szCs w:val="24"/>
                <w:highlight w:val="none"/>
              </w:rPr>
            </w:pPr>
            <w:r>
              <w:rPr>
                <w:color w:val="auto"/>
                <w:highlight w:val="none"/>
              </w:rPr>
              <w:drawing>
                <wp:inline distT="0" distB="0" distL="114300" distR="114300">
                  <wp:extent cx="4440555" cy="2281555"/>
                  <wp:effectExtent l="0" t="0" r="17145" b="444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2"/>
                          <a:stretch>
                            <a:fillRect/>
                          </a:stretch>
                        </pic:blipFill>
                        <pic:spPr>
                          <a:xfrm>
                            <a:off x="0" y="0"/>
                            <a:ext cx="4440555" cy="2281555"/>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eastAsia="zh-CN"/>
              </w:rPr>
              <w:t>图</w:t>
            </w:r>
            <w:r>
              <w:rPr>
                <w:rFonts w:hint="default" w:ascii="Times New Roman" w:hAnsi="Times New Roman" w:eastAsia="宋体" w:cs="Times New Roman"/>
                <w:b/>
                <w:bCs/>
                <w:color w:val="auto"/>
                <w:kern w:val="0"/>
                <w:sz w:val="21"/>
                <w:szCs w:val="21"/>
                <w:highlight w:val="none"/>
                <w:lang w:val="en-US" w:eastAsia="zh-CN"/>
              </w:rPr>
              <w:t>1-1与生态环境分区管控叠加图</w:t>
            </w:r>
          </w:p>
          <w:p w14:paraId="07F4930B">
            <w:pPr>
              <w:pStyle w:val="5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一表</w:t>
            </w:r>
            <w:r>
              <w:rPr>
                <w:rFonts w:hint="eastAsia" w:cs="Times New Roman"/>
                <w:color w:val="auto"/>
                <w:sz w:val="21"/>
                <w:szCs w:val="21"/>
                <w:highlight w:val="none"/>
                <w:lang w:val="en-US" w:eastAsia="zh-CN"/>
              </w:rPr>
              <w:t>”</w:t>
            </w:r>
          </w:p>
          <w:p w14:paraId="346552CF">
            <w:pPr>
              <w:pStyle w:val="55"/>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本项目与生态环境准入清单符合性情况见表1-</w:t>
            </w:r>
            <w:r>
              <w:rPr>
                <w:rFonts w:hint="default"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w:t>
            </w:r>
          </w:p>
          <w:p w14:paraId="30B4B2A4">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 xml:space="preserve">3   </w:t>
            </w:r>
            <w:r>
              <w:rPr>
                <w:rFonts w:hint="default" w:ascii="Times New Roman" w:hAnsi="Times New Roman" w:cs="Times New Roman"/>
                <w:b/>
                <w:bCs/>
                <w:color w:val="auto"/>
                <w:sz w:val="21"/>
                <w:szCs w:val="21"/>
                <w:highlight w:val="none"/>
              </w:rPr>
              <w:t>生态环境准入清单符合性分析</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4534"/>
              <w:gridCol w:w="1625"/>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5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根据《</w:t>
                  </w:r>
                  <w:r>
                    <w:rPr>
                      <w:rFonts w:hint="eastAsia" w:cs="Times New Roman"/>
                      <w:color w:val="auto"/>
                      <w:kern w:val="0"/>
                      <w:sz w:val="21"/>
                      <w:szCs w:val="21"/>
                      <w:highlight w:val="none"/>
                      <w:lang w:eastAsia="zh-CN" w:bidi="ar"/>
                    </w:rPr>
                    <w:t>鸡西市盛熙煤炭销售有限责任公司</w:t>
                  </w:r>
                  <w:r>
                    <w:rPr>
                      <w:rFonts w:hint="default" w:ascii="Times New Roman" w:hAnsi="Times New Roman" w:cs="Times New Roman"/>
                      <w:color w:val="auto"/>
                      <w:kern w:val="0"/>
                      <w:sz w:val="21"/>
                      <w:szCs w:val="21"/>
                      <w:highlight w:val="none"/>
                      <w:lang w:eastAsia="zh-CN" w:bidi="ar"/>
                    </w:rPr>
                    <w:t>生态环境分区管控分析报告</w:t>
                  </w: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厂界东侧、南侧约30米外存在一般生态空间，本项目在采矿用地范围内建设，</w:t>
                  </w:r>
                  <w:r>
                    <w:rPr>
                      <w:rFonts w:hint="default" w:ascii="Times New Roman" w:hAnsi="Times New Roman" w:cs="Times New Roman"/>
                      <w:color w:val="auto"/>
                      <w:sz w:val="21"/>
                      <w:szCs w:val="21"/>
                      <w:highlight w:val="none"/>
                      <w:lang w:val="en-US" w:eastAsia="zh-CN"/>
                    </w:rPr>
                    <w:t>不</w:t>
                  </w:r>
                  <w:r>
                    <w:rPr>
                      <w:rFonts w:hint="eastAsia" w:cs="Times New Roman"/>
                      <w:color w:val="auto"/>
                      <w:sz w:val="21"/>
                      <w:szCs w:val="21"/>
                      <w:highlight w:val="none"/>
                      <w:lang w:val="en-US" w:eastAsia="zh-CN"/>
                    </w:rPr>
                    <w:t>占用</w:t>
                  </w:r>
                  <w:r>
                    <w:rPr>
                      <w:rFonts w:hint="default" w:ascii="Times New Roman" w:hAnsi="Times New Roman" w:cs="Times New Roman"/>
                      <w:color w:val="auto"/>
                      <w:sz w:val="21"/>
                      <w:szCs w:val="21"/>
                      <w:highlight w:val="none"/>
                      <w:lang w:val="en-US" w:eastAsia="zh-CN"/>
                    </w:rPr>
                    <w:t>生态保护红线</w:t>
                  </w:r>
                  <w:r>
                    <w:rPr>
                      <w:rFonts w:hint="eastAsia" w:cs="Times New Roman"/>
                      <w:color w:val="auto"/>
                      <w:sz w:val="21"/>
                      <w:szCs w:val="21"/>
                      <w:highlight w:val="none"/>
                      <w:lang w:val="en-US" w:eastAsia="zh-CN"/>
                    </w:rPr>
                    <w:t>、一般生态空间</w:t>
                  </w:r>
                  <w:r>
                    <w:rPr>
                      <w:rFonts w:hint="default" w:ascii="Times New Roman" w:hAnsi="Times New Roman" w:cs="Times New Roman"/>
                      <w:color w:val="auto"/>
                      <w:sz w:val="21"/>
                      <w:szCs w:val="21"/>
                      <w:highlight w:val="none"/>
                      <w:lang w:val="en-US" w:eastAsia="zh-CN"/>
                    </w:rPr>
                    <w:t>。</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58"/>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58"/>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1、大气环境</w:t>
                  </w:r>
                </w:p>
                <w:p w14:paraId="3F3267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rPr>
                    <w:t>根据</w:t>
                  </w:r>
                  <w:r>
                    <w:rPr>
                      <w:rFonts w:hint="eastAsia" w:cs="Times New Roman"/>
                      <w:color w:val="auto"/>
                      <w:sz w:val="21"/>
                      <w:szCs w:val="21"/>
                      <w:highlight w:val="none"/>
                      <w:lang w:eastAsia="zh-CN"/>
                    </w:rPr>
                    <w:t>《2025年黑龙江省生态环境质量状况》（2026年1月）</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鸡西市空气质量级别达二级标准，</w:t>
                  </w:r>
                  <w:r>
                    <w:rPr>
                      <w:rFonts w:hint="eastAsia" w:cs="Times New Roman"/>
                      <w:color w:val="auto"/>
                      <w:sz w:val="21"/>
                      <w:szCs w:val="21"/>
                      <w:highlight w:val="none"/>
                      <w:lang w:val="en-US" w:eastAsia="zh-CN"/>
                    </w:rPr>
                    <w:t>达标天数为350天</w:t>
                  </w:r>
                  <w:r>
                    <w:rPr>
                      <w:rFonts w:hint="default" w:ascii="Times New Roman" w:hAnsi="Times New Roman" w:cs="Times New Roman"/>
                      <w:color w:val="auto"/>
                      <w:sz w:val="21"/>
                      <w:szCs w:val="21"/>
                      <w:highlight w:val="none"/>
                      <w:lang w:val="en-US" w:eastAsia="zh-CN"/>
                    </w:rPr>
                    <w:t>（95.9%）</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0.9</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w:t>
                  </w:r>
                  <w:r>
                    <w:rPr>
                      <w:rFonts w:hint="eastAsia" w:cs="Times New Roman"/>
                      <w:color w:val="auto"/>
                      <w:sz w:val="21"/>
                      <w:szCs w:val="21"/>
                      <w:highlight w:val="none"/>
                      <w:vertAlign w:val="baseline"/>
                      <w:lang w:val="en-US" w:eastAsia="zh-CN"/>
                    </w:rPr>
                    <w:t>115</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w:t>
                  </w:r>
                  <w:r>
                    <w:rPr>
                      <w:rFonts w:hint="eastAsia" w:cs="Times New Roman"/>
                      <w:color w:val="auto"/>
                      <w:kern w:val="21"/>
                      <w:sz w:val="21"/>
                      <w:szCs w:val="21"/>
                      <w:highlight w:val="none"/>
                      <w:lang w:val="en-US" w:eastAsia="zh-CN"/>
                    </w:rPr>
                    <w:t>26</w:t>
                  </w:r>
                  <w:r>
                    <w:rPr>
                      <w:rFonts w:hint="default" w:ascii="Times New Roman" w:hAnsi="Times New Roman" w:eastAsia="宋体" w:cs="Times New Roman"/>
                      <w:color w:val="auto"/>
                      <w:kern w:val="21"/>
                      <w:sz w:val="21"/>
                      <w:szCs w:val="21"/>
                      <w:highlight w:val="none"/>
                    </w:rPr>
                    <w:t>）中的二级标准</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14A3FDF4">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本项目为储煤场项目，日常生产中有无组织颗粒物产生，</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雾降尘，禁止在重污染天气、大风天气进行作业，运输车辆全面苫盖，定期去外部指定洗车点对车辆进行清洗。煤炭堆场及运输产生的颗粒物能够满足《煤炭工业污染物排放标准》（GB20426-2006）中表5无组织</w:t>
                  </w:r>
                  <w:r>
                    <w:rPr>
                      <w:rFonts w:hint="eastAsia" w:cs="Times New Roman"/>
                      <w:color w:val="auto"/>
                      <w:kern w:val="0"/>
                      <w:sz w:val="21"/>
                      <w:szCs w:val="21"/>
                      <w:highlight w:val="none"/>
                      <w:lang w:val="en-US" w:eastAsia="zh-CN"/>
                    </w:rPr>
                    <w:t>限值</w:t>
                  </w:r>
                  <w:r>
                    <w:rPr>
                      <w:rFonts w:hint="default" w:ascii="Times New Roman" w:hAnsi="Times New Roman" w:eastAsia="宋体" w:cs="Times New Roman"/>
                      <w:color w:val="auto"/>
                      <w:kern w:val="0"/>
                      <w:sz w:val="21"/>
                      <w:szCs w:val="21"/>
                      <w:highlight w:val="none"/>
                      <w:lang w:val="en-US" w:eastAsia="zh-CN"/>
                    </w:rPr>
                    <w:t>排放标准</w:t>
                  </w:r>
                  <w:r>
                    <w:rPr>
                      <w:rFonts w:hint="eastAsia" w:ascii="Times New Roman" w:hAnsi="Times New Roman" w:cs="Times New Roman"/>
                      <w:color w:val="auto"/>
                      <w:kern w:val="0"/>
                      <w:sz w:val="21"/>
                      <w:szCs w:val="21"/>
                      <w:highlight w:val="none"/>
                      <w:lang w:val="en-US" w:eastAsia="zh-CN"/>
                    </w:rPr>
                    <w:t>。</w:t>
                  </w:r>
                </w:p>
                <w:p w14:paraId="41732AC3">
                  <w:pPr>
                    <w:pStyle w:val="58"/>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2、水环境</w:t>
                  </w:r>
                </w:p>
                <w:p w14:paraId="325C68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 w:val="21"/>
                      <w:szCs w:val="21"/>
                      <w:highlight w:val="none"/>
                      <w:lang w:val="en-US" w:eastAsia="zh-CN" w:bidi="ar-SA"/>
                    </w:rPr>
                    <w:t>本项目附近地表水体为黄泥河，</w:t>
                  </w:r>
                  <w:r>
                    <w:rPr>
                      <w:rFonts w:hint="eastAsia" w:cs="Times New Roman"/>
                      <w:bCs/>
                      <w:color w:val="auto"/>
                      <w:spacing w:val="0"/>
                      <w:sz w:val="21"/>
                      <w:szCs w:val="21"/>
                      <w:highlight w:val="none"/>
                      <w:u w:val="none"/>
                      <w:lang w:eastAsia="zh-CN"/>
                    </w:rPr>
                    <w:t>最终汇入穆棱河鸡古路西</w:t>
                  </w:r>
                  <w:r>
                    <w:rPr>
                      <w:rFonts w:hint="eastAsia" w:cs="Times New Roman"/>
                      <w:bCs/>
                      <w:color w:val="auto"/>
                      <w:spacing w:val="0"/>
                      <w:sz w:val="21"/>
                      <w:szCs w:val="21"/>
                      <w:highlight w:val="none"/>
                      <w:u w:val="none"/>
                      <w:lang w:val="en-US" w:eastAsia="zh-CN"/>
                    </w:rPr>
                    <w:t>100m</w:t>
                  </w:r>
                  <w:r>
                    <w:rPr>
                      <w:rFonts w:hint="eastAsia" w:cs="Times New Roman"/>
                      <w:bCs/>
                      <w:color w:val="auto"/>
                      <w:spacing w:val="0"/>
                      <w:sz w:val="21"/>
                      <w:szCs w:val="21"/>
                      <w:highlight w:val="none"/>
                      <w:u w:val="none"/>
                      <w:lang w:eastAsia="zh-CN"/>
                    </w:rPr>
                    <w:t>至凯北站段落，根据《全国重要江河湖泊水功能区划（2011—2030年）》水质目标为Ⅲ类，类型为农</w:t>
                  </w:r>
                  <w:r>
                    <w:rPr>
                      <w:rFonts w:hint="eastAsia" w:ascii="Times New Roman" w:hAnsi="Times New Roman" w:eastAsia="宋体" w:cs="Times New Roman"/>
                      <w:bCs/>
                      <w:color w:val="auto"/>
                      <w:spacing w:val="0"/>
                      <w:sz w:val="21"/>
                      <w:szCs w:val="21"/>
                      <w:highlight w:val="none"/>
                      <w:u w:val="none"/>
                      <w:lang w:eastAsia="zh-CN"/>
                    </w:rPr>
                    <w:t>业</w:t>
                  </w:r>
                  <w:r>
                    <w:rPr>
                      <w:rFonts w:hint="default" w:ascii="Times New Roman" w:hAnsi="Times New Roman" w:eastAsia="宋体" w:cs="Times New Roman"/>
                      <w:color w:val="auto"/>
                      <w:sz w:val="21"/>
                      <w:szCs w:val="21"/>
                      <w:highlight w:val="none"/>
                      <w:lang w:val="en-US" w:eastAsia="zh-CN"/>
                    </w:rPr>
                    <w:t>。根据鸡西市人民政府发布的《2024年1-12月地表水国控考核断面水质信息公开》，穆棱河达到</w:t>
                  </w:r>
                  <w:r>
                    <w:rPr>
                      <w:rFonts w:hint="default" w:ascii="Times New Roman" w:hAnsi="Times New Roman" w:cs="Times New Roman"/>
                      <w:color w:val="auto"/>
                      <w:sz w:val="21"/>
                      <w:szCs w:val="21"/>
                      <w:highlight w:val="none"/>
                      <w:lang w:val="en-US" w:eastAsia="zh-CN"/>
                    </w:rPr>
                    <w:t>Ⅲ</w:t>
                  </w:r>
                  <w:r>
                    <w:rPr>
                      <w:rFonts w:hint="default" w:ascii="Times New Roman" w:hAnsi="Times New Roman" w:eastAsia="宋体" w:cs="Times New Roman"/>
                      <w:color w:val="auto"/>
                      <w:sz w:val="21"/>
                      <w:szCs w:val="21"/>
                      <w:highlight w:val="none"/>
                      <w:lang w:val="en-US" w:eastAsia="zh-CN"/>
                    </w:rPr>
                    <w:t>类水质类别标准，因此，本项目所在河段符合《地表水环境质量标准》（GB3838-2002）Ⅲ类标准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项目生活污水排入防渗旱厕，</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雨水进入</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雨水收集池沉淀后回用，项目无废水排放。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3、声环境</w:t>
                  </w:r>
                </w:p>
                <w:p w14:paraId="28EF822E">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default"/>
                      <w:b/>
                      <w:color w:val="auto"/>
                      <w:sz w:val="21"/>
                      <w:szCs w:val="21"/>
                      <w:highlight w:val="none"/>
                    </w:rPr>
                  </w:pPr>
                  <w:r>
                    <w:rPr>
                      <w:rFonts w:hint="eastAsia" w:ascii="Times New Roman" w:hAnsi="Times New Roman" w:eastAsia="宋体" w:cs="Times New Roman"/>
                      <w:color w:val="auto"/>
                      <w:sz w:val="21"/>
                      <w:szCs w:val="21"/>
                      <w:highlight w:val="none"/>
                      <w:lang w:val="en-US" w:eastAsia="zh-CN"/>
                    </w:rPr>
                    <w:t>根据</w:t>
                  </w:r>
                  <w:r>
                    <w:rPr>
                      <w:rFonts w:hint="eastAsia" w:cs="Times New Roman"/>
                      <w:color w:val="auto"/>
                      <w:sz w:val="21"/>
                      <w:szCs w:val="21"/>
                      <w:highlight w:val="none"/>
                      <w:lang w:val="en-US" w:eastAsia="zh-CN"/>
                    </w:rPr>
                    <w:t>《2025年黑龙江省生态环境质量状况》（2026年1月）</w:t>
                  </w:r>
                  <w:r>
                    <w:rPr>
                      <w:rFonts w:hint="eastAsia" w:ascii="Times New Roman" w:hAnsi="Times New Roman" w:eastAsia="宋体" w:cs="Times New Roman"/>
                      <w:color w:val="auto"/>
                      <w:sz w:val="21"/>
                      <w:szCs w:val="21"/>
                      <w:highlight w:val="none"/>
                      <w:lang w:val="en-US" w:eastAsia="zh-CN"/>
                    </w:rPr>
                    <w:t>，鸡西市区域昼间声环境质量为二级，等效声级为53.</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dB（A），道路交通昼间声环境质量为一级，等效声级为6</w:t>
                  </w:r>
                  <w:r>
                    <w:rPr>
                      <w:rFonts w:hint="eastAsia" w:cs="Times New Roman"/>
                      <w:color w:val="auto"/>
                      <w:sz w:val="21"/>
                      <w:szCs w:val="21"/>
                      <w:highlight w:val="none"/>
                      <w:lang w:val="en-US" w:eastAsia="zh-CN"/>
                    </w:rPr>
                    <w:t>4.7</w:t>
                  </w:r>
                  <w:r>
                    <w:rPr>
                      <w:rFonts w:hint="eastAsia" w:ascii="Times New Roman" w:hAnsi="Times New Roman" w:eastAsia="宋体" w:cs="Times New Roman"/>
                      <w:color w:val="auto"/>
                      <w:sz w:val="21"/>
                      <w:szCs w:val="21"/>
                      <w:highlight w:val="none"/>
                      <w:lang w:val="en-US" w:eastAsia="zh-CN"/>
                    </w:rPr>
                    <w:t>dB（A），功能区昼间达标率</w:t>
                  </w:r>
                  <w:r>
                    <w:rPr>
                      <w:rFonts w:hint="eastAsia" w:cs="Times New Roman"/>
                      <w:color w:val="auto"/>
                      <w:sz w:val="21"/>
                      <w:szCs w:val="21"/>
                      <w:highlight w:val="none"/>
                      <w:lang w:val="en-US" w:eastAsia="zh-CN"/>
                    </w:rPr>
                    <w:t>87.7</w:t>
                  </w:r>
                  <w:r>
                    <w:rPr>
                      <w:rFonts w:hint="eastAsia" w:ascii="Times New Roman" w:hAnsi="Times New Roman" w:eastAsia="宋体" w:cs="Times New Roman"/>
                      <w:color w:val="auto"/>
                      <w:sz w:val="21"/>
                      <w:szCs w:val="21"/>
                      <w:highlight w:val="none"/>
                      <w:lang w:val="en-US" w:eastAsia="zh-CN"/>
                    </w:rPr>
                    <w:t>%，功能区夜间达标率</w:t>
                  </w:r>
                  <w:r>
                    <w:rPr>
                      <w:rFonts w:hint="eastAsia" w:cs="Times New Roman"/>
                      <w:color w:val="auto"/>
                      <w:sz w:val="21"/>
                      <w:szCs w:val="21"/>
                      <w:highlight w:val="none"/>
                      <w:lang w:val="en-US" w:eastAsia="zh-CN"/>
                    </w:rPr>
                    <w:t>97.6</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本项目厂界外50米范围无声环境保护目标，故未开展现状监测。</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cs="Times New Roman"/>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5" w:hRule="atLeast"/>
                <w:jc w:val="center"/>
              </w:trPr>
              <w:tc>
                <w:tcPr>
                  <w:tcW w:w="5000" w:type="pct"/>
                  <w:gridSpan w:val="3"/>
                  <w:tcBorders>
                    <w:top w:val="single" w:color="auto" w:sz="4" w:space="0"/>
                    <w:bottom w:val="single" w:color="auto" w:sz="4" w:space="0"/>
                  </w:tcBorders>
                  <w:noWrap w:val="0"/>
                  <w:vAlign w:val="center"/>
                </w:tcPr>
                <w:p w14:paraId="26A8FA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本项目生活用水外购桶装水，生产用水由厂区内</w:t>
                  </w:r>
                  <w:r>
                    <w:rPr>
                      <w:rFonts w:hint="eastAsia" w:cs="Times New Roman"/>
                      <w:color w:val="auto"/>
                      <w:kern w:val="0"/>
                      <w:sz w:val="21"/>
                      <w:szCs w:val="21"/>
                      <w:highlight w:val="none"/>
                      <w:lang w:val="en-US" w:eastAsia="zh-CN" w:bidi="ar-SA"/>
                    </w:rPr>
                    <w:t>收集的初期雨水</w:t>
                  </w:r>
                  <w:r>
                    <w:rPr>
                      <w:rFonts w:hint="default" w:ascii="Times New Roman" w:hAnsi="Times New Roman" w:eastAsia="宋体" w:cs="Times New Roman"/>
                      <w:color w:val="auto"/>
                      <w:kern w:val="0"/>
                      <w:sz w:val="21"/>
                      <w:szCs w:val="21"/>
                      <w:highlight w:val="none"/>
                      <w:lang w:val="en-US" w:eastAsia="zh-CN" w:bidi="ar-SA"/>
                    </w:rPr>
                    <w:t>和</w:t>
                  </w:r>
                  <w:r>
                    <w:rPr>
                      <w:rFonts w:hint="eastAsia" w:cs="Times New Roman"/>
                      <w:color w:val="auto"/>
                      <w:kern w:val="0"/>
                      <w:sz w:val="21"/>
                      <w:szCs w:val="21"/>
                      <w:highlight w:val="none"/>
                      <w:lang w:val="en-US" w:eastAsia="zh-CN" w:bidi="ar-SA"/>
                    </w:rPr>
                    <w:t>义安村自来水管网供应</w:t>
                  </w:r>
                  <w:r>
                    <w:rPr>
                      <w:rFonts w:hint="default" w:ascii="Times New Roman" w:hAnsi="Times New Roman" w:eastAsia="宋体" w:cs="Times New Roman"/>
                      <w:color w:val="auto"/>
                      <w:kern w:val="0"/>
                      <w:sz w:val="21"/>
                      <w:szCs w:val="21"/>
                      <w:highlight w:val="none"/>
                      <w:lang w:val="en-US" w:eastAsia="zh-CN" w:bidi="ar-SA"/>
                    </w:rPr>
                    <w:t>；本项目用地性质为</w:t>
                  </w:r>
                  <w:r>
                    <w:rPr>
                      <w:rFonts w:hint="eastAsia" w:cs="Times New Roman"/>
                      <w:color w:val="auto"/>
                      <w:kern w:val="0"/>
                      <w:sz w:val="21"/>
                      <w:szCs w:val="21"/>
                      <w:highlight w:val="none"/>
                      <w:lang w:val="en-US" w:eastAsia="zh-CN" w:bidi="ar-SA"/>
                    </w:rPr>
                    <w:t>采矿用地</w:t>
                  </w:r>
                  <w:r>
                    <w:rPr>
                      <w:rFonts w:hint="default" w:ascii="Times New Roman" w:hAnsi="Times New Roman" w:eastAsia="宋体" w:cs="Times New Roman"/>
                      <w:color w:val="auto"/>
                      <w:kern w:val="0"/>
                      <w:sz w:val="21"/>
                      <w:szCs w:val="21"/>
                      <w:highlight w:val="none"/>
                      <w:lang w:val="en-US" w:eastAsia="zh-CN" w:bidi="ar-SA"/>
                    </w:rPr>
                    <w:t>，不占用基本农田；电源依托市政设施。综上，本项目不会突破资源利用上线。</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4164" w:type="pct"/>
                  <w:gridSpan w:val="2"/>
                  <w:tcBorders>
                    <w:top w:val="single" w:color="auto" w:sz="4" w:space="0"/>
                    <w:left w:val="single" w:color="auto" w:sz="4" w:space="0"/>
                    <w:bottom w:val="single" w:color="auto" w:sz="4" w:space="0"/>
                  </w:tcBorders>
                  <w:noWrap w:val="0"/>
                  <w:vAlign w:val="center"/>
                </w:tcPr>
                <w:p w14:paraId="376FA48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恒山区大气环境布局敏感重点管控区</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4164" w:type="pct"/>
                  <w:gridSpan w:val="2"/>
                  <w:tcBorders>
                    <w:top w:val="single" w:color="auto" w:sz="4" w:space="0"/>
                    <w:left w:val="single" w:color="auto" w:sz="4" w:space="0"/>
                    <w:bottom w:val="single" w:color="auto" w:sz="4" w:space="0"/>
                  </w:tcBorders>
                  <w:noWrap w:val="0"/>
                  <w:vAlign w:val="center"/>
                </w:tcPr>
                <w:p w14:paraId="59DB823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ZH23030</w:t>
                  </w:r>
                  <w:r>
                    <w:rPr>
                      <w:rFonts w:hint="eastAsia" w:cs="Times New Roman"/>
                      <w:color w:val="auto"/>
                      <w:kern w:val="0"/>
                      <w:sz w:val="21"/>
                      <w:szCs w:val="21"/>
                      <w:highlight w:val="none"/>
                      <w:lang w:val="en-US" w:eastAsia="zh-CN" w:bidi="ar"/>
                    </w:rPr>
                    <w:t>3</w:t>
                  </w:r>
                  <w:r>
                    <w:rPr>
                      <w:rFonts w:hint="default" w:ascii="Times New Roman" w:hAnsi="Times New Roman" w:eastAsia="宋体" w:cs="Times New Roman"/>
                      <w:color w:val="auto"/>
                      <w:kern w:val="0"/>
                      <w:sz w:val="21"/>
                      <w:szCs w:val="21"/>
                      <w:highlight w:val="none"/>
                      <w:lang w:val="en-US" w:eastAsia="zh-CN" w:bidi="ar"/>
                    </w:rPr>
                    <w:t>2000</w:t>
                  </w:r>
                  <w:r>
                    <w:rPr>
                      <w:rFonts w:hint="eastAsia" w:cs="Times New Roman"/>
                      <w:color w:val="auto"/>
                      <w:kern w:val="0"/>
                      <w:sz w:val="21"/>
                      <w:szCs w:val="21"/>
                      <w:highlight w:val="none"/>
                      <w:lang w:val="en-US" w:eastAsia="zh-CN" w:bidi="ar"/>
                    </w:rPr>
                    <w:t>4</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管控单元类别</w:t>
                  </w:r>
                </w:p>
              </w:tc>
              <w:tc>
                <w:tcPr>
                  <w:tcW w:w="4164" w:type="pct"/>
                  <w:gridSpan w:val="2"/>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重点管控</w:t>
                  </w:r>
                  <w:r>
                    <w:rPr>
                      <w:rFonts w:hint="default" w:ascii="Times New Roman" w:hAnsi="Times New Roman" w:cs="Times New Roman"/>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AFF4CB">
                  <w:pPr>
                    <w:keepNext w:val="0"/>
                    <w:keepLines w:val="0"/>
                    <w:widowControl/>
                    <w:suppressLineNumbers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1.严控</w:t>
                  </w:r>
                  <w:r>
                    <w:rPr>
                      <w:rFonts w:hint="eastAsia" w:ascii="宋体" w:hAnsi="宋体" w:eastAsia="宋体" w:cs="宋体"/>
                      <w:color w:val="auto"/>
                      <w:kern w:val="0"/>
                      <w:sz w:val="21"/>
                      <w:szCs w:val="21"/>
                      <w:highlight w:val="none"/>
                      <w:lang w:val="en-US" w:eastAsia="zh-CN" w:bidi="ar"/>
                    </w:rPr>
                    <w:t>“两高”</w:t>
                  </w:r>
                  <w:r>
                    <w:rPr>
                      <w:rFonts w:hint="default" w:ascii="Times New Roman" w:hAnsi="Times New Roman" w:eastAsia="宋体" w:cs="Times New Roman"/>
                      <w:color w:val="auto"/>
                      <w:kern w:val="0"/>
                      <w:sz w:val="21"/>
                      <w:szCs w:val="21"/>
                      <w:highlight w:val="none"/>
                      <w:lang w:val="en-US" w:eastAsia="zh-CN" w:bidi="ar"/>
                    </w:rPr>
                    <w:t>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kern w:val="0"/>
                      <w:sz w:val="21"/>
                      <w:szCs w:val="21"/>
                      <w:highlight w:val="none"/>
                    </w:rPr>
                    <w:t>本</w:t>
                  </w:r>
                  <w:r>
                    <w:rPr>
                      <w:rFonts w:hint="default" w:ascii="Times New Roman" w:hAnsi="Times New Roman" w:eastAsia="宋体" w:cs="Times New Roman"/>
                      <w:snapToGrid w:val="0"/>
                      <w:color w:val="auto"/>
                      <w:kern w:val="0"/>
                      <w:sz w:val="21"/>
                      <w:szCs w:val="21"/>
                      <w:highlight w:val="none"/>
                      <w:lang w:val="en-US" w:eastAsia="zh-CN"/>
                    </w:rPr>
                    <w:t>项目为储煤场项目，仅用于煤炭储存</w:t>
                  </w:r>
                  <w:r>
                    <w:rPr>
                      <w:rFonts w:hint="default" w:ascii="Times New Roman" w:hAnsi="Times New Roman" w:cs="Times New Roman"/>
                      <w:snapToGrid w:val="0"/>
                      <w:color w:val="auto"/>
                      <w:kern w:val="0"/>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eastAsia="zh-CN"/>
                    </w:rPr>
                    <w:t>不属</w:t>
                  </w:r>
                  <w:r>
                    <w:rPr>
                      <w:rFonts w:hint="eastAsia" w:ascii="宋体" w:hAnsi="宋体" w:eastAsia="宋体" w:cs="宋体"/>
                      <w:b w:val="0"/>
                      <w:bCs w:val="0"/>
                      <w:color w:val="auto"/>
                      <w:sz w:val="21"/>
                      <w:szCs w:val="21"/>
                      <w:highlight w:val="none"/>
                      <w:lang w:eastAsia="zh-CN"/>
                    </w:rPr>
                    <w:t>于“</w:t>
                  </w:r>
                  <w:r>
                    <w:rPr>
                      <w:rFonts w:hint="eastAsia" w:ascii="宋体" w:hAnsi="宋体" w:eastAsia="宋体" w:cs="宋体"/>
                      <w:b w:val="0"/>
                      <w:bCs w:val="0"/>
                      <w:color w:val="auto"/>
                      <w:sz w:val="21"/>
                      <w:szCs w:val="21"/>
                      <w:highlight w:val="none"/>
                      <w:lang w:val="en-US" w:eastAsia="zh-CN"/>
                    </w:rPr>
                    <w:t>两高</w:t>
                  </w:r>
                  <w:r>
                    <w:rPr>
                      <w:rFonts w:hint="eastAsia" w:ascii="宋体" w:hAnsi="宋体" w:eastAsia="宋体" w:cs="宋体"/>
                      <w:b w:val="0"/>
                      <w:bCs w:val="0"/>
                      <w:color w:val="auto"/>
                      <w:sz w:val="21"/>
                      <w:szCs w:val="21"/>
                      <w:highlight w:val="none"/>
                      <w:lang w:eastAsia="zh-CN"/>
                    </w:rPr>
                    <w:t>”</w:t>
                  </w:r>
                  <w:r>
                    <w:rPr>
                      <w:rFonts w:hint="default" w:ascii="Times New Roman" w:hAnsi="Times New Roman" w:cs="Times New Roman"/>
                      <w:b w:val="0"/>
                      <w:bCs w:val="0"/>
                      <w:color w:val="auto"/>
                      <w:sz w:val="21"/>
                      <w:szCs w:val="21"/>
                      <w:highlight w:val="none"/>
                      <w:lang w:val="en-US" w:eastAsia="zh-CN"/>
                    </w:rPr>
                    <w:t>行业。</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tcBorders>
                    <w:top w:val="single" w:color="auto" w:sz="4" w:space="0"/>
                    <w:left w:val="single" w:color="auto" w:sz="4" w:space="0"/>
                    <w:bottom w:val="single" w:color="auto" w:sz="4" w:space="0"/>
                    <w:right w:val="single" w:color="auto" w:sz="4" w:space="0"/>
                  </w:tcBorders>
                  <w:noWrap w:val="0"/>
                  <w:vAlign w:val="center"/>
                </w:tcPr>
                <w:p w14:paraId="5A0DE061">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1.对以煤、石焦油、渣油、重油等为燃料的锅炉和工业炉窑，加快使用清洁低碳能源以及工厂余热、电力热力等进行替代。2.到2025年，在用65蒸吨/小时以上的燃煤锅炉（含电力）实现超低排放，钢铁企业基本实现超低排放。人民政府应当合理确定城镇排水与污水处理设施建设标准，统筹安排管网、泵站、污水处理厂以及污泥处理处置、再生水利用、雨水调蓄和排放等排水与污水处理设施建设和改造，提高城镇污水收集率和处理率。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rPr>
                    <w:t>本项目为储煤场项目，冬季供暖采用电取暖</w:t>
                  </w:r>
                  <w:r>
                    <w:rPr>
                      <w:rFonts w:hint="default" w:ascii="Times New Roman" w:hAnsi="Times New Roman" w:cs="Times New Roman"/>
                      <w:snapToGrid w:val="0"/>
                      <w:color w:val="auto"/>
                      <w:kern w:val="0"/>
                      <w:sz w:val="21"/>
                      <w:szCs w:val="21"/>
                      <w:highlight w:val="none"/>
                      <w:lang w:eastAsia="zh-CN"/>
                    </w:rPr>
                    <w:t>；不涉及燃料使用</w:t>
                  </w:r>
                  <w:r>
                    <w:rPr>
                      <w:rFonts w:hint="default" w:ascii="Times New Roman" w:hAnsi="Times New Roman" w:cs="Times New Roman"/>
                      <w:snapToGrid w:val="0"/>
                      <w:color w:val="auto"/>
                      <w:kern w:val="0"/>
                      <w:sz w:val="21"/>
                      <w:szCs w:val="21"/>
                      <w:highlight w:val="none"/>
                      <w:lang w:val="en-US" w:eastAsia="zh-CN"/>
                    </w:rPr>
                    <w:t>。</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0E741C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环境风险防控</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C898AA8">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禁止在居民区、学校、医疗和养老机构等周边新建有色金属冶炼、焦化等行业企业。</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snapToGrid w:val="0"/>
                      <w:color w:val="auto"/>
                      <w:kern w:val="0"/>
                      <w:sz w:val="21"/>
                      <w:szCs w:val="21"/>
                      <w:highlight w:val="none"/>
                    </w:rPr>
                    <w:t>本项目</w:t>
                  </w:r>
                  <w:r>
                    <w:rPr>
                      <w:rFonts w:hint="default" w:ascii="Times New Roman" w:hAnsi="Times New Roman" w:cs="Times New Roman"/>
                      <w:b w:val="0"/>
                      <w:bCs w:val="0"/>
                      <w:snapToGrid w:val="0"/>
                      <w:color w:val="auto"/>
                      <w:kern w:val="0"/>
                      <w:sz w:val="21"/>
                      <w:szCs w:val="21"/>
                      <w:highlight w:val="none"/>
                      <w:lang w:val="en-US" w:eastAsia="zh-CN"/>
                    </w:rPr>
                    <w:t>不属于有色金属冶炼、焦化等行业企业</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环境管控区名称</w:t>
                  </w:r>
                </w:p>
              </w:tc>
              <w:tc>
                <w:tcPr>
                  <w:tcW w:w="416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恒山区地下水环境一般管控区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环境管控区编码</w:t>
                  </w:r>
                </w:p>
              </w:tc>
              <w:tc>
                <w:tcPr>
                  <w:tcW w:w="416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YS2303036310001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管控区类型</w:t>
                  </w:r>
                </w:p>
              </w:tc>
              <w:tc>
                <w:tcPr>
                  <w:tcW w:w="416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5DB03B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5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一说明</w:t>
            </w:r>
            <w:r>
              <w:rPr>
                <w:rFonts w:hint="eastAsia" w:cs="Times New Roman"/>
                <w:color w:val="auto"/>
                <w:kern w:val="2"/>
                <w:sz w:val="21"/>
                <w:szCs w:val="21"/>
                <w:highlight w:val="none"/>
                <w:lang w:val="en-US" w:eastAsia="zh-CN" w:bidi="ar-SA"/>
              </w:rPr>
              <w:t>”</w:t>
            </w:r>
          </w:p>
          <w:p w14:paraId="7921DFF0">
            <w:pPr>
              <w:pStyle w:val="5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根据黑龙江省生态环境分区管控数据应用平台查询的《生态环境分区管控分析报告》（分析报告见附件）：</w:t>
            </w:r>
          </w:p>
          <w:p w14:paraId="6E55E07A">
            <w:pPr>
              <w:pStyle w:val="5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本项目与生态保护红线交集面积为0.00平方公里，占项目占地面积的0.00%。</w:t>
            </w:r>
          </w:p>
          <w:p w14:paraId="44C6DA80">
            <w:pPr>
              <w:pStyle w:val="5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与自然保护地整合优化方案数据交集面积为0.00平方公里，占项目占地面积的0.00%。保护地涉及等类型。与自然保护地</w:t>
            </w:r>
            <w:r>
              <w:rPr>
                <w:rFonts w:hint="default"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现状管理数据</w:t>
            </w:r>
            <w:r>
              <w:rPr>
                <w:rFonts w:hint="default"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交集面积为0.00平方公里，占项目占地面积的0.00%。保护地涉及等类型。</w:t>
            </w:r>
          </w:p>
          <w:p w14:paraId="31366073">
            <w:pPr>
              <w:pStyle w:val="5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与饮用水水源保护区交集面积为0.00平方公里，占项目占地面积的0.00%。与国家级水产种质资源保护区交集面积为0.00平方公里，占项目占地面积的0.00%。</w:t>
            </w:r>
          </w:p>
          <w:p w14:paraId="6EE3A27A">
            <w:pPr>
              <w:pStyle w:val="5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与环境管控单元优先保护单元交集面积为0.00平方公里，占项目占地面积的0.00%；与重点管控单元交集面积为0.</w:t>
            </w: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平方公里，占项目占地面积的100.00%；一般管控单元交集面积为0.00平方公里，占项目占地面积的0.00%。</w:t>
            </w:r>
          </w:p>
          <w:p w14:paraId="30BB1DE7">
            <w:pPr>
              <w:pStyle w:val="5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与地下水环境优先保护区交集面积为0.00平方公里，占项目占地面积的0.00%；与地下水环境重点管控区交集面积为0.00 平方公里，占项目占地面积的0.00%，与地下水环境一般管控区交集面积为0.</w:t>
            </w:r>
            <w:r>
              <w:rPr>
                <w:rFonts w:hint="default" w:ascii="Times New Roman" w:hAnsi="Times New Roman"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平方公里，占项目占地面积的100.00%。</w:t>
            </w:r>
          </w:p>
          <w:p w14:paraId="1468281D">
            <w:pPr>
              <w:pStyle w:val="55"/>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综上所述，</w:t>
            </w:r>
            <w:r>
              <w:rPr>
                <w:rFonts w:hint="default" w:ascii="Times New Roman" w:hAnsi="Times New Roman" w:eastAsia="宋体" w:cs="Times New Roman"/>
                <w:color w:val="auto"/>
                <w:kern w:val="0"/>
                <w:sz w:val="21"/>
                <w:szCs w:val="21"/>
                <w:highlight w:val="none"/>
                <w:lang w:val="en-US" w:eastAsia="zh-CN" w:bidi="ar-SA"/>
              </w:rPr>
              <w:t>本项目采取了有效、可行的污染治理措施，各项污染物均可达标排放，本项目建设对周围环境影响较小，因此本项目符合</w:t>
            </w:r>
            <w:r>
              <w:rPr>
                <w:rFonts w:hint="default" w:ascii="Times New Roman" w:hAnsi="Times New Roman" w:cs="Times New Roman"/>
                <w:color w:val="auto"/>
                <w:kern w:val="0"/>
                <w:sz w:val="21"/>
                <w:szCs w:val="21"/>
                <w:highlight w:val="none"/>
                <w:lang w:bidi="ar"/>
              </w:rPr>
              <w:t>《黑龙江省人民政府关于实</w:t>
            </w:r>
            <w:r>
              <w:rPr>
                <w:rFonts w:hint="eastAsia" w:ascii="宋体" w:hAnsi="宋体" w:eastAsia="宋体" w:cs="宋体"/>
                <w:color w:val="auto"/>
                <w:kern w:val="0"/>
                <w:sz w:val="21"/>
                <w:szCs w:val="21"/>
                <w:highlight w:val="none"/>
                <w:lang w:bidi="ar"/>
              </w:rPr>
              <w:t>施“三线一单”</w:t>
            </w:r>
            <w:r>
              <w:rPr>
                <w:rFonts w:hint="default" w:ascii="Times New Roman" w:hAnsi="Times New Roman" w:eastAsia="宋体" w:cs="Times New Roman"/>
                <w:color w:val="auto"/>
                <w:kern w:val="0"/>
                <w:sz w:val="21"/>
                <w:szCs w:val="21"/>
                <w:highlight w:val="none"/>
                <w:lang w:bidi="ar"/>
              </w:rPr>
              <w:t>生</w:t>
            </w:r>
            <w:r>
              <w:rPr>
                <w:rFonts w:hint="default" w:ascii="Times New Roman" w:hAnsi="Times New Roman" w:cs="Times New Roman"/>
                <w:color w:val="auto"/>
                <w:kern w:val="0"/>
                <w:sz w:val="21"/>
                <w:szCs w:val="21"/>
                <w:highlight w:val="none"/>
                <w:lang w:bidi="ar"/>
              </w:rPr>
              <w:t>态环境分区管控的意见》（黑政发〔2020〕14号）、《</w:t>
            </w:r>
            <w:r>
              <w:rPr>
                <w:rFonts w:hint="default" w:ascii="Times New Roman" w:hAnsi="Times New Roman"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三线一单</w:t>
            </w:r>
            <w:r>
              <w:rPr>
                <w:rFonts w:hint="eastAsia"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bidi="ar"/>
              </w:rPr>
              <w:t>生态环境分区管控的意见》（</w:t>
            </w:r>
            <w:r>
              <w:rPr>
                <w:rFonts w:hint="default"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default"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sz w:val="21"/>
                <w:szCs w:val="21"/>
                <w:highlight w:val="none"/>
              </w:rPr>
              <w:t>《鸡西市生态环境准入清单》（2023年版）</w:t>
            </w:r>
            <w:r>
              <w:rPr>
                <w:rFonts w:hint="eastAsia" w:ascii="Times New Roman" w:hAnsi="Times New Roman" w:eastAsia="宋体" w:cs="Times New Roman"/>
                <w:color w:val="auto"/>
                <w:kern w:val="0"/>
                <w:sz w:val="21"/>
                <w:szCs w:val="21"/>
                <w:highlight w:val="none"/>
                <w:lang w:val="en-US" w:eastAsia="zh-CN" w:bidi="ar-SA"/>
              </w:rPr>
              <w:t>及管控单元生态环境准入清单</w:t>
            </w:r>
            <w:r>
              <w:rPr>
                <w:rFonts w:hint="default" w:ascii="Times New Roman" w:hAnsi="Times New Roman" w:eastAsia="宋体" w:cs="Times New Roman"/>
                <w:color w:val="auto"/>
                <w:kern w:val="0"/>
                <w:sz w:val="21"/>
                <w:szCs w:val="21"/>
                <w:highlight w:val="none"/>
                <w:lang w:val="en-US" w:eastAsia="zh-CN" w:bidi="ar-SA"/>
              </w:rPr>
              <w:t>要求。</w:t>
            </w:r>
          </w:p>
          <w:p w14:paraId="5C155522">
            <w:pPr>
              <w:spacing w:line="360" w:lineRule="auto"/>
              <w:jc w:val="left"/>
              <w:rPr>
                <w:rFonts w:hint="default" w:ascii="Times New Roman" w:hAnsi="Times New Roman" w:cs="Times New Roman"/>
                <w:b/>
                <w:color w:val="auto"/>
                <w:sz w:val="21"/>
                <w:szCs w:val="21"/>
                <w:highlight w:val="none"/>
                <w:lang w:val="en-US"/>
              </w:rPr>
            </w:pPr>
            <w:r>
              <w:rPr>
                <w:rFonts w:hint="default" w:ascii="Times New Roman" w:hAnsi="Times New Roman" w:cs="Times New Roman"/>
                <w:b/>
                <w:color w:val="auto"/>
                <w:sz w:val="21"/>
                <w:szCs w:val="21"/>
                <w:highlight w:val="none"/>
                <w:lang w:val="en-US" w:eastAsia="zh-CN"/>
              </w:rPr>
              <w:t>5</w:t>
            </w:r>
            <w:r>
              <w:rPr>
                <w:rFonts w:hint="default" w:ascii="Times New Roman" w:hAnsi="Times New Roman" w:cs="Times New Roman"/>
                <w:b/>
                <w:color w:val="auto"/>
                <w:sz w:val="21"/>
                <w:szCs w:val="21"/>
                <w:highlight w:val="none"/>
              </w:rPr>
              <w:t>、</w:t>
            </w:r>
            <w:r>
              <w:rPr>
                <w:rFonts w:hint="default" w:ascii="Times New Roman" w:hAnsi="Times New Roman" w:cs="Times New Roman"/>
                <w:b/>
                <w:color w:val="auto"/>
                <w:sz w:val="21"/>
                <w:szCs w:val="21"/>
                <w:highlight w:val="none"/>
                <w:lang w:val="en-US" w:eastAsia="zh-CN"/>
              </w:rPr>
              <w:t>与</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鸡西市洗煤厂、储煤厂排查整治工作方案</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鸡西市洗煤厂、储煤场环境综合整治验收标准</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的符合性分析</w:t>
            </w:r>
          </w:p>
          <w:p w14:paraId="3DDB03D1">
            <w:pPr>
              <w:pStyle w:val="35"/>
              <w:spacing w:before="0" w:beforeLines="0" w:after="0" w:afterLines="0" w:line="360" w:lineRule="auto"/>
              <w:ind w:firstLine="480"/>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2023年6月，鸡西市生态环境保护综合执法局发布了《鸡西市洗煤厂、储煤厂排查整治工作方案》及鸡西市生态环境保护委员会办公室发布了《鸡西市洗煤厂、储煤场环境综合整治验收标准》，本项目与《鸡西市洗煤厂、储煤厂排查整治工作方案》及《鸡西市洗煤厂、储煤场环境综合整治验收标准》符合性分析详见下表。</w:t>
            </w:r>
          </w:p>
          <w:p w14:paraId="0DBE3B09">
            <w:pPr>
              <w:pStyle w:val="35"/>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480"/>
              <w:textAlignment w:val="baseline"/>
              <w:rPr>
                <w:rFonts w:hint="default" w:ascii="Times New Roman" w:hAnsi="Times New Roman" w:cs="Times New Roman"/>
                <w:color w:val="auto"/>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表1-</w:t>
            </w:r>
            <w:r>
              <w:rPr>
                <w:rFonts w:hint="default" w:ascii="Times New Roman" w:hAnsi="Times New Roman" w:cs="Times New Roman"/>
                <w:b/>
                <w:bCs/>
                <w:color w:val="auto"/>
                <w:kern w:val="2"/>
                <w:sz w:val="21"/>
                <w:szCs w:val="21"/>
                <w:highlight w:val="none"/>
                <w:lang w:val="en-US" w:eastAsia="zh-CN" w:bidi="ar-SA"/>
              </w:rPr>
              <w:t>4</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鸡西市洗煤厂、储煤厂排查整治工作方案</w:t>
            </w:r>
            <w:r>
              <w:rPr>
                <w:rFonts w:hint="default" w:ascii="Times New Roman" w:hAnsi="Times New Roman" w:cs="Times New Roman"/>
                <w:b/>
                <w:color w:val="auto"/>
                <w:sz w:val="21"/>
                <w:szCs w:val="21"/>
                <w:highlight w:val="none"/>
                <w:lang w:eastAsia="zh-CN"/>
              </w:rPr>
              <w:t>》《</w:t>
            </w:r>
            <w:r>
              <w:rPr>
                <w:rFonts w:hint="default" w:ascii="Times New Roman" w:hAnsi="Times New Roman" w:eastAsia="宋体" w:cs="Times New Roman"/>
                <w:b/>
                <w:bCs/>
                <w:color w:val="auto"/>
                <w:kern w:val="2"/>
                <w:sz w:val="21"/>
                <w:szCs w:val="21"/>
                <w:highlight w:val="none"/>
                <w:lang w:val="en-US" w:eastAsia="zh-CN" w:bidi="ar-SA"/>
              </w:rPr>
              <w:t>鸡西市洗煤厂、储煤场环境综合整治</w:t>
            </w:r>
            <w:r>
              <w:rPr>
                <w:rFonts w:hint="default" w:ascii="Times New Roman" w:hAnsi="Times New Roman" w:cs="Times New Roman"/>
                <w:b/>
                <w:bCs/>
                <w:color w:val="auto"/>
                <w:kern w:val="2"/>
                <w:sz w:val="21"/>
                <w:szCs w:val="21"/>
                <w:highlight w:val="none"/>
                <w:lang w:val="en-US" w:eastAsia="zh-CN" w:bidi="ar-SA"/>
              </w:rPr>
              <w:t>验收</w:t>
            </w:r>
            <w:r>
              <w:rPr>
                <w:rFonts w:hint="default" w:ascii="Times New Roman" w:hAnsi="Times New Roman" w:eastAsia="宋体" w:cs="Times New Roman"/>
                <w:b/>
                <w:bCs/>
                <w:color w:val="auto"/>
                <w:kern w:val="2"/>
                <w:sz w:val="21"/>
                <w:szCs w:val="21"/>
                <w:highlight w:val="none"/>
                <w:lang w:val="en-US" w:eastAsia="zh-CN" w:bidi="ar-SA"/>
              </w:rPr>
              <w:t>标准</w:t>
            </w:r>
            <w:r>
              <w:rPr>
                <w:rFonts w:hint="default" w:ascii="Times New Roman" w:hAnsi="Times New Roman"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符合性分析</w:t>
            </w:r>
          </w:p>
          <w:tbl>
            <w:tblPr>
              <w:tblStyle w:val="24"/>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899"/>
              <w:gridCol w:w="3081"/>
              <w:gridCol w:w="1846"/>
              <w:gridCol w:w="450"/>
            </w:tblGrid>
            <w:tr w14:paraId="042A8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noWrap w:val="0"/>
                  <w:vAlign w:val="center"/>
                </w:tcPr>
                <w:p w14:paraId="28D1E8B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文号</w:t>
                  </w:r>
                </w:p>
              </w:tc>
              <w:tc>
                <w:tcPr>
                  <w:tcW w:w="2693" w:type="pct"/>
                  <w:gridSpan w:val="2"/>
                  <w:noWrap w:val="0"/>
                  <w:vAlign w:val="center"/>
                </w:tcPr>
                <w:p w14:paraId="7A50B8B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文件要求</w:t>
                  </w:r>
                </w:p>
              </w:tc>
              <w:tc>
                <w:tcPr>
                  <w:tcW w:w="1248" w:type="pct"/>
                  <w:noWrap w:val="0"/>
                  <w:vAlign w:val="center"/>
                </w:tcPr>
                <w:p w14:paraId="4804D42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本项目情况</w:t>
                  </w:r>
                </w:p>
              </w:tc>
              <w:tc>
                <w:tcPr>
                  <w:tcW w:w="305" w:type="pct"/>
                  <w:noWrap w:val="0"/>
                  <w:vAlign w:val="center"/>
                </w:tcPr>
                <w:p w14:paraId="3CF0CEE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符合性</w:t>
                  </w:r>
                </w:p>
              </w:tc>
            </w:tr>
            <w:tr w14:paraId="6AD270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restart"/>
                  <w:noWrap w:val="0"/>
                  <w:vAlign w:val="center"/>
                </w:tcPr>
                <w:p w14:paraId="2122DB5E">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鸡西市洗煤厂、储煤厂排查整治工作方案（</w:t>
                  </w:r>
                  <w:r>
                    <w:rPr>
                      <w:rFonts w:hint="default" w:ascii="Times New Roman" w:hAnsi="Times New Roman" w:cs="Times New Roman"/>
                      <w:color w:val="auto"/>
                      <w:sz w:val="18"/>
                      <w:szCs w:val="18"/>
                      <w:highlight w:val="none"/>
                      <w:lang w:val="en-US" w:eastAsia="zh-CN"/>
                    </w:rPr>
                    <w:t>鸡环执法</w:t>
                  </w:r>
                  <w:r>
                    <w:rPr>
                      <w:rFonts w:hint="default" w:ascii="Times New Roman" w:hAnsi="Times New Roman" w:cs="Times New Roman"/>
                      <w:color w:val="auto"/>
                      <w:sz w:val="18"/>
                      <w:szCs w:val="18"/>
                      <w:highlight w:val="none"/>
                    </w:rPr>
                    <w:t>〔20</w:t>
                  </w:r>
                  <w:r>
                    <w:rPr>
                      <w:rFonts w:hint="default" w:ascii="Times New Roman" w:hAnsi="Times New Roman" w:cs="Times New Roman"/>
                      <w:color w:val="auto"/>
                      <w:sz w:val="18"/>
                      <w:szCs w:val="18"/>
                      <w:highlight w:val="none"/>
                      <w:lang w:val="en-US" w:eastAsia="zh-CN"/>
                    </w:rPr>
                    <w:t>23</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7</w:t>
                  </w:r>
                  <w:r>
                    <w:rPr>
                      <w:rFonts w:hint="default" w:ascii="Times New Roman" w:hAnsi="Times New Roman" w:cs="Times New Roman"/>
                      <w:color w:val="auto"/>
                      <w:sz w:val="18"/>
                      <w:szCs w:val="18"/>
                      <w:highlight w:val="none"/>
                    </w:rPr>
                    <w:t>号）</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鸡西市洗煤厂、储煤场环境综合整治</w:t>
                  </w:r>
                  <w:r>
                    <w:rPr>
                      <w:rFonts w:hint="default" w:ascii="Times New Roman" w:hAnsi="Times New Roman" w:cs="Times New Roman"/>
                      <w:color w:val="auto"/>
                      <w:sz w:val="18"/>
                      <w:szCs w:val="18"/>
                      <w:highlight w:val="none"/>
                      <w:lang w:val="en-US" w:eastAsia="zh-CN"/>
                    </w:rPr>
                    <w:t>验收</w:t>
                  </w:r>
                  <w:r>
                    <w:rPr>
                      <w:rFonts w:hint="default" w:ascii="Times New Roman" w:hAnsi="Times New Roman" w:cs="Times New Roman"/>
                      <w:color w:val="auto"/>
                      <w:sz w:val="18"/>
                      <w:szCs w:val="18"/>
                      <w:highlight w:val="none"/>
                    </w:rPr>
                    <w:t>标准（</w:t>
                  </w:r>
                  <w:r>
                    <w:rPr>
                      <w:rFonts w:hint="default" w:ascii="Times New Roman" w:hAnsi="Times New Roman" w:cs="Times New Roman"/>
                      <w:color w:val="auto"/>
                      <w:sz w:val="18"/>
                      <w:szCs w:val="18"/>
                      <w:highlight w:val="none"/>
                      <w:lang w:val="en-US" w:eastAsia="zh-CN"/>
                    </w:rPr>
                    <w:t>鸡环保委办发</w:t>
                  </w:r>
                  <w:r>
                    <w:rPr>
                      <w:rFonts w:hint="default" w:ascii="Times New Roman" w:hAnsi="Times New Roman" w:cs="Times New Roman"/>
                      <w:color w:val="auto"/>
                      <w:sz w:val="18"/>
                      <w:szCs w:val="18"/>
                      <w:highlight w:val="none"/>
                    </w:rPr>
                    <w:t>〔20</w:t>
                  </w:r>
                  <w:r>
                    <w:rPr>
                      <w:rFonts w:hint="default" w:ascii="Times New Roman" w:hAnsi="Times New Roman" w:cs="Times New Roman"/>
                      <w:color w:val="auto"/>
                      <w:sz w:val="18"/>
                      <w:szCs w:val="18"/>
                      <w:highlight w:val="none"/>
                      <w:lang w:val="en-US" w:eastAsia="zh-CN"/>
                    </w:rPr>
                    <w:t>23</w:t>
                  </w:r>
                  <w:r>
                    <w:rPr>
                      <w:rFonts w:hint="default" w:ascii="Times New Roman" w:hAnsi="Times New Roman" w:cs="Times New Roman"/>
                      <w:color w:val="auto"/>
                      <w:sz w:val="18"/>
                      <w:szCs w:val="18"/>
                      <w:highlight w:val="none"/>
                    </w:rPr>
                    <w:t>〕1</w:t>
                  </w:r>
                  <w:r>
                    <w:rPr>
                      <w:rFonts w:hint="default" w:ascii="Times New Roman" w:hAnsi="Times New Roman" w:cs="Times New Roman"/>
                      <w:color w:val="auto"/>
                      <w:sz w:val="18"/>
                      <w:szCs w:val="18"/>
                      <w:highlight w:val="none"/>
                      <w:lang w:val="en-US" w:eastAsia="zh-CN"/>
                    </w:rPr>
                    <w:t>6</w:t>
                  </w:r>
                  <w:r>
                    <w:rPr>
                      <w:rFonts w:hint="default" w:ascii="Times New Roman" w:hAnsi="Times New Roman" w:cs="Times New Roman"/>
                      <w:color w:val="auto"/>
                      <w:sz w:val="18"/>
                      <w:szCs w:val="18"/>
                      <w:highlight w:val="none"/>
                    </w:rPr>
                    <w:t>号）</w:t>
                  </w:r>
                </w:p>
              </w:tc>
              <w:tc>
                <w:tcPr>
                  <w:tcW w:w="607" w:type="pct"/>
                  <w:vMerge w:val="restart"/>
                  <w:noWrap w:val="0"/>
                  <w:vAlign w:val="center"/>
                </w:tcPr>
                <w:p w14:paraId="185D91DC">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大气污染防治措施</w:t>
                  </w:r>
                </w:p>
              </w:tc>
              <w:tc>
                <w:tcPr>
                  <w:tcW w:w="2085" w:type="pct"/>
                  <w:noWrap w:val="0"/>
                  <w:vAlign w:val="center"/>
                </w:tcPr>
                <w:p w14:paraId="2BB6BF9B">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储煤厂四周应当建设闭合的防风抑尘网。防风抑尘网高度不得低于物料堆高度，遇到高压线等高空障碍物可适当调整高度。储煤厂堆存物应当使用</w:t>
                  </w:r>
                  <w:r>
                    <w:rPr>
                      <w:rFonts w:hint="eastAsia" w:cs="Times New Roman"/>
                      <w:color w:val="auto"/>
                      <w:sz w:val="18"/>
                      <w:szCs w:val="18"/>
                      <w:highlight w:val="none"/>
                      <w:lang w:eastAsia="zh-CN"/>
                    </w:rPr>
                    <w:t>苫布</w:t>
                  </w:r>
                  <w:r>
                    <w:rPr>
                      <w:rFonts w:hint="default" w:ascii="Times New Roman" w:hAnsi="Times New Roman" w:cs="Times New Roman"/>
                      <w:color w:val="auto"/>
                      <w:sz w:val="18"/>
                      <w:szCs w:val="18"/>
                      <w:highlight w:val="none"/>
                    </w:rPr>
                    <w:t>进行苫盖。</w:t>
                  </w:r>
                </w:p>
              </w:tc>
              <w:tc>
                <w:tcPr>
                  <w:tcW w:w="1248" w:type="pct"/>
                  <w:noWrap w:val="0"/>
                  <w:vAlign w:val="center"/>
                </w:tcPr>
                <w:p w14:paraId="4D31A03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储煤场四周建设闭环防风抑尘网，储煤场内储存煤炭使用</w:t>
                  </w:r>
                  <w:r>
                    <w:rPr>
                      <w:rFonts w:hint="eastAsia" w:cs="Times New Roman"/>
                      <w:color w:val="auto"/>
                      <w:sz w:val="18"/>
                      <w:szCs w:val="18"/>
                      <w:highlight w:val="none"/>
                      <w:lang w:val="en-US" w:eastAsia="zh-CN"/>
                    </w:rPr>
                    <w:t>苫布</w:t>
                  </w:r>
                  <w:r>
                    <w:rPr>
                      <w:rFonts w:hint="default" w:ascii="Times New Roman" w:hAnsi="Times New Roman" w:cs="Times New Roman"/>
                      <w:color w:val="auto"/>
                      <w:sz w:val="18"/>
                      <w:szCs w:val="18"/>
                      <w:highlight w:val="none"/>
                      <w:lang w:val="en-US" w:eastAsia="zh-CN"/>
                    </w:rPr>
                    <w:t>苫盖</w:t>
                  </w:r>
                </w:p>
              </w:tc>
              <w:tc>
                <w:tcPr>
                  <w:tcW w:w="305" w:type="pct"/>
                  <w:noWrap w:val="0"/>
                  <w:vAlign w:val="center"/>
                </w:tcPr>
                <w:p w14:paraId="3D758AD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r w14:paraId="36BC7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0323FDFE">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143066B1">
                  <w:pPr>
                    <w:rPr>
                      <w:rFonts w:hint="default" w:ascii="Times New Roman" w:hAnsi="Times New Roman" w:cs="Times New Roman"/>
                      <w:color w:val="auto"/>
                      <w:sz w:val="18"/>
                      <w:szCs w:val="18"/>
                      <w:highlight w:val="none"/>
                    </w:rPr>
                  </w:pPr>
                </w:p>
              </w:tc>
              <w:tc>
                <w:tcPr>
                  <w:tcW w:w="2085" w:type="pct"/>
                  <w:noWrap w:val="0"/>
                  <w:vAlign w:val="center"/>
                </w:tcPr>
                <w:p w14:paraId="495C8606">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储煤厂在日常作业中应当采取喷淋、洒水等方式进行降尘，并且严禁在重污染天气期间、大风天气时生产作业，以避免造成扬尘污染</w:t>
                  </w:r>
                </w:p>
              </w:tc>
              <w:tc>
                <w:tcPr>
                  <w:tcW w:w="1248" w:type="pct"/>
                  <w:noWrap w:val="0"/>
                  <w:vAlign w:val="center"/>
                </w:tcPr>
                <w:p w14:paraId="2DD9B043">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储煤场在车辆装卸期间对装卸区域采用喷雾装置降尘，日常对道路及堆场定期洒水降尘</w:t>
                  </w:r>
                  <w:r>
                    <w:rPr>
                      <w:rFonts w:hint="default" w:ascii="Times New Roman" w:hAnsi="Times New Roman" w:cs="Times New Roman"/>
                      <w:color w:val="auto"/>
                      <w:sz w:val="18"/>
                      <w:szCs w:val="18"/>
                      <w:highlight w:val="none"/>
                      <w:lang w:val="en-US" w:eastAsia="zh-CN"/>
                    </w:rPr>
                    <w:t>，禁止在</w:t>
                  </w:r>
                  <w:r>
                    <w:rPr>
                      <w:rFonts w:hint="default" w:ascii="Times New Roman" w:hAnsi="Times New Roman" w:cs="Times New Roman"/>
                      <w:color w:val="auto"/>
                      <w:sz w:val="18"/>
                      <w:szCs w:val="18"/>
                      <w:highlight w:val="none"/>
                    </w:rPr>
                    <w:t>重污染天气期间、大风天气</w:t>
                  </w:r>
                  <w:r>
                    <w:rPr>
                      <w:rFonts w:hint="default" w:ascii="Times New Roman" w:hAnsi="Times New Roman" w:cs="Times New Roman"/>
                      <w:color w:val="auto"/>
                      <w:sz w:val="18"/>
                      <w:szCs w:val="18"/>
                      <w:highlight w:val="none"/>
                      <w:lang w:eastAsia="zh-CN"/>
                    </w:rPr>
                    <w:t>时</w:t>
                  </w:r>
                  <w:r>
                    <w:rPr>
                      <w:rFonts w:hint="default" w:ascii="Times New Roman" w:hAnsi="Times New Roman" w:cs="Times New Roman"/>
                      <w:color w:val="auto"/>
                      <w:sz w:val="18"/>
                      <w:szCs w:val="18"/>
                      <w:highlight w:val="none"/>
                      <w:lang w:val="en-US" w:eastAsia="zh-CN"/>
                    </w:rPr>
                    <w:t>生产</w:t>
                  </w:r>
                </w:p>
              </w:tc>
              <w:tc>
                <w:tcPr>
                  <w:tcW w:w="305" w:type="pct"/>
                  <w:noWrap w:val="0"/>
                  <w:vAlign w:val="center"/>
                </w:tcPr>
                <w:p w14:paraId="21E1591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4A3C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5361A21A">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589392B3">
                  <w:pPr>
                    <w:rPr>
                      <w:rFonts w:hint="default" w:ascii="Times New Roman" w:hAnsi="Times New Roman" w:cs="Times New Roman"/>
                      <w:color w:val="auto"/>
                      <w:sz w:val="18"/>
                      <w:szCs w:val="18"/>
                      <w:highlight w:val="none"/>
                    </w:rPr>
                  </w:pPr>
                </w:p>
              </w:tc>
              <w:tc>
                <w:tcPr>
                  <w:tcW w:w="2085" w:type="pct"/>
                  <w:noWrap w:val="0"/>
                  <w:vAlign w:val="center"/>
                </w:tcPr>
                <w:p w14:paraId="4D3C257C">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储煤厂使用的运输车辆应当按照当地城市执法部门的要求进行全面苫盖，并确保车辆清洁</w:t>
                  </w:r>
                </w:p>
              </w:tc>
              <w:tc>
                <w:tcPr>
                  <w:tcW w:w="1248" w:type="pct"/>
                  <w:noWrap w:val="0"/>
                  <w:vAlign w:val="center"/>
                </w:tcPr>
                <w:p w14:paraId="10ED2836">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储煤场运输车辆</w:t>
                  </w:r>
                  <w:r>
                    <w:rPr>
                      <w:rFonts w:hint="eastAsia" w:cs="Times New Roman"/>
                      <w:color w:val="auto"/>
                      <w:sz w:val="18"/>
                      <w:szCs w:val="18"/>
                      <w:highlight w:val="none"/>
                      <w:lang w:val="en-US" w:eastAsia="zh-CN"/>
                    </w:rPr>
                    <w:t>全面</w:t>
                  </w:r>
                  <w:r>
                    <w:rPr>
                      <w:rFonts w:hint="default" w:ascii="Times New Roman" w:hAnsi="Times New Roman" w:cs="Times New Roman"/>
                      <w:color w:val="auto"/>
                      <w:sz w:val="18"/>
                      <w:szCs w:val="18"/>
                      <w:highlight w:val="none"/>
                      <w:lang w:val="en-US" w:eastAsia="zh-CN"/>
                    </w:rPr>
                    <w:t>苫盖，定期去外部指定洗车点清洗车辆</w:t>
                  </w:r>
                </w:p>
              </w:tc>
              <w:tc>
                <w:tcPr>
                  <w:tcW w:w="305" w:type="pct"/>
                  <w:noWrap w:val="0"/>
                  <w:vAlign w:val="center"/>
                </w:tcPr>
                <w:p w14:paraId="28E778B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7C51A2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059D1A25">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7F2D5C1C">
                  <w:pPr>
                    <w:rPr>
                      <w:rFonts w:hint="default" w:ascii="Times New Roman" w:hAnsi="Times New Roman" w:cs="Times New Roman"/>
                      <w:color w:val="auto"/>
                      <w:sz w:val="18"/>
                      <w:szCs w:val="18"/>
                      <w:highlight w:val="none"/>
                    </w:rPr>
                  </w:pPr>
                </w:p>
              </w:tc>
              <w:tc>
                <w:tcPr>
                  <w:tcW w:w="2085" w:type="pct"/>
                  <w:noWrap w:val="0"/>
                  <w:vAlign w:val="center"/>
                </w:tcPr>
                <w:p w14:paraId="0D649F96">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储煤厂原则上不得使用燃煤锅炉，应当使用电、天然气等清洁能源取暖。若因条件限制使用燃煤、生物质锅炉的应当配套建设高效除尘设施，并定期检测</w:t>
                  </w:r>
                </w:p>
              </w:tc>
              <w:tc>
                <w:tcPr>
                  <w:tcW w:w="1248" w:type="pct"/>
                  <w:noWrap w:val="0"/>
                  <w:vAlign w:val="center"/>
                </w:tcPr>
                <w:p w14:paraId="4B22BA1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冬季取暖采用电采暖</w:t>
                  </w:r>
                </w:p>
              </w:tc>
              <w:tc>
                <w:tcPr>
                  <w:tcW w:w="305" w:type="pct"/>
                  <w:noWrap w:val="0"/>
                  <w:vAlign w:val="center"/>
                </w:tcPr>
                <w:p w14:paraId="76F3A57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35F49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3E50715A">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5F5F15C4">
                  <w:pPr>
                    <w:rPr>
                      <w:rFonts w:hint="default" w:ascii="Times New Roman" w:hAnsi="Times New Roman" w:cs="Times New Roman"/>
                      <w:color w:val="auto"/>
                      <w:sz w:val="18"/>
                      <w:szCs w:val="18"/>
                      <w:highlight w:val="none"/>
                    </w:rPr>
                  </w:pPr>
                </w:p>
              </w:tc>
              <w:tc>
                <w:tcPr>
                  <w:tcW w:w="2085" w:type="pct"/>
                  <w:noWrap w:val="0"/>
                  <w:vAlign w:val="center"/>
                </w:tcPr>
                <w:p w14:paraId="4B42BFEF">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如有破碎工序或皮带输送作业环节的</w:t>
                  </w:r>
                  <w:r>
                    <w:rPr>
                      <w:rFonts w:hint="eastAsia" w:cs="Times New Roman"/>
                      <w:color w:val="auto"/>
                      <w:sz w:val="18"/>
                      <w:szCs w:val="18"/>
                      <w:highlight w:val="none"/>
                      <w:lang w:eastAsia="zh-CN"/>
                    </w:rPr>
                    <w:t>，</w:t>
                  </w:r>
                  <w:r>
                    <w:rPr>
                      <w:rFonts w:hint="default" w:ascii="Times New Roman" w:hAnsi="Times New Roman" w:cs="Times New Roman"/>
                      <w:color w:val="auto"/>
                      <w:sz w:val="18"/>
                      <w:szCs w:val="18"/>
                      <w:highlight w:val="none"/>
                    </w:rPr>
                    <w:t>须在封闭空间内作业，防止扬尘污染</w:t>
                  </w:r>
                </w:p>
              </w:tc>
              <w:tc>
                <w:tcPr>
                  <w:tcW w:w="1248" w:type="pct"/>
                  <w:noWrap w:val="0"/>
                  <w:vAlign w:val="center"/>
                </w:tcPr>
                <w:p w14:paraId="301A89CF">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项目无</w:t>
                  </w:r>
                  <w:r>
                    <w:rPr>
                      <w:rFonts w:hint="default" w:ascii="Times New Roman" w:hAnsi="Times New Roman" w:cs="Times New Roman"/>
                      <w:color w:val="auto"/>
                      <w:sz w:val="18"/>
                      <w:szCs w:val="18"/>
                      <w:highlight w:val="none"/>
                    </w:rPr>
                    <w:t>破碎工序</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皮带输送作业环节</w:t>
                  </w:r>
                </w:p>
              </w:tc>
              <w:tc>
                <w:tcPr>
                  <w:tcW w:w="305" w:type="pct"/>
                  <w:noWrap w:val="0"/>
                  <w:vAlign w:val="center"/>
                </w:tcPr>
                <w:p w14:paraId="33C0C73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CC4F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516FF623">
                  <w:pPr>
                    <w:jc w:val="center"/>
                    <w:rPr>
                      <w:rFonts w:hint="default" w:ascii="Times New Roman" w:hAnsi="Times New Roman" w:cs="Times New Roman"/>
                      <w:color w:val="auto"/>
                      <w:sz w:val="18"/>
                      <w:szCs w:val="18"/>
                      <w:highlight w:val="none"/>
                    </w:rPr>
                  </w:pPr>
                </w:p>
              </w:tc>
              <w:tc>
                <w:tcPr>
                  <w:tcW w:w="607" w:type="pct"/>
                  <w:vMerge w:val="restart"/>
                  <w:noWrap w:val="0"/>
                  <w:vAlign w:val="center"/>
                </w:tcPr>
                <w:p w14:paraId="052231AB">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水污染防治措施</w:t>
                  </w:r>
                </w:p>
              </w:tc>
              <w:tc>
                <w:tcPr>
                  <w:tcW w:w="2085" w:type="pct"/>
                  <w:noWrap w:val="0"/>
                  <w:vAlign w:val="center"/>
                </w:tcPr>
                <w:p w14:paraId="49F001FF">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储煤厂所应当配套建设雨水导流槽、雨水收集池（雨水收集池应建在厂区地势最低处），收集的雨水沉淀后用于场区洒水降尘和绿化</w:t>
                  </w:r>
                </w:p>
              </w:tc>
              <w:tc>
                <w:tcPr>
                  <w:tcW w:w="1248" w:type="pct"/>
                  <w:noWrap w:val="0"/>
                  <w:vAlign w:val="center"/>
                </w:tcPr>
                <w:p w14:paraId="78B46CC0">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厂区四周设置雨水导流槽</w:t>
                  </w:r>
                  <w:r>
                    <w:rPr>
                      <w:rFonts w:hint="default" w:ascii="Times New Roman" w:hAnsi="Times New Roman" w:cs="Times New Roman"/>
                      <w:color w:val="auto"/>
                      <w:sz w:val="18"/>
                      <w:szCs w:val="18"/>
                      <w:highlight w:val="none"/>
                      <w:lang w:val="en-US" w:eastAsia="zh-CN"/>
                    </w:rPr>
                    <w:t>（长</w:t>
                  </w:r>
                  <w:r>
                    <w:rPr>
                      <w:rFonts w:hint="eastAsia" w:cs="Times New Roman"/>
                      <w:color w:val="auto"/>
                      <w:sz w:val="18"/>
                      <w:szCs w:val="18"/>
                      <w:highlight w:val="none"/>
                      <w:lang w:val="en-US" w:eastAsia="zh-CN"/>
                    </w:rPr>
                    <w:t>435</w:t>
                  </w:r>
                  <w:r>
                    <w:rPr>
                      <w:rFonts w:hint="default" w:ascii="Times New Roman" w:hAnsi="Times New Roman" w:cs="Times New Roman"/>
                      <w:color w:val="auto"/>
                      <w:sz w:val="18"/>
                      <w:szCs w:val="18"/>
                      <w:highlight w:val="none"/>
                      <w:lang w:val="en-US" w:eastAsia="zh-CN"/>
                    </w:rPr>
                    <w:t>m，宽0.2m，深0.2m），</w:t>
                  </w:r>
                  <w:r>
                    <w:rPr>
                      <w:rFonts w:hint="eastAsia" w:cs="Times New Roman"/>
                      <w:color w:val="auto"/>
                      <w:sz w:val="18"/>
                      <w:szCs w:val="18"/>
                      <w:highlight w:val="none"/>
                      <w:lang w:val="en-US" w:eastAsia="zh-CN"/>
                    </w:rPr>
                    <w:t>厂区西北侧</w:t>
                  </w:r>
                  <w:r>
                    <w:rPr>
                      <w:rFonts w:hint="default" w:ascii="Times New Roman" w:hAnsi="Times New Roman" w:cs="Times New Roman"/>
                      <w:color w:val="auto"/>
                      <w:sz w:val="18"/>
                      <w:szCs w:val="18"/>
                      <w:highlight w:val="none"/>
                      <w:lang w:val="en-US" w:eastAsia="zh-CN"/>
                    </w:rPr>
                    <w:t>建设</w:t>
                  </w:r>
                  <w:r>
                    <w:rPr>
                      <w:rFonts w:hint="eastAsia" w:cs="Times New Roman"/>
                      <w:color w:val="auto"/>
                      <w:sz w:val="18"/>
                      <w:szCs w:val="18"/>
                      <w:highlight w:val="none"/>
                      <w:lang w:val="en-US" w:eastAsia="zh-CN"/>
                    </w:rPr>
                    <w:t>1座100m</w:t>
                  </w:r>
                  <w:r>
                    <w:rPr>
                      <w:rFonts w:hint="eastAsia"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初期雨水收集池</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厂区地势最低处</w:t>
                  </w:r>
                  <w:r>
                    <w:rPr>
                      <w:rFonts w:hint="eastAsia" w:cs="Times New Roman"/>
                      <w:color w:val="auto"/>
                      <w:sz w:val="18"/>
                      <w:szCs w:val="18"/>
                      <w:highlight w:val="none"/>
                      <w:lang w:val="en-US" w:eastAsia="zh-CN"/>
                    </w:rPr>
                    <w:t>），初期</w:t>
                  </w:r>
                  <w:r>
                    <w:rPr>
                      <w:rFonts w:hint="default" w:ascii="Times New Roman" w:hAnsi="Times New Roman" w:cs="Times New Roman"/>
                      <w:color w:val="auto"/>
                      <w:sz w:val="18"/>
                      <w:szCs w:val="18"/>
                      <w:highlight w:val="none"/>
                      <w:lang w:val="en-US" w:eastAsia="zh-CN"/>
                    </w:rPr>
                    <w:t>雨水</w:t>
                  </w:r>
                  <w:r>
                    <w:rPr>
                      <w:rFonts w:hint="eastAsia" w:cs="Times New Roman"/>
                      <w:color w:val="auto"/>
                      <w:sz w:val="18"/>
                      <w:szCs w:val="18"/>
                      <w:highlight w:val="none"/>
                      <w:lang w:val="en-US" w:eastAsia="zh-CN"/>
                    </w:rPr>
                    <w:t>收集</w:t>
                  </w:r>
                  <w:r>
                    <w:rPr>
                      <w:rFonts w:hint="default" w:ascii="Times New Roman" w:hAnsi="Times New Roman" w:cs="Times New Roman"/>
                      <w:color w:val="auto"/>
                      <w:sz w:val="18"/>
                      <w:szCs w:val="18"/>
                      <w:highlight w:val="none"/>
                      <w:lang w:val="en-US" w:eastAsia="zh-CN"/>
                    </w:rPr>
                    <w:t>沉淀后用于厂区洒水降尘</w:t>
                  </w:r>
                </w:p>
              </w:tc>
              <w:tc>
                <w:tcPr>
                  <w:tcW w:w="305" w:type="pct"/>
                  <w:noWrap w:val="0"/>
                  <w:vAlign w:val="center"/>
                </w:tcPr>
                <w:p w14:paraId="210D871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2C0AF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3D2FC528">
                  <w:pPr>
                    <w:jc w:val="center"/>
                    <w:rPr>
                      <w:rFonts w:hint="default" w:ascii="Times New Roman" w:hAnsi="Times New Roman" w:cs="Times New Roman"/>
                      <w:color w:val="auto"/>
                      <w:sz w:val="18"/>
                      <w:szCs w:val="18"/>
                      <w:highlight w:val="none"/>
                    </w:rPr>
                  </w:pPr>
                </w:p>
              </w:tc>
              <w:tc>
                <w:tcPr>
                  <w:tcW w:w="607" w:type="pct"/>
                  <w:vMerge w:val="continue"/>
                  <w:noWrap w:val="0"/>
                  <w:vAlign w:val="center"/>
                </w:tcPr>
                <w:p w14:paraId="11735AC2">
                  <w:pPr>
                    <w:rPr>
                      <w:rFonts w:hint="default" w:ascii="Times New Roman" w:hAnsi="Times New Roman" w:cs="Times New Roman"/>
                      <w:color w:val="auto"/>
                      <w:sz w:val="18"/>
                      <w:szCs w:val="18"/>
                      <w:highlight w:val="none"/>
                    </w:rPr>
                  </w:pPr>
                </w:p>
              </w:tc>
              <w:tc>
                <w:tcPr>
                  <w:tcW w:w="2085" w:type="pct"/>
                  <w:noWrap w:val="0"/>
                  <w:vAlign w:val="center"/>
                </w:tcPr>
                <w:p w14:paraId="7697800B">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无法接入污水管网的储煤厂应当建设防渗旱厕或防渗化粪池，定期转运至当地生活污水处理厂进行处理或作为肥料进行综合利用，并建立管理台账</w:t>
                  </w:r>
                </w:p>
              </w:tc>
              <w:tc>
                <w:tcPr>
                  <w:tcW w:w="1248" w:type="pct"/>
                  <w:noWrap w:val="0"/>
                  <w:vAlign w:val="center"/>
                </w:tcPr>
                <w:p w14:paraId="7058DC9D">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w:t>
                  </w:r>
                  <w:r>
                    <w:rPr>
                      <w:rFonts w:hint="eastAsia" w:cs="Times New Roman"/>
                      <w:color w:val="auto"/>
                      <w:sz w:val="18"/>
                      <w:szCs w:val="18"/>
                      <w:highlight w:val="none"/>
                      <w:lang w:val="en-US" w:eastAsia="zh-CN"/>
                    </w:rPr>
                    <w:t>设置</w:t>
                  </w:r>
                  <w:r>
                    <w:rPr>
                      <w:rFonts w:hint="default" w:ascii="Times New Roman" w:hAnsi="Times New Roman" w:cs="Times New Roman"/>
                      <w:color w:val="auto"/>
                      <w:sz w:val="18"/>
                      <w:szCs w:val="18"/>
                      <w:highlight w:val="none"/>
                      <w:lang w:val="en-US" w:eastAsia="zh-CN"/>
                    </w:rPr>
                    <w:t>防渗旱厕，定期</w:t>
                  </w:r>
                  <w:r>
                    <w:rPr>
                      <w:rFonts w:hint="eastAsia" w:cs="Times New Roman"/>
                      <w:color w:val="auto"/>
                      <w:sz w:val="18"/>
                      <w:szCs w:val="18"/>
                      <w:highlight w:val="none"/>
                      <w:lang w:val="en-US" w:eastAsia="zh-CN"/>
                    </w:rPr>
                    <w:t>清掏</w:t>
                  </w:r>
                  <w:r>
                    <w:rPr>
                      <w:rFonts w:hint="default" w:ascii="Times New Roman" w:hAnsi="Times New Roman" w:cs="Times New Roman"/>
                      <w:color w:val="auto"/>
                      <w:sz w:val="18"/>
                      <w:szCs w:val="18"/>
                      <w:highlight w:val="none"/>
                      <w:lang w:val="en-US" w:eastAsia="zh-CN"/>
                    </w:rPr>
                    <w:t>外运堆肥</w:t>
                  </w:r>
                </w:p>
              </w:tc>
              <w:tc>
                <w:tcPr>
                  <w:tcW w:w="305" w:type="pct"/>
                  <w:noWrap w:val="0"/>
                  <w:vAlign w:val="center"/>
                </w:tcPr>
                <w:p w14:paraId="732247A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0035AC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460A9794">
                  <w:pPr>
                    <w:jc w:val="center"/>
                    <w:rPr>
                      <w:rFonts w:hint="default" w:ascii="Times New Roman" w:hAnsi="Times New Roman" w:cs="Times New Roman"/>
                      <w:color w:val="auto"/>
                      <w:sz w:val="18"/>
                      <w:szCs w:val="18"/>
                      <w:highlight w:val="none"/>
                    </w:rPr>
                  </w:pPr>
                </w:p>
              </w:tc>
              <w:tc>
                <w:tcPr>
                  <w:tcW w:w="607" w:type="pct"/>
                  <w:noWrap w:val="0"/>
                  <w:vAlign w:val="center"/>
                </w:tcPr>
                <w:p w14:paraId="6C0D1AAF">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土壤污染防治措施</w:t>
                  </w:r>
                </w:p>
              </w:tc>
              <w:tc>
                <w:tcPr>
                  <w:tcW w:w="2085" w:type="pct"/>
                  <w:noWrap w:val="0"/>
                  <w:vAlign w:val="center"/>
                </w:tcPr>
                <w:p w14:paraId="12FE318A">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储煤厂场区地面必须全部硬化，其中车辆进出口及主要运输通道必须使用水泥或柏油进行硬化</w:t>
                  </w:r>
                </w:p>
              </w:tc>
              <w:tc>
                <w:tcPr>
                  <w:tcW w:w="1248" w:type="pct"/>
                  <w:noWrap w:val="0"/>
                  <w:vAlign w:val="center"/>
                </w:tcPr>
                <w:p w14:paraId="52759442">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储煤场厂区地面硬化，车辆进出口及主要运输通道使用水泥硬化</w:t>
                  </w:r>
                </w:p>
              </w:tc>
              <w:tc>
                <w:tcPr>
                  <w:tcW w:w="305" w:type="pct"/>
                  <w:noWrap w:val="0"/>
                  <w:vAlign w:val="center"/>
                </w:tcPr>
                <w:p w14:paraId="25EB37C9">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5AD0B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2B542181">
                  <w:pPr>
                    <w:jc w:val="center"/>
                    <w:rPr>
                      <w:rFonts w:hint="default" w:ascii="Times New Roman" w:hAnsi="Times New Roman" w:cs="Times New Roman"/>
                      <w:color w:val="auto"/>
                      <w:sz w:val="18"/>
                      <w:szCs w:val="18"/>
                      <w:highlight w:val="none"/>
                    </w:rPr>
                  </w:pPr>
                </w:p>
              </w:tc>
              <w:tc>
                <w:tcPr>
                  <w:tcW w:w="607" w:type="pct"/>
                  <w:noWrap w:val="0"/>
                  <w:vAlign w:val="center"/>
                </w:tcPr>
                <w:p w14:paraId="0B45C763">
                  <w:pP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噪声污染防治措施</w:t>
                  </w:r>
                </w:p>
              </w:tc>
              <w:tc>
                <w:tcPr>
                  <w:tcW w:w="2085" w:type="pct"/>
                  <w:noWrap w:val="0"/>
                  <w:vAlign w:val="center"/>
                </w:tcPr>
                <w:p w14:paraId="2F755B0C">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储煤厂应当选取低噪声的设备、设施，并严格遵守《中华人民共和国噪声污染防治法》的相关规定，合理规划生产作业时限</w:t>
                  </w:r>
                </w:p>
              </w:tc>
              <w:tc>
                <w:tcPr>
                  <w:tcW w:w="1248" w:type="pct"/>
                  <w:noWrap w:val="0"/>
                  <w:vAlign w:val="center"/>
                </w:tcPr>
                <w:p w14:paraId="65B126A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项目选取低噪声设备，夜间不进行生产</w:t>
                  </w:r>
                </w:p>
              </w:tc>
              <w:tc>
                <w:tcPr>
                  <w:tcW w:w="305" w:type="pct"/>
                  <w:noWrap w:val="0"/>
                  <w:vAlign w:val="center"/>
                </w:tcPr>
                <w:p w14:paraId="4E161E9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9700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vMerge w:val="continue"/>
                  <w:noWrap w:val="0"/>
                  <w:vAlign w:val="center"/>
                </w:tcPr>
                <w:p w14:paraId="41F69CB4">
                  <w:pPr>
                    <w:jc w:val="center"/>
                    <w:rPr>
                      <w:rFonts w:hint="default" w:ascii="Times New Roman" w:hAnsi="Times New Roman" w:cs="Times New Roman"/>
                      <w:color w:val="auto"/>
                      <w:sz w:val="18"/>
                      <w:szCs w:val="18"/>
                      <w:highlight w:val="none"/>
                    </w:rPr>
                  </w:pPr>
                </w:p>
              </w:tc>
              <w:tc>
                <w:tcPr>
                  <w:tcW w:w="607" w:type="pct"/>
                  <w:noWrap w:val="0"/>
                  <w:vAlign w:val="center"/>
                </w:tcPr>
                <w:p w14:paraId="7B90AB7C">
                  <w:pP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危险废物污染防治措施</w:t>
                  </w:r>
                </w:p>
              </w:tc>
              <w:tc>
                <w:tcPr>
                  <w:tcW w:w="2085" w:type="pct"/>
                  <w:noWrap w:val="0"/>
                  <w:vAlign w:val="center"/>
                </w:tcPr>
                <w:p w14:paraId="3881DA5D">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储煤厂应当建设危险废物贮存间，并按照《危险废物识别标志设置技术规范》设置危险废物标识，将产生的废机油</w:t>
                  </w:r>
                  <w:r>
                    <w:rPr>
                      <w:rFonts w:hint="eastAsia" w:cs="Times New Roman"/>
                      <w:color w:val="auto"/>
                      <w:sz w:val="18"/>
                      <w:szCs w:val="18"/>
                      <w:highlight w:val="none"/>
                      <w:lang w:eastAsia="zh-CN"/>
                    </w:rPr>
                    <w:t>、废弃含油抹布手套、</w:t>
                  </w:r>
                  <w:r>
                    <w:rPr>
                      <w:rFonts w:hint="eastAsia" w:cs="Times New Roman"/>
                      <w:color w:val="auto"/>
                      <w:sz w:val="18"/>
                      <w:szCs w:val="18"/>
                      <w:highlight w:val="none"/>
                      <w:lang w:val="en-US" w:eastAsia="zh-CN"/>
                    </w:rPr>
                    <w:t>废机油桶</w:t>
                  </w:r>
                  <w:r>
                    <w:rPr>
                      <w:rFonts w:hint="default" w:ascii="Times New Roman" w:hAnsi="Times New Roman" w:cs="Times New Roman"/>
                      <w:color w:val="auto"/>
                      <w:sz w:val="18"/>
                      <w:szCs w:val="18"/>
                      <w:highlight w:val="none"/>
                    </w:rPr>
                    <w:t>进行收集贮存，定期由有资质的处置单位转移、处置，执行危险废物转移联单管理制度并做好台账记录</w:t>
                  </w:r>
                </w:p>
              </w:tc>
              <w:tc>
                <w:tcPr>
                  <w:tcW w:w="1248" w:type="pct"/>
                  <w:noWrap w:val="0"/>
                  <w:vAlign w:val="center"/>
                </w:tcPr>
                <w:p w14:paraId="73E6A23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项目在厂内</w:t>
                  </w:r>
                  <w:r>
                    <w:rPr>
                      <w:rFonts w:hint="eastAsia" w:cs="Times New Roman"/>
                      <w:color w:val="auto"/>
                      <w:sz w:val="18"/>
                      <w:szCs w:val="18"/>
                      <w:highlight w:val="none"/>
                      <w:lang w:val="en-US" w:eastAsia="zh-CN"/>
                    </w:rPr>
                    <w:t>设置</w:t>
                  </w:r>
                  <w:r>
                    <w:rPr>
                      <w:rFonts w:hint="default" w:ascii="Times New Roman" w:hAnsi="Times New Roman" w:cs="Times New Roman"/>
                      <w:color w:val="auto"/>
                      <w:sz w:val="18"/>
                      <w:szCs w:val="18"/>
                      <w:highlight w:val="none"/>
                      <w:lang w:val="en-US" w:eastAsia="zh-CN"/>
                    </w:rPr>
                    <w:t>危险废物贮存点，用于贮存储煤场产生的废机油等危险废物，定期交由有资质单位处理</w:t>
                  </w:r>
                </w:p>
              </w:tc>
              <w:tc>
                <w:tcPr>
                  <w:tcW w:w="305" w:type="pct"/>
                  <w:noWrap w:val="0"/>
                  <w:vAlign w:val="center"/>
                </w:tcPr>
                <w:p w14:paraId="234C5CB9">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r w14:paraId="1A79C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 w:type="pct"/>
                  <w:noWrap w:val="0"/>
                  <w:vAlign w:val="center"/>
                </w:tcPr>
                <w:p w14:paraId="5F26943E">
                  <w:pPr>
                    <w:jc w:val="center"/>
                    <w:rPr>
                      <w:rFonts w:hint="default" w:ascii="Times New Roman" w:hAnsi="Times New Roman" w:cs="Times New Roman"/>
                      <w:color w:val="auto"/>
                      <w:sz w:val="18"/>
                      <w:szCs w:val="18"/>
                      <w:highlight w:val="none"/>
                    </w:rPr>
                  </w:pPr>
                </w:p>
              </w:tc>
              <w:tc>
                <w:tcPr>
                  <w:tcW w:w="607" w:type="pct"/>
                  <w:noWrap w:val="0"/>
                  <w:vAlign w:val="center"/>
                </w:tcPr>
                <w:p w14:paraId="71A0AAC5">
                  <w:pP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其他污染防治措施</w:t>
                  </w:r>
                </w:p>
              </w:tc>
              <w:tc>
                <w:tcPr>
                  <w:tcW w:w="2085" w:type="pct"/>
                  <w:noWrap w:val="0"/>
                  <w:vAlign w:val="center"/>
                </w:tcPr>
                <w:p w14:paraId="00F74841">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储煤厂应当定期对厂区及周边进行清理保洁，保持良好的环境卫生面貌，防止出</w:t>
                  </w:r>
                  <w:r>
                    <w:rPr>
                      <w:rFonts w:hint="eastAsia" w:ascii="宋体" w:hAnsi="宋体" w:eastAsia="宋体" w:cs="宋体"/>
                      <w:color w:val="auto"/>
                      <w:sz w:val="18"/>
                      <w:szCs w:val="18"/>
                      <w:highlight w:val="none"/>
                    </w:rPr>
                    <w:t>现</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脏、乱、差</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现</w:t>
                  </w:r>
                  <w:r>
                    <w:rPr>
                      <w:rFonts w:hint="default" w:ascii="Times New Roman" w:hAnsi="Times New Roman" w:cs="Times New Roman"/>
                      <w:color w:val="auto"/>
                      <w:sz w:val="18"/>
                      <w:szCs w:val="18"/>
                      <w:highlight w:val="none"/>
                    </w:rPr>
                    <w:t>象。并设置生活垃圾收集箱，定期转运</w:t>
                  </w:r>
                </w:p>
              </w:tc>
              <w:tc>
                <w:tcPr>
                  <w:tcW w:w="1248" w:type="pct"/>
                  <w:noWrap w:val="0"/>
                  <w:vAlign w:val="center"/>
                </w:tcPr>
                <w:p w14:paraId="717DCA0E">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项目设置生活垃圾箱，定期转运，定期对厂区进行清理，</w:t>
                  </w:r>
                </w:p>
              </w:tc>
              <w:tc>
                <w:tcPr>
                  <w:tcW w:w="305" w:type="pct"/>
                  <w:noWrap w:val="0"/>
                  <w:vAlign w:val="center"/>
                </w:tcPr>
                <w:p w14:paraId="1B9692A5">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w:t>
                  </w:r>
                </w:p>
              </w:tc>
            </w:tr>
          </w:tbl>
          <w:p w14:paraId="4215F098">
            <w:pPr>
              <w:pStyle w:val="35"/>
              <w:spacing w:before="0" w:beforeLines="0" w:after="0" w:afterLines="0" w:line="360" w:lineRule="auto"/>
              <w:ind w:firstLine="480"/>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综上，本项目符合《鸡西市洗煤厂、储煤厂排查整治工作方案》《鸡西市洗煤厂、储煤场环境综合整治验收标准》要求。</w:t>
            </w:r>
          </w:p>
          <w:p w14:paraId="53DC640E">
            <w:pPr>
              <w:spacing w:line="360" w:lineRule="auto"/>
              <w:jc w:val="left"/>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6、与《黑龙江省人民政府关于印发黑龙江省大气污染防治行动计划实施细则的通知》（黑政发〔2014〕1号）“高污染燃料禁燃区”符合性分析</w:t>
            </w:r>
          </w:p>
          <w:p w14:paraId="69E91BC2">
            <w:pPr>
              <w:pStyle w:val="35"/>
              <w:spacing w:before="0" w:beforeLines="0" w:after="0" w:afterLines="0" w:line="360" w:lineRule="auto"/>
              <w:ind w:firstLine="48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为进一步改善城市空气环境质量，保障人民群众身体健康，根据《中华人民共和国大气污染防治法》《黑龙江省人民政府关于印发黑龙江省大气污染防治行动计划实施细则的通知》（黑政发〔2014〕1号）要求，鸡</w:t>
            </w:r>
            <w:r>
              <w:rPr>
                <w:rFonts w:hint="default" w:ascii="Times New Roman" w:hAnsi="Times New Roman" w:eastAsia="宋体" w:cs="Times New Roman"/>
                <w:color w:val="auto"/>
                <w:sz w:val="21"/>
                <w:szCs w:val="21"/>
                <w:highlight w:val="none"/>
                <w:lang w:val="en-US" w:eastAsia="zh-CN"/>
              </w:rPr>
              <w:t>西市在重点区域划定了高污染燃料禁燃区。燃区内也禁止销售、燃用高污染燃料；禁止新建、扩建燃用高污染燃料设施，已建成的应在政府规定期限内改用天然气、页岩气、液化石油气、电或者其他清洁能源。</w:t>
            </w:r>
          </w:p>
          <w:p w14:paraId="7A88B474">
            <w:pPr>
              <w:pStyle w:val="35"/>
              <w:spacing w:before="0" w:beforeLines="0" w:after="0" w:afterLines="0" w:line="360" w:lineRule="auto"/>
              <w:ind w:firstLine="48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禁燃区的范围涉及北环中路（西）---东山街---兴国东路（蔬菜公司）---电工路---红星路---和平南大街---201国道（体育馆）---兴国西路头---北环中路（休闲广场东），形成的围合区域。</w:t>
            </w:r>
          </w:p>
          <w:p w14:paraId="10F1E570">
            <w:pPr>
              <w:pStyle w:val="35"/>
              <w:spacing w:before="0" w:beforeLines="0" w:after="0" w:afterLines="0" w:line="360" w:lineRule="auto"/>
              <w:ind w:firstLine="480"/>
              <w:textAlignment w:val="baseline"/>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本项目位于鸡西市</w:t>
            </w:r>
            <w:r>
              <w:rPr>
                <w:rFonts w:hint="eastAsia" w:cs="Times New Roman"/>
                <w:color w:val="auto"/>
                <w:sz w:val="21"/>
                <w:szCs w:val="21"/>
                <w:highlight w:val="none"/>
                <w:lang w:val="en-US" w:eastAsia="zh-CN"/>
              </w:rPr>
              <w:t>恒山区红旗乡义安村</w:t>
            </w:r>
            <w:r>
              <w:rPr>
                <w:rFonts w:hint="default" w:ascii="Times New Roman" w:hAnsi="Times New Roman" w:eastAsia="宋体" w:cs="Times New Roman"/>
                <w:color w:val="auto"/>
                <w:sz w:val="21"/>
                <w:szCs w:val="21"/>
                <w:highlight w:val="none"/>
                <w:lang w:val="en-US" w:eastAsia="zh-CN"/>
              </w:rPr>
              <w:t>，不在鸡西市高污染燃料禁燃区范围划定范围内，项目不违背鸡西市高污染燃料禁燃区要求。</w:t>
            </w:r>
          </w:p>
          <w:p w14:paraId="5D9CCAB5">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drawing>
                <wp:anchor distT="0" distB="0" distL="114300" distR="114300" simplePos="0" relativeHeight="251671552" behindDoc="0" locked="0" layoutInCell="1" allowOverlap="1">
                  <wp:simplePos x="0" y="0"/>
                  <wp:positionH relativeFrom="column">
                    <wp:posOffset>4098290</wp:posOffset>
                  </wp:positionH>
                  <wp:positionV relativeFrom="paragraph">
                    <wp:posOffset>12065</wp:posOffset>
                  </wp:positionV>
                  <wp:extent cx="457200" cy="450850"/>
                  <wp:effectExtent l="0" t="0" r="0" b="6350"/>
                  <wp:wrapNone/>
                  <wp:docPr id="16" name="图片 16" descr="1719279096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19279096590(1)"/>
                          <pic:cNvPicPr>
                            <a:picLocks noChangeAspect="1"/>
                          </pic:cNvPicPr>
                        </pic:nvPicPr>
                        <pic:blipFill>
                          <a:blip r:embed="rId13"/>
                          <a:stretch>
                            <a:fillRect/>
                          </a:stretch>
                        </pic:blipFill>
                        <pic:spPr>
                          <a:xfrm>
                            <a:off x="0" y="0"/>
                            <a:ext cx="457200" cy="450850"/>
                          </a:xfrm>
                          <a:prstGeom prst="rect">
                            <a:avLst/>
                          </a:prstGeom>
                        </pic:spPr>
                      </pic:pic>
                    </a:graphicData>
                  </a:graphic>
                </wp:anchor>
              </w:drawing>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1831340</wp:posOffset>
                      </wp:positionH>
                      <wp:positionV relativeFrom="paragraph">
                        <wp:posOffset>2433955</wp:posOffset>
                      </wp:positionV>
                      <wp:extent cx="1102995" cy="386715"/>
                      <wp:effectExtent l="0" t="0" r="0" b="0"/>
                      <wp:wrapNone/>
                      <wp:docPr id="9" name="文本框 9"/>
                      <wp:cNvGraphicFramePr/>
                      <a:graphic xmlns:a="http://schemas.openxmlformats.org/drawingml/2006/main">
                        <a:graphicData uri="http://schemas.microsoft.com/office/word/2010/wordprocessingShape">
                          <wps:wsp>
                            <wps:cNvSpPr txBox="1"/>
                            <wps:spPr>
                              <a:xfrm>
                                <a:off x="0" y="0"/>
                                <a:ext cx="1102995" cy="386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E8232">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2pt;margin-top:191.65pt;height:30.45pt;width:86.85pt;z-index:251670528;mso-width-relative:page;mso-height-relative:page;" filled="f" stroked="f" coordsize="21600,21600" o:gfxdata="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&#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3eMptwAAAALAQAADwAAAAAAAAABACAAAAAiAAAA&#10;ZHJzL2Rvd25yZXYueG1sUEsBAhQAFAAAAAgAh07iQE8Tqww8AgAAZgQAAA4AAAAAAAAAAQAgAAAA&#10;KwEAAGRycy9lMm9Eb2MueG1sUEsFBgAAAAAGAAYAWQEAANkFAAAAAA==&#10;">
                      <v:fill on="f" focussize="0,0"/>
                      <v:stroke on="f" weight="0.5pt"/>
                      <v:imagedata o:title=""/>
                      <o:lock v:ext="edit" aspectratio="f"/>
                      <v:textbox>
                        <w:txbxContent>
                          <w:p w14:paraId="7D9E8232">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本项目位置</w:t>
                            </w:r>
                          </w:p>
                        </w:txbxContent>
                      </v:textbox>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2576" behindDoc="0" locked="0" layoutInCell="1" allowOverlap="1">
                      <wp:simplePos x="0" y="0"/>
                      <wp:positionH relativeFrom="column">
                        <wp:posOffset>2027555</wp:posOffset>
                      </wp:positionH>
                      <wp:positionV relativeFrom="paragraph">
                        <wp:posOffset>2642235</wp:posOffset>
                      </wp:positionV>
                      <wp:extent cx="160020" cy="182245"/>
                      <wp:effectExtent l="0" t="4445" r="11430" b="3810"/>
                      <wp:wrapNone/>
                      <wp:docPr id="96" name="直接箭头连接符 96"/>
                      <wp:cNvGraphicFramePr/>
                      <a:graphic xmlns:a="http://schemas.openxmlformats.org/drawingml/2006/main">
                        <a:graphicData uri="http://schemas.microsoft.com/office/word/2010/wordprocessingShape">
                          <wps:wsp>
                            <wps:cNvCnPr/>
                            <wps:spPr>
                              <a:xfrm flipH="1">
                                <a:off x="0" y="0"/>
                                <a:ext cx="160020" cy="182245"/>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59.65pt;margin-top:208.05pt;height:14.35pt;width:12.6pt;z-index:251672576;mso-width-relative:page;mso-height-relative:page;" filled="f" stroked="t" coordsize="21600,21600" o:gfxdata="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vwsLQ1wAAAAsBAAAPAAAAAAAAAAEA&#10;IAAAACIAAABkcnMvZG93bnJldi54bWxQSwECFAAUAAAACACHTuJASB1qpRACAADvAwAADgAAAAAA&#10;AAABACAAAAAmAQAAZHJzL2Uyb0RvYy54bWxQSwUGAAAAAAYABgBZAQAAqAUAAAAA&#10;">
                      <v:fill on="f" focussize="0,0"/>
                      <v:stroke weight="1pt" color="#FFFFFF [3212]" miterlimit="8" joinstyle="miter" endarrow="open"/>
                      <v:imagedata o:title=""/>
                      <o:lock v:ext="edit" aspectratio="f"/>
                    </v:shape>
                  </w:pict>
                </mc:Fallback>
              </mc:AlternateContent>
            </w:r>
            <w:r>
              <w:rPr>
                <w:rFonts w:hint="eastAsia" w:ascii="Times New Roman" w:hAnsi="Times New Roman" w:eastAsia="宋体" w:cs="Times New Roman"/>
                <w:color w:val="auto"/>
                <w:sz w:val="21"/>
                <w:szCs w:val="21"/>
                <w:highlight w:val="none"/>
                <w:lang w:eastAsia="zh-CN"/>
              </w:rPr>
              <w:drawing>
                <wp:inline distT="0" distB="0" distL="114300" distR="114300">
                  <wp:extent cx="4437380" cy="3051810"/>
                  <wp:effectExtent l="0" t="0" r="1270" b="15240"/>
                  <wp:docPr id="4" name="图片 4" descr="高污染燃料禁燃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高污染燃料禁燃区图"/>
                          <pic:cNvPicPr>
                            <a:picLocks noChangeAspect="1"/>
                          </pic:cNvPicPr>
                        </pic:nvPicPr>
                        <pic:blipFill>
                          <a:blip r:embed="rId14"/>
                          <a:stretch>
                            <a:fillRect/>
                          </a:stretch>
                        </pic:blipFill>
                        <pic:spPr>
                          <a:xfrm>
                            <a:off x="0" y="0"/>
                            <a:ext cx="4437380" cy="3051810"/>
                          </a:xfrm>
                          <a:prstGeom prst="rect">
                            <a:avLst/>
                          </a:prstGeom>
                        </pic:spPr>
                      </pic:pic>
                    </a:graphicData>
                  </a:graphic>
                </wp:inline>
              </w:drawing>
            </w:r>
          </w:p>
          <w:p w14:paraId="0AF7810E">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图1-</w:t>
            </w:r>
            <w:r>
              <w:rPr>
                <w:rFonts w:hint="default" w:ascii="Times New Roman" w:hAnsi="Times New Roman"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 xml:space="preserve"> 鸡西市高污染燃料禁燃区位置图</w:t>
            </w:r>
          </w:p>
          <w:p w14:paraId="149B1315">
            <w:pPr>
              <w:pStyle w:val="43"/>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rPr>
              <w:t>本项目与《黑龙江省大气污染防治条例》符合性</w:t>
            </w:r>
          </w:p>
          <w:p w14:paraId="5E82D453">
            <w:pPr>
              <w:pStyle w:val="43"/>
              <w:keepNext w:val="0"/>
              <w:keepLines w:val="0"/>
              <w:pageBreakBefore w:val="0"/>
              <w:widowControl w:val="0"/>
              <w:kinsoku/>
              <w:wordWrap/>
              <w:overflowPunct/>
              <w:topLinePunct w:val="0"/>
              <w:autoSpaceDE w:val="0"/>
              <w:autoSpaceDN w:val="0"/>
              <w:bidi w:val="0"/>
              <w:adjustRightInd w:val="0"/>
              <w:snapToGrid w:val="0"/>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黑龙江省大气污染防治条例提出：</w:t>
            </w:r>
            <w:r>
              <w:rPr>
                <w:rFonts w:hint="default" w:ascii="Times New Roman" w:hAnsi="Times New Roman" w:cs="Times New Roman"/>
                <w:color w:val="auto"/>
                <w:sz w:val="21"/>
                <w:szCs w:val="21"/>
                <w:highlight w:val="none"/>
                <w:lang w:val="en-US" w:eastAsia="zh-CN"/>
              </w:rPr>
              <w:t>第五十六条</w:t>
            </w:r>
            <w:r>
              <w:rPr>
                <w:rFonts w:hint="default" w:ascii="Times New Roman" w:hAnsi="Times New Roman" w:cs="Times New Roman"/>
                <w:color w:val="auto"/>
                <w:sz w:val="21"/>
                <w:szCs w:val="21"/>
                <w:highlight w:val="none"/>
              </w:rPr>
              <w:t>运输煤炭、垃圾、渣土、砂石、土方、灰浆等散装、流体物料的车辆，应当采取密闭或者其他措施防止物料遗撒、泄漏，并按照规定的路线和时间行驶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第</w:t>
            </w:r>
            <w:r>
              <w:rPr>
                <w:rFonts w:hint="default" w:ascii="Times New Roman" w:hAnsi="Times New Roman" w:cs="Times New Roman"/>
                <w:color w:val="auto"/>
                <w:sz w:val="21"/>
                <w:szCs w:val="21"/>
                <w:highlight w:val="none"/>
              </w:rPr>
              <w:t>五十八条 企业应当按照设计和开发利用方案作业，设置废石、废渣、泥土等专门存放地，并采取围挡、硬化施工道路、洒水降尘、设置防风抑尘网或者防尘布等防尘、降尘措施。开采后应当及时进行生态修复，防治扬尘污染。</w:t>
            </w:r>
          </w:p>
          <w:p w14:paraId="6A532559">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为储煤场项目</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w:t>
            </w:r>
            <w:r>
              <w:rPr>
                <w:rFonts w:hint="default" w:ascii="Times New Roman" w:hAnsi="Times New Roman" w:cs="Times New Roman"/>
                <w:color w:val="auto"/>
                <w:sz w:val="21"/>
                <w:szCs w:val="21"/>
                <w:highlight w:val="none"/>
              </w:rPr>
              <w:t>综上，本项目与《黑龙江省大气污染防治条例》是相符合的。</w:t>
            </w:r>
          </w:p>
          <w:p w14:paraId="743C8527">
            <w:pPr>
              <w:pStyle w:val="43"/>
              <w:keepNext w:val="0"/>
              <w:keepLines w:val="0"/>
              <w:pageBreakBefore w:val="0"/>
              <w:widowControl w:val="0"/>
              <w:kinsoku/>
              <w:wordWrap/>
              <w:overflowPunct/>
              <w:topLinePunct w:val="0"/>
              <w:autoSpaceDE w:val="0"/>
              <w:autoSpaceDN w:val="0"/>
              <w:bidi w:val="0"/>
              <w:adjustRightInd/>
              <w:snapToGrid/>
              <w:spacing w:line="360" w:lineRule="auto"/>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8</w:t>
            </w:r>
            <w:r>
              <w:rPr>
                <w:rFonts w:hint="default" w:ascii="Times New Roman" w:hAnsi="Times New Roman" w:cs="Times New Roman"/>
                <w:b/>
                <w:bCs/>
                <w:color w:val="auto"/>
                <w:sz w:val="21"/>
                <w:szCs w:val="21"/>
                <w:highlight w:val="none"/>
              </w:rPr>
              <w:t>、本项目与《鸡西市</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十四五</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生态环境保护规划》的符合性</w:t>
            </w:r>
          </w:p>
          <w:p w14:paraId="18C1EC44">
            <w:pPr>
              <w:pStyle w:val="43"/>
              <w:keepNext w:val="0"/>
              <w:keepLines w:val="0"/>
              <w:pageBreakBefore w:val="0"/>
              <w:widowControl w:val="0"/>
              <w:kinsoku/>
              <w:wordWrap/>
              <w:overflowPunct/>
              <w:topLinePunct w:val="0"/>
              <w:autoSpaceDE w:val="0"/>
              <w:autoSpaceDN w:val="0"/>
              <w:bidi w:val="0"/>
              <w:adjustRightInd/>
              <w:snapToGrid/>
              <w:spacing w:line="360" w:lineRule="auto"/>
              <w:ind w:firstLine="48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《鸡西市</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十四五</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物料堆场，全面完成抑尘设施建设和物料输送系统封闭改造，鼓励有条件的堆场实施全封闭改造。</w:t>
            </w:r>
          </w:p>
          <w:p w14:paraId="00AD0028">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为储煤场项目，</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w:t>
            </w:r>
            <w:r>
              <w:rPr>
                <w:rFonts w:hint="default"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符合《鸡西市</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十四五</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生态环境保护规划》相关要求</w:t>
            </w:r>
            <w:r>
              <w:rPr>
                <w:rFonts w:hint="default" w:ascii="Times New Roman" w:hAnsi="Times New Roman" w:cs="Times New Roman"/>
                <w:color w:val="auto"/>
                <w:sz w:val="21"/>
                <w:szCs w:val="21"/>
                <w:highlight w:val="none"/>
                <w:lang w:eastAsia="zh-CN"/>
              </w:rPr>
              <w:t>。</w:t>
            </w:r>
          </w:p>
          <w:p w14:paraId="35C333F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9、与《黑龙江省空气质量持续改善行动计划实施方案》（黑政发〔2023〕19号）符合性分析</w:t>
            </w:r>
          </w:p>
          <w:p w14:paraId="5454E0EC">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黑龙江省空气质量持续改善行动计划实施方案》（黑政发〔2023〕19号）中要求：（四）严格环境准入要求。新改扩建高耗能、高排放、低水平项目，要严格遵照产业规划和政策、生态环境分区管控、规划环评、项目环评、节能审查以及产能置换、总量控制、区域污染物削减、碳达峰等相关要求执行，原则上采用清洁运输方式。涉及产能置换的项目，被置换产能及其配套设施同步关停后，新建项目方能投产。坚决遏制</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两高一低</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项目盲目上马。　（五）加快重点行业落后产能淘汰退出。严格执行《产业结构调整指导目录》要求，加大退出淘汰类产能、工艺、装备，提高限制类产能、工艺、装备淘汰改造引导力度。（十九）深化扬尘污染综合治理。全面推行绿色施工，严</w:t>
            </w:r>
            <w:r>
              <w:rPr>
                <w:rFonts w:hint="eastAsia" w:ascii="宋体" w:hAnsi="宋体" w:eastAsia="宋体" w:cs="宋体"/>
                <w:b w:val="0"/>
                <w:bCs w:val="0"/>
                <w:color w:val="auto"/>
                <w:sz w:val="21"/>
                <w:szCs w:val="21"/>
                <w:highlight w:val="none"/>
                <w:lang w:val="en-US" w:eastAsia="zh-CN"/>
              </w:rPr>
              <w:t>格执行“六个百分之百”</w:t>
            </w:r>
            <w:r>
              <w:rPr>
                <w:rFonts w:hint="default" w:ascii="Times New Roman" w:hAnsi="Times New Roman" w:cs="Times New Roman"/>
                <w:b w:val="0"/>
                <w:bCs w:val="0"/>
                <w:color w:val="auto"/>
                <w:sz w:val="21"/>
                <w:szCs w:val="21"/>
                <w:highlight w:val="none"/>
                <w:lang w:val="en-US" w:eastAsia="zh-CN"/>
              </w:rPr>
              <w:t>，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103D39B8">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本项目属于</w:t>
            </w:r>
            <w:r>
              <w:rPr>
                <w:rFonts w:hint="default" w:ascii="Times New Roman" w:hAnsi="Times New Roman" w:cs="Times New Roman"/>
                <w:color w:val="auto"/>
                <w:sz w:val="21"/>
                <w:szCs w:val="21"/>
                <w:highlight w:val="none"/>
              </w:rPr>
              <w:t>《产业结构调整指导目录（20</w:t>
            </w:r>
            <w:r>
              <w:rPr>
                <w:rFonts w:hint="default" w:ascii="Times New Roman" w:hAnsi="Times New Roman" w:cs="Times New Roman"/>
                <w:color w:val="auto"/>
                <w:sz w:val="21"/>
                <w:szCs w:val="21"/>
                <w:highlight w:val="none"/>
                <w:lang w:val="en-US" w:eastAsia="zh-CN"/>
              </w:rPr>
              <w:t>24</w:t>
            </w:r>
            <w:r>
              <w:rPr>
                <w:rFonts w:hint="default" w:ascii="Times New Roman" w:hAnsi="Times New Roman" w:cs="Times New Roman"/>
                <w:color w:val="auto"/>
                <w:sz w:val="21"/>
                <w:szCs w:val="21"/>
                <w:highlight w:val="none"/>
              </w:rPr>
              <w:t>年本</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中鼓励类项目，</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雾降尘，禁止在重污染天气、大风天气进行作业，运输车辆全面苫盖，定期去外部指定洗车点对车辆进行清洗。煤炭堆场及运输产生的颗粒物能够满足</w:t>
            </w:r>
            <w:r>
              <w:rPr>
                <w:rFonts w:hint="default" w:ascii="Times New Roman" w:hAnsi="Times New Roman" w:cs="Times New Roman"/>
                <w:color w:val="auto"/>
                <w:sz w:val="21"/>
                <w:szCs w:val="21"/>
                <w:highlight w:val="none"/>
                <w:lang w:val="en-US" w:eastAsia="zh-CN"/>
              </w:rPr>
              <w:t>，煤场抑尘措施齐全。项目</w:t>
            </w:r>
            <w:r>
              <w:rPr>
                <w:rFonts w:hint="default" w:ascii="Times New Roman" w:hAnsi="Times New Roman" w:cs="Times New Roman"/>
                <w:color w:val="auto"/>
                <w:sz w:val="21"/>
                <w:szCs w:val="21"/>
                <w:highlight w:val="none"/>
              </w:rPr>
              <w:t>符合《</w:t>
            </w:r>
            <w:r>
              <w:rPr>
                <w:rFonts w:hint="default" w:ascii="Times New Roman" w:hAnsi="Times New Roman" w:cs="Times New Roman"/>
                <w:color w:val="auto"/>
                <w:sz w:val="21"/>
                <w:szCs w:val="21"/>
                <w:highlight w:val="none"/>
                <w:lang w:val="en-US" w:eastAsia="zh-CN"/>
              </w:rPr>
              <w:t>黑龙江省空气质量持续改善行动计划实施方案</w:t>
            </w:r>
            <w:r>
              <w:rPr>
                <w:rFonts w:hint="default" w:ascii="Times New Roman" w:hAnsi="Times New Roman" w:cs="Times New Roman"/>
                <w:color w:val="auto"/>
                <w:sz w:val="21"/>
                <w:szCs w:val="21"/>
                <w:highlight w:val="none"/>
              </w:rPr>
              <w:t>》相关要求</w:t>
            </w:r>
            <w:r>
              <w:rPr>
                <w:rFonts w:hint="default" w:ascii="Times New Roman" w:hAnsi="Times New Roman" w:cs="Times New Roman"/>
                <w:color w:val="auto"/>
                <w:sz w:val="21"/>
                <w:szCs w:val="21"/>
                <w:highlight w:val="none"/>
                <w:lang w:eastAsia="zh-CN"/>
              </w:rPr>
              <w:t>。</w:t>
            </w:r>
          </w:p>
          <w:p w14:paraId="32DD98CD">
            <w:pPr>
              <w:pStyle w:val="22"/>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422" w:leftChars="0" w:right="0" w:rightChars="0" w:hanging="422" w:hangingChars="200"/>
              <w:jc w:val="left"/>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SA"/>
              </w:rPr>
              <w:t>10、</w:t>
            </w:r>
            <w:r>
              <w:rPr>
                <w:rFonts w:hint="default" w:ascii="Times New Roman" w:hAnsi="Times New Roman" w:cs="Times New Roman"/>
                <w:b/>
                <w:bCs/>
                <w:color w:val="auto"/>
                <w:sz w:val="21"/>
                <w:szCs w:val="21"/>
                <w:highlight w:val="none"/>
                <w:lang w:val="en-US" w:eastAsia="zh-CN"/>
              </w:rPr>
              <w:t>与《环境空气细颗粒物污染综合防治技术政策》符合性分析</w:t>
            </w:r>
          </w:p>
          <w:p w14:paraId="66FF8159">
            <w:pPr>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空气细颗粒物污染综合防治技术政策》中要求：（十一）应加强对各类污染源的监管，确保污染治理设施稳定运行，切实落实企业环保责任。鼓励采用低能耗、低污染的生产工艺，提高各个行业的清洁生产水平，降低污染物产生量。（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1B73FC6B">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本项目内有大型煤炭物料堆场，</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w:t>
            </w:r>
            <w:r>
              <w:rPr>
                <w:rFonts w:hint="default" w:ascii="Times New Roman" w:hAnsi="Times New Roman" w:cs="Times New Roman"/>
                <w:color w:val="auto"/>
                <w:sz w:val="21"/>
                <w:szCs w:val="21"/>
                <w:highlight w:val="none"/>
                <w:lang w:val="en-US" w:eastAsia="zh-CN"/>
              </w:rPr>
              <w:t>项目符合《环境空气细颗粒物污染综合防治技术政策》相关要求。</w:t>
            </w:r>
          </w:p>
          <w:p w14:paraId="08F4F726">
            <w:pPr>
              <w:pStyle w:val="22"/>
              <w:keepNext w:val="0"/>
              <w:keepLines w:val="0"/>
              <w:pageBreakBefore w:val="0"/>
              <w:numPr>
                <w:ilvl w:val="0"/>
                <w:numId w:val="0"/>
              </w:numPr>
              <w:kinsoku/>
              <w:wordWrap/>
              <w:overflowPunct/>
              <w:topLinePunct w:val="0"/>
              <w:autoSpaceDE/>
              <w:autoSpaceDN/>
              <w:bidi w:val="0"/>
              <w:adjustRightInd/>
              <w:spacing w:before="0" w:after="0" w:line="360" w:lineRule="auto"/>
              <w:ind w:left="0" w:leftChars="0" w:right="0" w:rightChars="0" w:firstLine="0" w:firstLineChars="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SA"/>
              </w:rPr>
              <w:t>11、</w:t>
            </w:r>
            <w:r>
              <w:rPr>
                <w:rFonts w:hint="default" w:ascii="Times New Roman" w:hAnsi="Times New Roman" w:cs="Times New Roman"/>
                <w:b/>
                <w:bCs/>
                <w:color w:val="auto"/>
                <w:sz w:val="21"/>
                <w:szCs w:val="21"/>
                <w:highlight w:val="none"/>
                <w:lang w:val="en-US" w:eastAsia="zh-CN"/>
              </w:rPr>
              <w:t>与《鸡西市空气质量持续改善行动计划贯彻落实方案》符合性分析</w:t>
            </w:r>
          </w:p>
          <w:p w14:paraId="6B4933B7">
            <w:pPr>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《鸡西市空气质量持续改善行动计划贯彻落实方案》中要求：</w:t>
            </w:r>
          </w:p>
          <w:p w14:paraId="1DB2F7F2">
            <w:pPr>
              <w:keepNext w:val="0"/>
              <w:keepLines w:val="0"/>
              <w:pageBreakBefore w:val="0"/>
              <w:widowControl w:val="0"/>
              <w:kinsoku/>
              <w:wordWrap/>
              <w:overflowPunct/>
              <w:topLinePunct w:val="0"/>
              <w:autoSpaceDE/>
              <w:autoSpaceDN/>
              <w:bidi w:val="0"/>
              <w:adjustRightInd/>
              <w:snapToGrid/>
              <w:spacing w:line="360" w:lineRule="auto"/>
              <w:ind w:left="0" w:leftChars="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加快退出重点行业落后产能。严格执行《产业结构调整指导目录》要求，加快退出淘汰类产能、工艺、装备，提高限制类产能、工艺、装备淘汰改造引导力度。</w:t>
            </w:r>
            <w:r>
              <w:rPr>
                <w:rFonts w:hint="default" w:ascii="Times New Roman" w:hAnsi="Times New Roman" w:cs="Times New Roman"/>
                <w:color w:val="auto"/>
                <w:sz w:val="21"/>
                <w:szCs w:val="21"/>
                <w:highlight w:val="none"/>
                <w:lang w:val="en-US" w:eastAsia="zh-CN"/>
              </w:rPr>
              <w:t>城市大型煤炭、矿石等干散货码头物料堆场基本完成抑尘设施建设和物料输送系统封闭改造。</w:t>
            </w:r>
          </w:p>
          <w:p w14:paraId="40FB54C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kern w:val="0"/>
                <w:sz w:val="21"/>
                <w:szCs w:val="21"/>
                <w:highlight w:val="none"/>
                <w:lang w:val="en-US" w:eastAsia="zh-CN"/>
              </w:rPr>
              <w:t>本项目</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w:t>
            </w:r>
            <w:r>
              <w:rPr>
                <w:rFonts w:hint="default" w:ascii="Times New Roman" w:hAnsi="Times New Roman" w:eastAsia="宋体" w:cs="Times New Roman"/>
                <w:color w:val="auto"/>
                <w:sz w:val="21"/>
                <w:szCs w:val="21"/>
                <w:highlight w:val="none"/>
                <w:lang w:val="en-US" w:eastAsia="zh-CN"/>
              </w:rPr>
              <w:t>项目生产过程中</w:t>
            </w:r>
            <w:r>
              <w:rPr>
                <w:rFonts w:hint="default" w:ascii="Times New Roman" w:hAnsi="Times New Roman" w:cs="Times New Roman"/>
                <w:color w:val="auto"/>
                <w:sz w:val="21"/>
                <w:szCs w:val="21"/>
                <w:highlight w:val="none"/>
                <w:lang w:val="en-US" w:eastAsia="zh-CN"/>
              </w:rPr>
              <w:t>不使用</w:t>
            </w:r>
            <w:r>
              <w:rPr>
                <w:rFonts w:hint="default" w:ascii="Times New Roman" w:hAnsi="Times New Roman" w:eastAsia="宋体" w:cs="Times New Roman"/>
                <w:color w:val="auto"/>
                <w:sz w:val="21"/>
                <w:szCs w:val="21"/>
                <w:highlight w:val="none"/>
                <w:lang w:val="en-US" w:eastAsia="zh-CN"/>
              </w:rPr>
              <w:t>国家明令禁止的淘汰类和限制类的工艺和设备，</w:t>
            </w:r>
            <w:r>
              <w:rPr>
                <w:rFonts w:hint="default" w:ascii="Times New Roman" w:hAnsi="Times New Roman" w:cs="Times New Roman"/>
                <w:color w:val="auto"/>
                <w:sz w:val="21"/>
                <w:szCs w:val="21"/>
                <w:highlight w:val="none"/>
                <w:lang w:val="en-US" w:eastAsia="zh-CN"/>
              </w:rPr>
              <w:t>符合《鸡西市空气质量持续改善行动计划贯彻落实方案》中相关要求。</w:t>
            </w:r>
          </w:p>
          <w:p w14:paraId="02ECC3B0">
            <w:pPr>
              <w:pStyle w:val="43"/>
              <w:keepNext w:val="0"/>
              <w:keepLines w:val="0"/>
              <w:pageBreakBefore w:val="0"/>
              <w:kinsoku/>
              <w:wordWrap/>
              <w:overflowPunct/>
              <w:topLinePunct w:val="0"/>
              <w:autoSpaceDE w:val="0"/>
              <w:autoSpaceDN w:val="0"/>
              <w:bidi w:val="0"/>
              <w:adjustRightInd/>
              <w:spacing w:line="360" w:lineRule="auto"/>
              <w:ind w:firstLine="0" w:firstLineChars="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12、本项目与《黑龙江</w:t>
            </w:r>
            <w:r>
              <w:rPr>
                <w:rFonts w:hint="eastAsia" w:ascii="宋体" w:hAnsi="宋体" w:eastAsia="宋体" w:cs="宋体"/>
                <w:b/>
                <w:bCs/>
                <w:color w:val="auto"/>
                <w:kern w:val="0"/>
                <w:sz w:val="21"/>
                <w:szCs w:val="21"/>
                <w:highlight w:val="none"/>
                <w:lang w:val="en-US" w:eastAsia="zh-CN" w:bidi="ar-SA"/>
              </w:rPr>
              <w:t>省“十四五”生态环</w:t>
            </w:r>
            <w:r>
              <w:rPr>
                <w:rFonts w:hint="default" w:ascii="Times New Roman" w:hAnsi="Times New Roman" w:eastAsia="宋体" w:cs="Times New Roman"/>
                <w:b/>
                <w:bCs/>
                <w:color w:val="auto"/>
                <w:kern w:val="0"/>
                <w:sz w:val="21"/>
                <w:szCs w:val="21"/>
                <w:highlight w:val="none"/>
                <w:lang w:val="en-US" w:eastAsia="zh-CN" w:bidi="ar-SA"/>
              </w:rPr>
              <w:t>境保护规划》的符合性</w:t>
            </w:r>
            <w:r>
              <w:rPr>
                <w:rFonts w:hint="default" w:ascii="Times New Roman" w:hAnsi="Times New Roman" w:cs="Times New Roman"/>
                <w:b/>
                <w:bCs/>
                <w:color w:val="auto"/>
                <w:kern w:val="0"/>
                <w:sz w:val="21"/>
                <w:szCs w:val="21"/>
                <w:highlight w:val="none"/>
                <w:lang w:val="en-US" w:eastAsia="zh-CN" w:bidi="ar-SA"/>
              </w:rPr>
              <w:t>分析</w:t>
            </w:r>
          </w:p>
          <w:p w14:paraId="7B6CE07C">
            <w:pPr>
              <w:pStyle w:val="43"/>
              <w:keepNext w:val="0"/>
              <w:keepLines w:val="0"/>
              <w:pageBreakBefore w:val="0"/>
              <w:kinsoku/>
              <w:wordWrap/>
              <w:overflowPunct/>
              <w:topLinePunct w:val="0"/>
              <w:autoSpaceDE w:val="0"/>
              <w:autoSpaceDN w:val="0"/>
              <w:bidi w:val="0"/>
              <w:adjustRightIn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为储煤场项目，项目内有</w:t>
            </w:r>
            <w:r>
              <w:rPr>
                <w:rFonts w:hint="default" w:ascii="Times New Roman" w:hAnsi="Times New Roman" w:cs="Times New Roman"/>
                <w:color w:val="auto"/>
                <w:sz w:val="21"/>
                <w:szCs w:val="21"/>
                <w:highlight w:val="none"/>
              </w:rPr>
              <w:t>大型煤炭物料堆场，</w:t>
            </w:r>
            <w:r>
              <w:rPr>
                <w:rFonts w:hint="eastAsia" w:ascii="Times New Roman" w:hAnsi="Times New Roman" w:cs="Times New Roman"/>
                <w:color w:val="auto"/>
                <w:kern w:val="0"/>
                <w:sz w:val="21"/>
                <w:szCs w:val="21"/>
                <w:highlight w:val="none"/>
                <w:lang w:val="en-US" w:eastAsia="zh-CN"/>
              </w:rPr>
              <w:t>煤炭贮存</w:t>
            </w:r>
            <w:r>
              <w:rPr>
                <w:rFonts w:hint="default" w:ascii="Times New Roman" w:hAnsi="Times New Roman" w:cs="Times New Roman"/>
                <w:color w:val="auto"/>
                <w:kern w:val="0"/>
                <w:sz w:val="21"/>
                <w:szCs w:val="21"/>
                <w:highlight w:val="none"/>
                <w:lang w:val="en-US" w:eastAsia="zh-CN"/>
              </w:rPr>
              <w:t>采用防风抑尘网、堆场及道路洒水</w:t>
            </w:r>
            <w:r>
              <w:rPr>
                <w:rFonts w:hint="eastAsia" w:cs="Times New Roman"/>
                <w:color w:val="auto"/>
                <w:kern w:val="0"/>
                <w:sz w:val="21"/>
                <w:szCs w:val="21"/>
                <w:highlight w:val="none"/>
                <w:lang w:val="en-US" w:eastAsia="zh-CN"/>
              </w:rPr>
              <w:t>降尘、</w:t>
            </w:r>
            <w:r>
              <w:rPr>
                <w:rFonts w:hint="default" w:ascii="Times New Roman" w:hAnsi="Times New Roman" w:cs="Times New Roman"/>
                <w:color w:val="auto"/>
                <w:kern w:val="0"/>
                <w:sz w:val="21"/>
                <w:szCs w:val="21"/>
                <w:highlight w:val="none"/>
                <w:lang w:val="en-US" w:eastAsia="zh-CN"/>
              </w:rPr>
              <w:t>苫盖等措施</w:t>
            </w:r>
            <w:r>
              <w:rPr>
                <w:rFonts w:hint="eastAsia" w:ascii="Times New Roman" w:hAnsi="Times New Roman" w:cs="Times New Roman"/>
                <w:color w:val="auto"/>
                <w:kern w:val="0"/>
                <w:sz w:val="21"/>
                <w:szCs w:val="21"/>
                <w:highlight w:val="none"/>
                <w:lang w:val="en-US" w:eastAsia="zh-CN"/>
              </w:rPr>
              <w:t>，装卸</w:t>
            </w:r>
            <w:r>
              <w:rPr>
                <w:rFonts w:hint="default" w:ascii="Times New Roman" w:hAnsi="Times New Roman" w:cs="Times New Roman"/>
                <w:color w:val="auto"/>
                <w:kern w:val="0"/>
                <w:sz w:val="21"/>
                <w:szCs w:val="21"/>
                <w:highlight w:val="none"/>
                <w:lang w:val="en-US" w:eastAsia="zh-CN"/>
              </w:rPr>
              <w:t>过程尽量减少煤炭落料过程中高差</w:t>
            </w:r>
            <w:r>
              <w:rPr>
                <w:rFonts w:hint="eastAsia" w:ascii="Times New Roman" w:hAnsi="Times New Roman" w:cs="Times New Roman"/>
                <w:color w:val="auto"/>
                <w:kern w:val="0"/>
                <w:sz w:val="21"/>
                <w:szCs w:val="21"/>
                <w:highlight w:val="none"/>
                <w:lang w:val="en-US" w:eastAsia="zh-CN"/>
              </w:rPr>
              <w:t>，并采取喷</w:t>
            </w:r>
            <w:r>
              <w:rPr>
                <w:rFonts w:hint="default" w:ascii="Times New Roman" w:hAnsi="Times New Roman" w:eastAsia="宋体" w:cs="Times New Roman"/>
                <w:color w:val="auto"/>
                <w:kern w:val="0"/>
                <w:sz w:val="21"/>
                <w:szCs w:val="21"/>
                <w:highlight w:val="none"/>
                <w:lang w:val="en-US" w:eastAsia="zh-CN"/>
              </w:rPr>
              <w:t>雾降尘，禁止在重污染天气、大风天气进行作业，运输车辆全面苫盖，定期去外部指定洗车点对车辆进行清洗。</w:t>
            </w:r>
            <w:r>
              <w:rPr>
                <w:rFonts w:hint="default" w:ascii="Times New Roman" w:hAnsi="Times New Roman" w:cs="Times New Roman"/>
                <w:color w:val="auto"/>
                <w:sz w:val="21"/>
                <w:szCs w:val="21"/>
                <w:highlight w:val="none"/>
                <w:lang w:val="en-US" w:eastAsia="zh-CN"/>
              </w:rPr>
              <w:t>不属于《</w:t>
            </w:r>
            <w:r>
              <w:rPr>
                <w:rFonts w:hint="eastAsia" w:ascii="宋体" w:hAnsi="宋体" w:eastAsia="宋体" w:cs="宋体"/>
                <w:color w:val="auto"/>
                <w:sz w:val="21"/>
                <w:szCs w:val="21"/>
                <w:highlight w:val="none"/>
                <w:lang w:val="en-US" w:eastAsia="zh-CN"/>
              </w:rPr>
              <w:t>黑龙江省“十四五”生</w:t>
            </w:r>
            <w:r>
              <w:rPr>
                <w:rFonts w:hint="default" w:ascii="Times New Roman" w:hAnsi="Times New Roman" w:cs="Times New Roman"/>
                <w:color w:val="auto"/>
                <w:sz w:val="21"/>
                <w:szCs w:val="21"/>
                <w:highlight w:val="none"/>
                <w:lang w:val="en-US" w:eastAsia="zh-CN"/>
              </w:rPr>
              <w:t>态环境保护规划</w:t>
            </w:r>
            <w:r>
              <w:rPr>
                <w:rFonts w:hint="eastAsia" w:ascii="宋体" w:hAnsi="宋体" w:eastAsia="宋体" w:cs="宋体"/>
                <w:color w:val="auto"/>
                <w:sz w:val="21"/>
                <w:szCs w:val="21"/>
                <w:highlight w:val="none"/>
                <w:lang w:val="en-US" w:eastAsia="zh-CN"/>
              </w:rPr>
              <w:t>》中“重点行业大气污染治理工程、水生态环境提升重大工程、土壤和地下水污染治理重大工程”中要求内容，项目建设符合《黑龙江省“十四五”生态环境保护规划》要</w:t>
            </w:r>
            <w:r>
              <w:rPr>
                <w:rFonts w:hint="default" w:ascii="Times New Roman" w:hAnsi="Times New Roman" w:cs="Times New Roman"/>
                <w:color w:val="auto"/>
                <w:sz w:val="21"/>
                <w:szCs w:val="21"/>
                <w:highlight w:val="none"/>
                <w:lang w:val="en-US" w:eastAsia="zh-CN"/>
              </w:rPr>
              <w:t>求。</w:t>
            </w:r>
          </w:p>
          <w:p w14:paraId="2E5C5B37">
            <w:pPr>
              <w:pStyle w:val="22"/>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0" w:firstLineChars="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13</w:t>
            </w:r>
            <w:r>
              <w:rPr>
                <w:rFonts w:hint="default" w:ascii="Times New Roman" w:hAnsi="Times New Roman" w:cs="Times New Roman"/>
                <w:b/>
                <w:bCs/>
                <w:color w:val="auto"/>
                <w:sz w:val="21"/>
                <w:szCs w:val="21"/>
                <w:highlight w:val="none"/>
                <w:lang w:val="en-US" w:eastAsia="zh-CN"/>
              </w:rPr>
              <w:t>、与</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fldChar w:fldCharType="begin"/>
            </w:r>
            <w:r>
              <w:rPr>
                <w:rFonts w:hint="default" w:ascii="Times New Roman" w:hAnsi="Times New Roman" w:eastAsia="宋体" w:cs="Times New Roman"/>
                <w:b/>
                <w:bCs/>
                <w:color w:val="auto"/>
                <w:sz w:val="21"/>
                <w:szCs w:val="21"/>
                <w:highlight w:val="none"/>
                <w:lang w:val="en-US" w:eastAsia="zh-CN"/>
              </w:rPr>
              <w:instrText xml:space="preserve"> HYPERLINK "https://www.jixi.gov.cn/jixi/c100330/202405/297673/files/3.%E3%80%8A%E9%B8%A1%E8%A5%BF%E5%B8%82%E6%81%92%E5%B1%B1%E5%8C%BA%E7%BA%A2%E6%97%97%E4%B9%A1%EF%BC%88%E5%90%AB%E8%A1%97%E9%81%93%EF%BC%89%E5%9B%BD%E5%9C%9F%E7%A9%BA%E9%97%B4%E6%80%BB%E4%BD%93%E8%A7%84%E5%88%92%EF%BC%882021-2035%E5%B9%B4%EF%BC%89%E3%80%8B%EF%BC%88%E5%85%AC%E7%A4%BA%E7%89%88%EF%BC%89.pdf" \t "https://www.jixi.gov.cn/jixi/c100330/202405/_blank" </w:instrText>
            </w:r>
            <w:r>
              <w:rPr>
                <w:rFonts w:hint="default" w:ascii="Times New Roman" w:hAnsi="Times New Roman" w:eastAsia="宋体" w:cs="Times New Roman"/>
                <w:b/>
                <w:bCs/>
                <w:color w:val="auto"/>
                <w:sz w:val="21"/>
                <w:szCs w:val="21"/>
                <w:highlight w:val="none"/>
                <w:lang w:val="en-US" w:eastAsia="zh-CN"/>
              </w:rPr>
              <w:fldChar w:fldCharType="separate"/>
            </w:r>
            <w:r>
              <w:rPr>
                <w:rFonts w:hint="eastAsia" w:ascii="Times New Roman" w:hAnsi="Times New Roman" w:eastAsia="宋体" w:cs="Times New Roman"/>
                <w:b/>
                <w:bCs/>
                <w:color w:val="auto"/>
                <w:sz w:val="21"/>
                <w:szCs w:val="21"/>
                <w:highlight w:val="none"/>
                <w:lang w:val="en-US" w:eastAsia="zh-CN"/>
              </w:rPr>
              <w:t>《鸡西市恒山区红旗乡（含街道）国土空间总体规划（2021-2035年）》</w:t>
            </w:r>
            <w:r>
              <w:rPr>
                <w:rFonts w:hint="eastAsia" w:ascii="Times New Roman" w:hAnsi="Times New Roman" w:eastAsia="宋体" w:cs="Times New Roman"/>
                <w:b/>
                <w:bCs/>
                <w:color w:val="auto"/>
                <w:sz w:val="21"/>
                <w:szCs w:val="21"/>
                <w:highlight w:val="none"/>
                <w:lang w:val="en-US" w:eastAsia="zh-CN"/>
              </w:rPr>
              <w:fldChar w:fldCharType="end"/>
            </w:r>
            <w:r>
              <w:rPr>
                <w:rFonts w:hint="default" w:ascii="Times New Roman" w:hAnsi="Times New Roman" w:cs="Times New Roman" w:eastAsiaTheme="minorEastAsia"/>
                <w:b/>
                <w:bCs/>
                <w:color w:val="auto"/>
                <w:sz w:val="21"/>
                <w:szCs w:val="21"/>
                <w:highlight w:val="none"/>
              </w:rPr>
              <w:t>符合性分析</w:t>
            </w:r>
          </w:p>
          <w:p w14:paraId="51B70554">
            <w:pPr>
              <w:keepNext w:val="0"/>
              <w:keepLines w:val="0"/>
              <w:pageBreakBefore w:val="0"/>
              <w:widowControl/>
              <w:suppressLineNumbers w:val="0"/>
              <w:tabs>
                <w:tab w:val="left" w:pos="6480"/>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w:t>
            </w:r>
            <w:r>
              <w:rPr>
                <w:rFonts w:hint="eastAsia"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lang w:val="en-US" w:eastAsia="zh-CN"/>
              </w:rPr>
              <w:fldChar w:fldCharType="begin"/>
            </w:r>
            <w:r>
              <w:rPr>
                <w:rFonts w:hint="default" w:ascii="Times New Roman" w:hAnsi="Times New Roman" w:eastAsia="宋体" w:cs="Times New Roman"/>
                <w:b w:val="0"/>
                <w:bCs w:val="0"/>
                <w:color w:val="auto"/>
                <w:sz w:val="21"/>
                <w:szCs w:val="21"/>
                <w:highlight w:val="none"/>
                <w:lang w:val="en-US" w:eastAsia="zh-CN"/>
              </w:rPr>
              <w:instrText xml:space="preserve"> HYPERLINK "https://www.jixi.gov.cn/jixi/c100330/202405/297673/files/3.%E3%80%8A%E9%B8%A1%E8%A5%BF%E5%B8%82%E6%81%92%E5%B1%B1%E5%8C%BA%E7%BA%A2%E6%97%97%E4%B9%A1%EF%BC%88%E5%90%AB%E8%A1%97%E9%81%93%EF%BC%89%E5%9B%BD%E5%9C%9F%E7%A9%BA%E9%97%B4%E6%80%BB%E4%BD%93%E8%A7%84%E5%88%92%EF%BC%882021-2035%E5%B9%B4%EF%BC%89%E3%80%8B%EF%BC%88%E5%85%AC%E7%A4%BA%E7%89%88%EF%BC%89.pdf" \t "https://www.jixi.gov.cn/jixi/c100330/202405/_blank" </w:instrText>
            </w:r>
            <w:r>
              <w:rPr>
                <w:rFonts w:hint="default" w:ascii="Times New Roman" w:hAnsi="Times New Roman" w:eastAsia="宋体" w:cs="Times New Roman"/>
                <w:b w:val="0"/>
                <w:bCs w:val="0"/>
                <w:color w:val="auto"/>
                <w:sz w:val="21"/>
                <w:szCs w:val="21"/>
                <w:highlight w:val="none"/>
                <w:lang w:val="en-US" w:eastAsia="zh-CN"/>
              </w:rPr>
              <w:fldChar w:fldCharType="separate"/>
            </w:r>
            <w:r>
              <w:rPr>
                <w:rFonts w:hint="eastAsia" w:ascii="Times New Roman" w:hAnsi="Times New Roman" w:eastAsia="宋体" w:cs="Times New Roman"/>
                <w:b w:val="0"/>
                <w:bCs w:val="0"/>
                <w:color w:val="auto"/>
                <w:sz w:val="21"/>
                <w:szCs w:val="21"/>
                <w:highlight w:val="none"/>
                <w:lang w:val="en-US" w:eastAsia="zh-CN"/>
              </w:rPr>
              <w:t>《鸡西市恒山区红旗乡（含街道）国土空间总体规划（2021-2035年）》</w:t>
            </w:r>
            <w:r>
              <w:rPr>
                <w:rFonts w:hint="eastAsia" w:ascii="Times New Roman" w:hAnsi="Times New Roman" w:eastAsia="宋体" w:cs="Times New Roman"/>
                <w:b w:val="0"/>
                <w:bCs w:val="0"/>
                <w:color w:val="auto"/>
                <w:sz w:val="21"/>
                <w:szCs w:val="21"/>
                <w:highlight w:val="none"/>
                <w:lang w:val="en-US" w:eastAsia="zh-CN"/>
              </w:rPr>
              <w:fldChar w:fldCharType="end"/>
            </w:r>
            <w:r>
              <w:rPr>
                <w:rFonts w:hint="eastAsia" w:ascii="Times New Roman" w:hAnsi="Times New Roman" w:eastAsia="宋体" w:cs="Times New Roman"/>
                <w:b w:val="0"/>
                <w:bCs w:val="0"/>
                <w:color w:val="auto"/>
                <w:sz w:val="21"/>
                <w:szCs w:val="21"/>
                <w:highlight w:val="none"/>
                <w:lang w:val="en-US" w:eastAsia="zh-CN"/>
              </w:rPr>
              <w:t>中统筹划定三条控制线</w:t>
            </w:r>
            <w:r>
              <w:rPr>
                <w:rFonts w:hint="default" w:ascii="Times New Roman" w:hAnsi="Times New Roman" w:eastAsia="宋体" w:cs="Times New Roman"/>
                <w:color w:val="auto"/>
                <w:sz w:val="21"/>
                <w:szCs w:val="21"/>
                <w:highlight w:val="none"/>
              </w:rPr>
              <w:t>，本项目与</w:t>
            </w:r>
            <w:r>
              <w:rPr>
                <w:rFonts w:hint="default" w:ascii="Times New Roman" w:hAnsi="Times New Roman" w:cs="Times New Roman"/>
                <w:color w:val="auto"/>
                <w:sz w:val="21"/>
                <w:szCs w:val="21"/>
                <w:highlight w:val="none"/>
                <w:lang w:eastAsia="zh-CN"/>
              </w:rPr>
              <w:t>国土空间规划</w:t>
            </w:r>
            <w:r>
              <w:rPr>
                <w:rFonts w:hint="default" w:ascii="Times New Roman" w:hAnsi="Times New Roman" w:eastAsia="宋体" w:cs="Times New Roman"/>
                <w:color w:val="auto"/>
                <w:sz w:val="21"/>
                <w:szCs w:val="21"/>
                <w:highlight w:val="none"/>
              </w:rPr>
              <w:t>符合性分析见</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表。</w:t>
            </w:r>
          </w:p>
          <w:p w14:paraId="70C09424">
            <w:pPr>
              <w:pStyle w:val="6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表1-</w:t>
            </w:r>
            <w:r>
              <w:rPr>
                <w:rFonts w:hint="default" w:ascii="Times New Roman" w:hAnsi="Times New Roman" w:eastAsia="宋体" w:cs="Times New Roman"/>
                <w:b/>
                <w:bCs/>
                <w:color w:val="auto"/>
                <w:sz w:val="21"/>
                <w:szCs w:val="21"/>
                <w:highlight w:val="none"/>
                <w:lang w:val="en-US" w:eastAsia="zh-CN"/>
              </w:rPr>
              <w:t>4与</w:t>
            </w:r>
            <w:r>
              <w:rPr>
                <w:rFonts w:hint="default" w:ascii="Times New Roman" w:hAnsi="Times New Roman" w:eastAsia="宋体" w:cs="Times New Roman"/>
                <w:b/>
                <w:bCs/>
                <w:color w:val="auto"/>
                <w:sz w:val="21"/>
                <w:szCs w:val="21"/>
                <w:highlight w:val="none"/>
                <w:lang w:eastAsia="zh-CN"/>
              </w:rPr>
              <w:t>鸡西市国土空间总体规划</w:t>
            </w:r>
            <w:r>
              <w:rPr>
                <w:rFonts w:hint="default" w:ascii="Times New Roman" w:hAnsi="Times New Roman" w:eastAsia="宋体" w:cs="Times New Roman"/>
                <w:b/>
                <w:bCs/>
                <w:color w:val="auto"/>
                <w:sz w:val="21"/>
                <w:szCs w:val="21"/>
                <w:highlight w:val="none"/>
              </w:rPr>
              <w:t>符合性分析</w:t>
            </w:r>
          </w:p>
          <w:tbl>
            <w:tblPr>
              <w:tblStyle w:val="25"/>
              <w:tblW w:w="743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51"/>
              <w:gridCol w:w="2075"/>
              <w:gridCol w:w="1212"/>
            </w:tblGrid>
            <w:tr w14:paraId="457C9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4151" w:type="dxa"/>
                  <w:tcBorders>
                    <w:tl2br w:val="nil"/>
                    <w:tr2bl w:val="nil"/>
                  </w:tcBorders>
                  <w:vAlign w:val="center"/>
                </w:tcPr>
                <w:p w14:paraId="0F20A085">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规划成果</w:t>
                  </w:r>
                </w:p>
              </w:tc>
              <w:tc>
                <w:tcPr>
                  <w:tcW w:w="2075" w:type="dxa"/>
                  <w:tcBorders>
                    <w:tl2br w:val="nil"/>
                    <w:tr2bl w:val="nil"/>
                  </w:tcBorders>
                  <w:vAlign w:val="center"/>
                </w:tcPr>
                <w:p w14:paraId="4111A22B">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项目内容</w:t>
                  </w:r>
                </w:p>
              </w:tc>
              <w:tc>
                <w:tcPr>
                  <w:tcW w:w="1212" w:type="dxa"/>
                  <w:tcBorders>
                    <w:tl2br w:val="nil"/>
                    <w:tr2bl w:val="nil"/>
                  </w:tcBorders>
                  <w:vAlign w:val="center"/>
                </w:tcPr>
                <w:p w14:paraId="141F720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符合性</w:t>
                  </w:r>
                </w:p>
              </w:tc>
            </w:tr>
            <w:tr w14:paraId="14071D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4151" w:type="dxa"/>
                  <w:tcBorders>
                    <w:tl2br w:val="nil"/>
                    <w:tr2bl w:val="nil"/>
                  </w:tcBorders>
                  <w:vAlign w:val="center"/>
                </w:tcPr>
                <w:p w14:paraId="60DF7D13">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eastAsia" w:ascii="Times New Roman" w:hAnsi="Times New Roman" w:eastAsia="宋体" w:cs="Times New Roman"/>
                      <w:b w:val="0"/>
                      <w:bCs w:val="0"/>
                      <w:color w:val="auto"/>
                      <w:kern w:val="0"/>
                      <w:sz w:val="18"/>
                      <w:szCs w:val="18"/>
                      <w:highlight w:val="none"/>
                      <w:lang w:val="en-US" w:eastAsia="zh-CN" w:bidi="ar-SA"/>
                    </w:rPr>
                    <w:t>依照功能划定生态保护红线是在生态空间范围内具有特殊重要生态功能、必须强制性严格保护的区域。</w:t>
                  </w:r>
                </w:p>
              </w:tc>
              <w:tc>
                <w:tcPr>
                  <w:tcW w:w="2075" w:type="dxa"/>
                  <w:tcBorders>
                    <w:tl2br w:val="nil"/>
                    <w:tr2bl w:val="nil"/>
                  </w:tcBorders>
                  <w:shd w:val="clear" w:color="auto" w:fill="auto"/>
                  <w:vAlign w:val="center"/>
                </w:tcPr>
                <w:p w14:paraId="004AEFAF">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本项目用地未处于</w:t>
                  </w:r>
                  <w:r>
                    <w:rPr>
                      <w:rFonts w:hint="eastAsia" w:cs="Times New Roman"/>
                      <w:b w:val="0"/>
                      <w:bCs w:val="0"/>
                      <w:color w:val="auto"/>
                      <w:sz w:val="18"/>
                      <w:szCs w:val="18"/>
                      <w:highlight w:val="none"/>
                      <w:vertAlign w:val="baseline"/>
                      <w:lang w:val="en-US" w:eastAsia="zh-CN"/>
                    </w:rPr>
                    <w:t>生态保护红线</w:t>
                  </w:r>
                  <w:r>
                    <w:rPr>
                      <w:rFonts w:hint="default" w:ascii="Times New Roman" w:hAnsi="Times New Roman" w:eastAsia="宋体" w:cs="Times New Roman"/>
                      <w:b w:val="0"/>
                      <w:bCs w:val="0"/>
                      <w:color w:val="auto"/>
                      <w:sz w:val="18"/>
                      <w:szCs w:val="18"/>
                      <w:highlight w:val="none"/>
                      <w:vertAlign w:val="baseline"/>
                      <w:lang w:eastAsia="zh-CN"/>
                    </w:rPr>
                    <w:t>范围内</w:t>
                  </w:r>
                </w:p>
              </w:tc>
              <w:tc>
                <w:tcPr>
                  <w:tcW w:w="1212" w:type="dxa"/>
                  <w:tcBorders>
                    <w:tl2br w:val="nil"/>
                    <w:tr2bl w:val="nil"/>
                  </w:tcBorders>
                  <w:vAlign w:val="center"/>
                </w:tcPr>
                <w:p w14:paraId="7E9037D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00835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4151" w:type="dxa"/>
                  <w:tcBorders>
                    <w:tl2br w:val="nil"/>
                    <w:tr2bl w:val="nil"/>
                  </w:tcBorders>
                  <w:vAlign w:val="center"/>
                </w:tcPr>
                <w:p w14:paraId="20B16A18">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kern w:val="0"/>
                      <w:sz w:val="18"/>
                      <w:szCs w:val="18"/>
                      <w:highlight w:val="none"/>
                      <w:lang w:val="en-US" w:eastAsia="zh-CN" w:bidi="ar-SA"/>
                    </w:rPr>
                  </w:pPr>
                  <w:r>
                    <w:rPr>
                      <w:rFonts w:hint="eastAsia" w:ascii="Times New Roman" w:hAnsi="Times New Roman" w:eastAsia="宋体" w:cs="Times New Roman"/>
                      <w:b w:val="0"/>
                      <w:bCs w:val="0"/>
                      <w:color w:val="auto"/>
                      <w:kern w:val="0"/>
                      <w:sz w:val="18"/>
                      <w:szCs w:val="18"/>
                      <w:highlight w:val="none"/>
                      <w:lang w:val="en-US" w:eastAsia="zh-CN" w:bidi="ar-SA"/>
                    </w:rPr>
                    <w:t>保质保量划定永久基本农田是为保障国家粮食安全和重要农产品供给，实施永久特殊保护的耕地。永久基本农田一经划定，必须严格遵守《基本农田保护条例》，严控建设占用永久基本农田。</w:t>
                  </w:r>
                </w:p>
              </w:tc>
              <w:tc>
                <w:tcPr>
                  <w:tcW w:w="2075" w:type="dxa"/>
                  <w:tcBorders>
                    <w:tl2br w:val="nil"/>
                    <w:tr2bl w:val="nil"/>
                  </w:tcBorders>
                  <w:shd w:val="clear" w:color="auto" w:fill="auto"/>
                  <w:vAlign w:val="center"/>
                </w:tcPr>
                <w:p w14:paraId="5B71EF2C">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本项目用地</w:t>
                  </w:r>
                  <w:r>
                    <w:rPr>
                      <w:rFonts w:hint="eastAsia" w:ascii="Times New Roman" w:hAnsi="Times New Roman" w:eastAsia="宋体" w:cs="Times New Roman"/>
                      <w:b w:val="0"/>
                      <w:bCs w:val="0"/>
                      <w:color w:val="auto"/>
                      <w:sz w:val="18"/>
                      <w:szCs w:val="18"/>
                      <w:highlight w:val="none"/>
                      <w:vertAlign w:val="baseline"/>
                      <w:lang w:val="en-US" w:eastAsia="zh-CN"/>
                    </w:rPr>
                    <w:t>不涉及耕地及</w:t>
                  </w:r>
                  <w:r>
                    <w:rPr>
                      <w:rFonts w:hint="default" w:ascii="Times New Roman" w:hAnsi="Times New Roman" w:eastAsia="宋体" w:cs="Times New Roman"/>
                      <w:b w:val="0"/>
                      <w:bCs w:val="0"/>
                      <w:color w:val="auto"/>
                      <w:sz w:val="18"/>
                      <w:szCs w:val="18"/>
                      <w:highlight w:val="none"/>
                    </w:rPr>
                    <w:t>永久基本农田</w:t>
                  </w:r>
                  <w:r>
                    <w:rPr>
                      <w:rFonts w:hint="default" w:ascii="Times New Roman" w:hAnsi="Times New Roman" w:eastAsia="宋体" w:cs="Times New Roman"/>
                      <w:b w:val="0"/>
                      <w:bCs w:val="0"/>
                      <w:color w:val="auto"/>
                      <w:sz w:val="18"/>
                      <w:szCs w:val="18"/>
                      <w:highlight w:val="none"/>
                      <w:vertAlign w:val="baseline"/>
                      <w:lang w:eastAsia="zh-CN"/>
                    </w:rPr>
                    <w:t>，不会对农业造成影响。</w:t>
                  </w:r>
                </w:p>
              </w:tc>
              <w:tc>
                <w:tcPr>
                  <w:tcW w:w="1212" w:type="dxa"/>
                  <w:tcBorders>
                    <w:tl2br w:val="nil"/>
                    <w:tr2bl w:val="nil"/>
                  </w:tcBorders>
                  <w:vAlign w:val="center"/>
                </w:tcPr>
                <w:p w14:paraId="0D421A4B">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2CA02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6" w:hRule="atLeast"/>
              </w:trPr>
              <w:tc>
                <w:tcPr>
                  <w:tcW w:w="4151" w:type="dxa"/>
                  <w:tcBorders>
                    <w:tl2br w:val="nil"/>
                    <w:tr2bl w:val="nil"/>
                  </w:tcBorders>
                  <w:vAlign w:val="center"/>
                </w:tcPr>
                <w:p w14:paraId="67078F94">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b w:val="0"/>
                      <w:bCs w:val="0"/>
                      <w:color w:val="auto"/>
                      <w:kern w:val="0"/>
                      <w:sz w:val="18"/>
                      <w:szCs w:val="18"/>
                      <w:highlight w:val="none"/>
                      <w:lang w:val="en-US" w:eastAsia="zh-CN" w:bidi="ar-SA"/>
                    </w:rPr>
                  </w:pPr>
                  <w:r>
                    <w:rPr>
                      <w:rFonts w:hint="eastAsia" w:ascii="Times New Roman" w:hAnsi="Times New Roman" w:eastAsia="宋体" w:cs="Times New Roman"/>
                      <w:b w:val="0"/>
                      <w:bCs w:val="0"/>
                      <w:color w:val="auto"/>
                      <w:kern w:val="0"/>
                      <w:sz w:val="18"/>
                      <w:szCs w:val="18"/>
                      <w:highlight w:val="none"/>
                      <w:lang w:val="en-US" w:eastAsia="zh-CN" w:bidi="ar-SA"/>
                    </w:rPr>
                    <w:t>集约绿色 划定城镇开发边界是一定时期内因城镇发展需要，可以集中进行城镇开发建设，完善城镇功能、提升空间品质的区域边界；防止城镇无序</w:t>
                  </w:r>
                  <w:r>
                    <w:rPr>
                      <w:rFonts w:hint="eastAsia" w:cs="Times New Roman"/>
                      <w:b w:val="0"/>
                      <w:bCs w:val="0"/>
                      <w:color w:val="auto"/>
                      <w:kern w:val="0"/>
                      <w:sz w:val="18"/>
                      <w:szCs w:val="18"/>
                      <w:highlight w:val="none"/>
                      <w:lang w:val="en-US" w:eastAsia="zh-CN" w:bidi="ar-SA"/>
                    </w:rPr>
                    <w:t>蔓延</w:t>
                  </w:r>
                  <w:r>
                    <w:rPr>
                      <w:rFonts w:hint="eastAsia" w:ascii="Times New Roman" w:hAnsi="Times New Roman" w:eastAsia="宋体" w:cs="Times New Roman"/>
                      <w:b w:val="0"/>
                      <w:bCs w:val="0"/>
                      <w:color w:val="auto"/>
                      <w:kern w:val="0"/>
                      <w:sz w:val="18"/>
                      <w:szCs w:val="18"/>
                      <w:highlight w:val="none"/>
                      <w:lang w:val="en-US" w:eastAsia="zh-CN" w:bidi="ar-SA"/>
                    </w:rPr>
                    <w:t>，优化城市结构、美化空间形态、提升空间效率。</w:t>
                  </w:r>
                </w:p>
              </w:tc>
              <w:tc>
                <w:tcPr>
                  <w:tcW w:w="2075" w:type="dxa"/>
                  <w:tcBorders>
                    <w:tl2br w:val="nil"/>
                    <w:tr2bl w:val="nil"/>
                  </w:tcBorders>
                  <w:shd w:val="clear" w:color="auto" w:fill="auto"/>
                  <w:vAlign w:val="center"/>
                </w:tcPr>
                <w:p w14:paraId="2F6D8780">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ascii="Times New Roman" w:hAnsi="Times New Roman" w:eastAsia="宋体" w:cs="Times New Roman"/>
                      <w:b w:val="0"/>
                      <w:bCs w:val="0"/>
                      <w:color w:val="auto"/>
                      <w:kern w:val="0"/>
                      <w:sz w:val="18"/>
                      <w:szCs w:val="18"/>
                      <w:highlight w:val="none"/>
                      <w:vertAlign w:val="baseline"/>
                      <w:lang w:val="en-US" w:eastAsia="zh-CN" w:bidi="ar-SA"/>
                    </w:rPr>
                    <w:t>本项目用地性质为采矿用地，符合土地利用规划</w:t>
                  </w:r>
                </w:p>
              </w:tc>
              <w:tc>
                <w:tcPr>
                  <w:tcW w:w="1212" w:type="dxa"/>
                  <w:tcBorders>
                    <w:tl2br w:val="nil"/>
                    <w:tr2bl w:val="nil"/>
                  </w:tcBorders>
                  <w:shd w:val="clear" w:color="auto" w:fill="auto"/>
                  <w:vAlign w:val="center"/>
                </w:tcPr>
                <w:p w14:paraId="2360E41C">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符合</w:t>
                  </w:r>
                </w:p>
              </w:tc>
            </w:tr>
          </w:tbl>
          <w:p w14:paraId="05B5A2F0">
            <w:pPr>
              <w:pStyle w:val="43"/>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0" w:firstLineChars="0"/>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w:t>
            </w:r>
            <w:r>
              <w:rPr>
                <w:rFonts w:hint="eastAsia" w:cs="Times New Roman"/>
                <w:b/>
                <w:bCs/>
                <w:color w:val="auto"/>
                <w:kern w:val="0"/>
                <w:sz w:val="21"/>
                <w:szCs w:val="21"/>
                <w:highlight w:val="none"/>
                <w:lang w:val="en-US" w:eastAsia="zh-CN" w:bidi="ar-SA"/>
              </w:rPr>
              <w:t>4</w:t>
            </w:r>
            <w:r>
              <w:rPr>
                <w:rFonts w:hint="default" w:ascii="Times New Roman" w:hAnsi="Times New Roman" w:eastAsia="宋体" w:cs="Times New Roman"/>
                <w:b/>
                <w:bCs/>
                <w:color w:val="auto"/>
                <w:kern w:val="0"/>
                <w:sz w:val="21"/>
                <w:szCs w:val="21"/>
                <w:highlight w:val="none"/>
                <w:lang w:val="en-US" w:eastAsia="zh-CN" w:bidi="ar-SA"/>
              </w:rPr>
              <w:t>、</w:t>
            </w:r>
            <w:r>
              <w:rPr>
                <w:rFonts w:hint="eastAsia" w:ascii="Times New Roman" w:hAnsi="Times New Roman" w:eastAsia="宋体" w:cs="Times New Roman"/>
                <w:b/>
                <w:bCs/>
                <w:color w:val="auto"/>
                <w:kern w:val="0"/>
                <w:sz w:val="21"/>
                <w:szCs w:val="21"/>
                <w:highlight w:val="none"/>
                <w:lang w:val="en-US" w:eastAsia="zh-CN" w:bidi="ar-SA"/>
              </w:rPr>
              <w:t>本项目与《关于建立健全煤炭最低库存和最高库存制度的指导意见（试行）》的符合性分析。</w:t>
            </w:r>
          </w:p>
          <w:p w14:paraId="404B73D4">
            <w:pPr>
              <w:pStyle w:val="43"/>
              <w:keepNext w:val="0"/>
              <w:keepLines w:val="0"/>
              <w:pageBreakBefore w:val="0"/>
              <w:kinsoku/>
              <w:wordWrap/>
              <w:overflowPunct/>
              <w:topLinePunct w:val="0"/>
              <w:autoSpaceDE w:val="0"/>
              <w:autoSpaceDN w:val="0"/>
              <w:bidi w:val="0"/>
              <w:adjustRightIn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根据《关于建立健全煤炭最低库存和最高库存制度的指导意见（试行）》中要求，</w:t>
            </w:r>
            <w:r>
              <w:rPr>
                <w:rFonts w:hint="default" w:ascii="Times New Roman" w:hAnsi="Times New Roman" w:eastAsia="宋体" w:cs="Times New Roman"/>
                <w:color w:val="auto"/>
                <w:sz w:val="21"/>
                <w:szCs w:val="21"/>
                <w:highlight w:val="none"/>
                <w:lang w:val="en-US" w:eastAsia="zh-CN"/>
              </w:rPr>
              <w:t>从事原煤、配煤及洗选、型煤加工产品 经销等活动的煤炭经营企业，最低库存原则上不低于上一年度3天的日常经营量。当市场供不应求、动力煤价格出现大幅上涨超出绿色区域上限时，煤炭经营企业最高库存原则上不超过上一年度月均 经营量。</w:t>
            </w:r>
          </w:p>
          <w:p w14:paraId="1DF68944">
            <w:pPr>
              <w:pStyle w:val="43"/>
              <w:keepNext w:val="0"/>
              <w:keepLines w:val="0"/>
              <w:pageBreakBefore w:val="0"/>
              <w:kinsoku/>
              <w:wordWrap/>
              <w:overflowPunct/>
              <w:topLinePunct w:val="0"/>
              <w:autoSpaceDE w:val="0"/>
              <w:autoSpaceDN w:val="0"/>
              <w:bidi w:val="0"/>
              <w:adjustRightIn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本项目为新建储煤场，厂区最大储存量可达1.5万t，实际运营后将严格执行指导意见中最低库存、最高库存制度要求，根据《</w:t>
            </w:r>
            <w:r>
              <w:rPr>
                <w:rFonts w:hint="default" w:ascii="Times New Roman" w:hAnsi="Times New Roman" w:eastAsia="宋体" w:cs="Times New Roman"/>
                <w:color w:val="auto"/>
                <w:sz w:val="21"/>
                <w:szCs w:val="21"/>
                <w:highlight w:val="none"/>
                <w:lang w:val="en-US" w:eastAsia="zh-CN"/>
              </w:rPr>
              <w:t>煤炭最低库存和最高库存制度考核办法（试行）</w:t>
            </w:r>
            <w:r>
              <w:rPr>
                <w:rFonts w:hint="eastAsia" w:ascii="Times New Roman" w:hAnsi="Times New Roman" w:eastAsia="宋体" w:cs="Times New Roman"/>
                <w:color w:val="auto"/>
                <w:sz w:val="21"/>
                <w:szCs w:val="21"/>
                <w:highlight w:val="none"/>
                <w:lang w:val="en-US" w:eastAsia="zh-CN"/>
              </w:rPr>
              <w:t>》要求，</w:t>
            </w:r>
            <w:r>
              <w:rPr>
                <w:rFonts w:hint="default" w:ascii="Times New Roman" w:hAnsi="Times New Roman" w:eastAsia="宋体" w:cs="Times New Roman"/>
                <w:color w:val="auto"/>
                <w:sz w:val="21"/>
                <w:szCs w:val="21"/>
                <w:highlight w:val="none"/>
                <w:lang w:val="en-US" w:eastAsia="zh-CN"/>
              </w:rPr>
              <w:t>按月向地方有关部门报送上月每日煤炭生产、经营、消耗及库存数量。迎峰度夏度冬等重点时段，</w:t>
            </w:r>
            <w:r>
              <w:rPr>
                <w:rFonts w:hint="eastAsia"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lang w:val="en-US" w:eastAsia="zh-CN"/>
              </w:rPr>
              <w:t>要求按旬或周进行报送，市场供需出现异常波动等特殊情况下</w:t>
            </w:r>
            <w:r>
              <w:rPr>
                <w:rFonts w:hint="eastAsia" w:cs="Times New Roman"/>
                <w:color w:val="auto"/>
                <w:sz w:val="21"/>
                <w:szCs w:val="21"/>
                <w:highlight w:val="none"/>
                <w:lang w:val="en-US" w:eastAsia="zh-CN"/>
              </w:rPr>
              <w:t>根据要求</w:t>
            </w:r>
            <w:r>
              <w:rPr>
                <w:rFonts w:hint="default" w:ascii="Times New Roman" w:hAnsi="Times New Roman" w:eastAsia="宋体" w:cs="Times New Roman"/>
                <w:color w:val="auto"/>
                <w:sz w:val="21"/>
                <w:szCs w:val="21"/>
                <w:highlight w:val="none"/>
                <w:lang w:val="en-US" w:eastAsia="zh-CN"/>
              </w:rPr>
              <w:t>按日报送。</w:t>
            </w:r>
          </w:p>
          <w:p w14:paraId="60FFDD52">
            <w:pPr>
              <w:pStyle w:val="43"/>
              <w:keepNext w:val="0"/>
              <w:keepLines w:val="0"/>
              <w:pageBreakBefore w:val="0"/>
              <w:kinsoku/>
              <w:wordWrap/>
              <w:overflowPunct/>
              <w:topLinePunct w:val="0"/>
              <w:autoSpaceDE w:val="0"/>
              <w:autoSpaceDN w:val="0"/>
              <w:bidi w:val="0"/>
              <w:adjustRightInd/>
              <w:spacing w:line="360" w:lineRule="auto"/>
              <w:ind w:firstLine="420" w:firstLineChars="20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综上所述，本项目符合指导意见要求。</w:t>
            </w:r>
          </w:p>
        </w:tc>
      </w:tr>
    </w:tbl>
    <w:p w14:paraId="0EE9FF08">
      <w:pPr>
        <w:pStyle w:val="20"/>
        <w:jc w:val="center"/>
        <w:outlineLvl w:val="9"/>
        <w:rPr>
          <w:rFonts w:hint="default" w:ascii="Times New Roman" w:hAnsi="Times New Roman" w:eastAsia="黑体" w:cs="Times New Roman"/>
          <w:snapToGrid w:val="0"/>
          <w:color w:val="auto"/>
          <w:sz w:val="30"/>
          <w:szCs w:val="30"/>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FF596E5">
      <w:pPr>
        <w:pStyle w:val="20"/>
        <w:jc w:val="center"/>
        <w:outlineLvl w:val="0"/>
        <w:rPr>
          <w:rFonts w:hint="eastAsia" w:ascii="宋体" w:hAnsi="宋体" w:eastAsia="宋体" w:cs="宋体"/>
          <w:snapToGrid w:val="0"/>
          <w:color w:val="auto"/>
          <w:sz w:val="30"/>
          <w:szCs w:val="30"/>
          <w:highlight w:val="none"/>
        </w:rPr>
      </w:pPr>
      <w:bookmarkStart w:id="19" w:name="_Toc3820"/>
      <w:bookmarkStart w:id="20" w:name="_Toc23289"/>
      <w:bookmarkStart w:id="21" w:name="_Toc26157"/>
      <w:bookmarkStart w:id="22" w:name="_Toc21690"/>
      <w:r>
        <w:rPr>
          <w:rFonts w:hint="eastAsia" w:ascii="宋体" w:hAnsi="宋体" w:eastAsia="宋体" w:cs="宋体"/>
          <w:snapToGrid w:val="0"/>
          <w:color w:val="auto"/>
          <w:sz w:val="30"/>
          <w:szCs w:val="30"/>
          <w:highlight w:val="none"/>
        </w:rPr>
        <w:t>二、建设项目工程分析</w:t>
      </w:r>
      <w:bookmarkEnd w:id="19"/>
      <w:bookmarkEnd w:id="20"/>
      <w:bookmarkEnd w:id="21"/>
      <w:bookmarkEnd w:id="22"/>
    </w:p>
    <w:tbl>
      <w:tblPr>
        <w:tblStyle w:val="24"/>
        <w:tblW w:w="94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731"/>
        <w:gridCol w:w="8705"/>
      </w:tblGrid>
      <w:tr w14:paraId="01ECA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04" w:hRule="atLeast"/>
          <w:jc w:val="center"/>
        </w:trPr>
        <w:tc>
          <w:tcPr>
            <w:tcW w:w="731" w:type="dxa"/>
            <w:vAlign w:val="center"/>
          </w:tcPr>
          <w:p w14:paraId="2AB36C32">
            <w:pPr>
              <w:pStyle w:val="20"/>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705" w:type="dxa"/>
          </w:tcPr>
          <w:p w14:paraId="0F2A3AD1">
            <w:pPr>
              <w:pStyle w:val="35"/>
              <w:spacing w:before="0" w:beforeLines="0" w:after="0" w:afterLines="0" w:line="360" w:lineRule="auto"/>
              <w:ind w:firstLine="0" w:firstLineChars="0"/>
              <w:textAlignment w:val="baseline"/>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1、</w:t>
            </w:r>
            <w:r>
              <w:rPr>
                <w:rFonts w:hint="default" w:ascii="Times New Roman" w:hAnsi="Times New Roman" w:cs="Times New Roman"/>
                <w:b/>
                <w:bCs/>
                <w:color w:val="auto"/>
                <w:sz w:val="21"/>
                <w:szCs w:val="21"/>
                <w:highlight w:val="none"/>
                <w:lang w:val="en-US" w:eastAsia="zh-CN"/>
              </w:rPr>
              <w:t>建设内容</w:t>
            </w:r>
          </w:p>
          <w:p w14:paraId="1ACED264">
            <w:pPr>
              <w:pStyle w:val="35"/>
              <w:spacing w:before="0" w:beforeLines="0" w:after="0" w:afterLines="0" w:line="360" w:lineRule="auto"/>
              <w:ind w:firstLine="480"/>
              <w:textAlignment w:val="baseline"/>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本项目位于</w:t>
            </w:r>
            <w:r>
              <w:rPr>
                <w:rFonts w:hint="default" w:ascii="Times New Roman" w:hAnsi="Times New Roman" w:cs="Times New Roman"/>
                <w:color w:val="auto"/>
                <w:sz w:val="21"/>
                <w:szCs w:val="21"/>
                <w:highlight w:val="none"/>
                <w:lang w:val="en-US" w:eastAsia="zh-CN"/>
              </w:rPr>
              <w:t>黑龙江省鸡西市</w:t>
            </w:r>
            <w:r>
              <w:rPr>
                <w:rFonts w:hint="eastAsia" w:cs="Times New Roman"/>
                <w:color w:val="auto"/>
                <w:sz w:val="21"/>
                <w:szCs w:val="21"/>
                <w:highlight w:val="none"/>
                <w:lang w:val="en-US" w:eastAsia="zh-CN"/>
              </w:rPr>
              <w:t>恒山区红旗乡义安村</w:t>
            </w:r>
            <w:r>
              <w:rPr>
                <w:rFonts w:hint="default" w:ascii="Times New Roman" w:hAnsi="Times New Roman" w:cs="Times New Roman"/>
                <w:bCs/>
                <w:color w:val="auto"/>
                <w:sz w:val="21"/>
                <w:szCs w:val="21"/>
                <w:highlight w:val="none"/>
                <w:lang w:val="en-US" w:eastAsia="zh-CN"/>
              </w:rPr>
              <w:t>。总占地面积</w:t>
            </w:r>
            <w:r>
              <w:rPr>
                <w:rFonts w:hint="eastAsia" w:cs="Times New Roman"/>
                <w:bCs/>
                <w:color w:val="auto"/>
                <w:sz w:val="21"/>
                <w:szCs w:val="21"/>
                <w:highlight w:val="none"/>
                <w:lang w:val="en-US" w:eastAsia="zh-CN"/>
              </w:rPr>
              <w:t>10327.83</w:t>
            </w:r>
            <w:r>
              <w:rPr>
                <w:rFonts w:hint="default" w:ascii="Times New Roman" w:hAnsi="Times New Roman" w:cs="Times New Roman"/>
                <w:bCs/>
                <w:color w:val="auto"/>
                <w:sz w:val="21"/>
                <w:szCs w:val="21"/>
                <w:highlight w:val="none"/>
                <w:lang w:val="en-US" w:eastAsia="zh-CN"/>
              </w:rPr>
              <w:t>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，建筑面积</w:t>
            </w:r>
            <w:r>
              <w:rPr>
                <w:rFonts w:hint="eastAsia" w:cs="Times New Roman"/>
                <w:bCs/>
                <w:color w:val="auto"/>
                <w:sz w:val="21"/>
                <w:szCs w:val="21"/>
                <w:highlight w:val="none"/>
                <w:lang w:val="en-US" w:eastAsia="zh-CN"/>
              </w:rPr>
              <w:t>300</w:t>
            </w:r>
            <w:r>
              <w:rPr>
                <w:rFonts w:hint="default" w:ascii="Times New Roman" w:hAnsi="Times New Roman" w:cs="Times New Roman"/>
                <w:bCs/>
                <w:color w:val="auto"/>
                <w:sz w:val="21"/>
                <w:szCs w:val="21"/>
                <w:highlight w:val="none"/>
                <w:lang w:val="en-US" w:eastAsia="zh-CN"/>
              </w:rPr>
              <w:t>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，主要建设内容为办公室，</w:t>
            </w:r>
            <w:r>
              <w:rPr>
                <w:rFonts w:hint="eastAsia" w:cs="Times New Roman"/>
                <w:bCs/>
                <w:color w:val="auto"/>
                <w:sz w:val="21"/>
                <w:szCs w:val="21"/>
                <w:highlight w:val="none"/>
                <w:lang w:val="en-US" w:eastAsia="zh-CN"/>
              </w:rPr>
              <w:t>车库</w:t>
            </w:r>
            <w:r>
              <w:rPr>
                <w:rFonts w:hint="default" w:ascii="Times New Roman" w:hAnsi="Times New Roman" w:cs="Times New Roman"/>
                <w:bCs/>
                <w:color w:val="auto"/>
                <w:sz w:val="21"/>
                <w:szCs w:val="21"/>
                <w:highlight w:val="none"/>
                <w:lang w:val="en-US" w:eastAsia="zh-CN"/>
              </w:rPr>
              <w:t>，储煤场，年周转煤炭</w:t>
            </w:r>
            <w:r>
              <w:rPr>
                <w:rFonts w:hint="eastAsia" w:cs="Times New Roman"/>
                <w:bCs/>
                <w:color w:val="auto"/>
                <w:sz w:val="21"/>
                <w:szCs w:val="21"/>
                <w:highlight w:val="none"/>
                <w:lang w:val="en-US" w:eastAsia="zh-CN"/>
              </w:rPr>
              <w:t>10万t</w:t>
            </w:r>
            <w:r>
              <w:rPr>
                <w:rFonts w:hint="default" w:ascii="Times New Roman" w:hAnsi="Times New Roman" w:cs="Times New Roman"/>
                <w:bCs/>
                <w:color w:val="auto"/>
                <w:sz w:val="21"/>
                <w:szCs w:val="21"/>
                <w:highlight w:val="none"/>
                <w:lang w:val="en-US" w:eastAsia="zh-CN"/>
              </w:rPr>
              <w:t>。项目主要建设内容见表2-1。</w:t>
            </w:r>
          </w:p>
          <w:p w14:paraId="3F98AF48">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表2-1  主要建设内容一览表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155"/>
              <w:gridCol w:w="5386"/>
              <w:gridCol w:w="856"/>
            </w:tblGrid>
            <w:tr w14:paraId="66D30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tcBorders>
                    <w:tl2br w:val="nil"/>
                    <w:tr2bl w:val="nil"/>
                  </w:tcBorders>
                  <w:vAlign w:val="center"/>
                </w:tcPr>
                <w:p w14:paraId="7E883E84">
                  <w:pPr>
                    <w:pStyle w:val="36"/>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工程类型</w:t>
                  </w:r>
                </w:p>
              </w:tc>
              <w:tc>
                <w:tcPr>
                  <w:tcW w:w="676" w:type="pct"/>
                  <w:tcBorders>
                    <w:tl2br w:val="nil"/>
                    <w:tr2bl w:val="nil"/>
                  </w:tcBorders>
                  <w:vAlign w:val="center"/>
                </w:tcPr>
                <w:p w14:paraId="3320E641">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工程名称</w:t>
                  </w:r>
                </w:p>
              </w:tc>
              <w:tc>
                <w:tcPr>
                  <w:tcW w:w="3156" w:type="pct"/>
                  <w:tcBorders>
                    <w:tl2br w:val="nil"/>
                    <w:tr2bl w:val="nil"/>
                  </w:tcBorders>
                  <w:vAlign w:val="center"/>
                </w:tcPr>
                <w:p w14:paraId="70888F52">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工程建设内容</w:t>
                  </w:r>
                </w:p>
              </w:tc>
              <w:tc>
                <w:tcPr>
                  <w:tcW w:w="501" w:type="pct"/>
                  <w:tcBorders>
                    <w:tl2br w:val="nil"/>
                    <w:tr2bl w:val="nil"/>
                  </w:tcBorders>
                  <w:vAlign w:val="center"/>
                </w:tcPr>
                <w:p w14:paraId="662F1102">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备注</w:t>
                  </w:r>
                </w:p>
              </w:tc>
            </w:tr>
            <w:tr w14:paraId="5669A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tcBorders>
                    <w:tl2br w:val="nil"/>
                    <w:tr2bl w:val="nil"/>
                  </w:tcBorders>
                  <w:vAlign w:val="center"/>
                </w:tcPr>
                <w:p w14:paraId="5FDCC8C9">
                  <w:pPr>
                    <w:pStyle w:val="36"/>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676" w:type="pct"/>
                  <w:tcBorders>
                    <w:tl2br w:val="nil"/>
                    <w:tr2bl w:val="nil"/>
                  </w:tcBorders>
                  <w:vAlign w:val="center"/>
                </w:tcPr>
                <w:p w14:paraId="221E816B">
                  <w:pPr>
                    <w:pStyle w:val="36"/>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煤炭堆场</w:t>
                  </w:r>
                </w:p>
              </w:tc>
              <w:tc>
                <w:tcPr>
                  <w:tcW w:w="3156" w:type="pct"/>
                  <w:tcBorders>
                    <w:tl2br w:val="nil"/>
                    <w:tr2bl w:val="nil"/>
                  </w:tcBorders>
                  <w:vAlign w:val="center"/>
                </w:tcPr>
                <w:p w14:paraId="7AE44E46">
                  <w:pPr>
                    <w:pStyle w:val="36"/>
                    <w:jc w:val="lef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煤炭堆场面积</w:t>
                  </w:r>
                  <w:r>
                    <w:rPr>
                      <w:rFonts w:hint="eastAsia" w:cs="Times New Roman"/>
                      <w:color w:val="auto"/>
                      <w:sz w:val="18"/>
                      <w:szCs w:val="18"/>
                      <w:highlight w:val="none"/>
                      <w:lang w:val="en-US" w:eastAsia="zh-CN"/>
                    </w:rPr>
                    <w:t>约6000</w:t>
                  </w:r>
                  <w:r>
                    <w:rPr>
                      <w:rFonts w:hint="default" w:ascii="Times New Roman" w:hAnsi="Times New Roman" w:cs="Times New Roman"/>
                      <w:color w:val="auto"/>
                      <w:sz w:val="18"/>
                      <w:szCs w:val="18"/>
                      <w:highlight w:val="none"/>
                      <w:lang w:val="en-US" w:eastAsia="zh-CN"/>
                    </w:rPr>
                    <w:t>m</w:t>
                  </w:r>
                  <w:r>
                    <w:rPr>
                      <w:rFonts w:hint="default" w:ascii="Times New Roman" w:hAnsi="Times New Roman" w:cs="Times New Roman"/>
                      <w:color w:val="auto"/>
                      <w:sz w:val="18"/>
                      <w:szCs w:val="18"/>
                      <w:highlight w:val="none"/>
                      <w:vertAlign w:val="superscript"/>
                      <w:lang w:val="en-US" w:eastAsia="zh-CN"/>
                    </w:rPr>
                    <w:t>2</w:t>
                  </w:r>
                  <w:r>
                    <w:rPr>
                      <w:rFonts w:hint="default" w:ascii="Times New Roman" w:hAnsi="Times New Roman" w:cs="Times New Roman"/>
                      <w:color w:val="auto"/>
                      <w:sz w:val="18"/>
                      <w:szCs w:val="18"/>
                      <w:highlight w:val="none"/>
                      <w:lang w:val="en-US" w:eastAsia="zh-CN"/>
                    </w:rPr>
                    <w:t>，最大堆高2</w:t>
                  </w:r>
                  <w:r>
                    <w:rPr>
                      <w:rFonts w:hint="eastAsia" w:cs="Times New Roman"/>
                      <w:color w:val="auto"/>
                      <w:sz w:val="18"/>
                      <w:szCs w:val="18"/>
                      <w:highlight w:val="none"/>
                      <w:lang w:val="en-US" w:eastAsia="zh-CN"/>
                    </w:rPr>
                    <w:t>m</w:t>
                  </w:r>
                  <w:r>
                    <w:rPr>
                      <w:rFonts w:hint="default" w:ascii="Times New Roman" w:hAnsi="Times New Roman" w:cs="Times New Roman"/>
                      <w:color w:val="auto"/>
                      <w:sz w:val="18"/>
                      <w:szCs w:val="18"/>
                      <w:highlight w:val="none"/>
                      <w:lang w:val="en-US" w:eastAsia="zh-CN"/>
                    </w:rPr>
                    <w:t>，可容纳煤炭</w:t>
                  </w:r>
                  <w:r>
                    <w:rPr>
                      <w:rFonts w:hint="eastAsia" w:cs="Times New Roman"/>
                      <w:color w:val="auto"/>
                      <w:sz w:val="18"/>
                      <w:szCs w:val="18"/>
                      <w:highlight w:val="none"/>
                      <w:lang w:val="en-US" w:eastAsia="zh-CN"/>
                    </w:rPr>
                    <w:t>1.5</w:t>
                  </w:r>
                  <w:r>
                    <w:rPr>
                      <w:rFonts w:hint="default" w:ascii="Times New Roman" w:hAnsi="Times New Roman" w:cs="Times New Roman"/>
                      <w:color w:val="auto"/>
                      <w:sz w:val="18"/>
                      <w:szCs w:val="18"/>
                      <w:highlight w:val="none"/>
                      <w:lang w:val="en-US" w:eastAsia="zh-CN"/>
                    </w:rPr>
                    <w:t>万</w:t>
                  </w:r>
                  <w:r>
                    <w:rPr>
                      <w:rFonts w:hint="eastAsia" w:cs="Times New Roman"/>
                      <w:color w:val="auto"/>
                      <w:sz w:val="18"/>
                      <w:szCs w:val="18"/>
                      <w:highlight w:val="none"/>
                      <w:lang w:val="en-US" w:eastAsia="zh-CN"/>
                    </w:rPr>
                    <w:t>t</w:t>
                  </w:r>
                  <w:r>
                    <w:rPr>
                      <w:rFonts w:hint="default" w:ascii="Times New Roman" w:hAnsi="Times New Roman" w:cs="Times New Roman"/>
                      <w:color w:val="auto"/>
                      <w:sz w:val="18"/>
                      <w:szCs w:val="18"/>
                      <w:highlight w:val="none"/>
                      <w:lang w:val="en-US" w:eastAsia="zh-CN"/>
                    </w:rPr>
                    <w:t>，年周转</w:t>
                  </w:r>
                  <w:r>
                    <w:rPr>
                      <w:rFonts w:hint="eastAsia" w:cs="Times New Roman"/>
                      <w:color w:val="auto"/>
                      <w:sz w:val="18"/>
                      <w:szCs w:val="18"/>
                      <w:highlight w:val="none"/>
                      <w:lang w:val="en-US" w:eastAsia="zh-CN"/>
                    </w:rPr>
                    <w:t>煤炭</w:t>
                  </w:r>
                  <w:r>
                    <w:rPr>
                      <w:rFonts w:hint="eastAsia" w:cs="Times New Roman"/>
                      <w:bCs/>
                      <w:color w:val="auto"/>
                      <w:sz w:val="18"/>
                      <w:szCs w:val="18"/>
                      <w:highlight w:val="none"/>
                      <w:lang w:val="en-US" w:eastAsia="zh-CN"/>
                    </w:rPr>
                    <w:t>10</w:t>
                  </w:r>
                  <w:r>
                    <w:rPr>
                      <w:rFonts w:hint="default" w:ascii="Times New Roman" w:hAnsi="Times New Roman" w:cs="Times New Roman"/>
                      <w:bCs/>
                      <w:color w:val="auto"/>
                      <w:sz w:val="18"/>
                      <w:szCs w:val="18"/>
                      <w:highlight w:val="none"/>
                      <w:lang w:val="en-US" w:eastAsia="zh-CN"/>
                    </w:rPr>
                    <w:t>万</w:t>
                  </w:r>
                  <w:r>
                    <w:rPr>
                      <w:rFonts w:hint="eastAsia" w:cs="Times New Roman"/>
                      <w:bCs/>
                      <w:color w:val="auto"/>
                      <w:sz w:val="18"/>
                      <w:szCs w:val="18"/>
                      <w:highlight w:val="none"/>
                      <w:lang w:val="en-US" w:eastAsia="zh-CN"/>
                    </w:rPr>
                    <w:t>t。</w:t>
                  </w:r>
                  <w:r>
                    <w:rPr>
                      <w:rFonts w:hint="eastAsia" w:ascii="Times New Roman" w:hAnsi="Times New Roman" w:eastAsia="宋体" w:cs="Times New Roman"/>
                      <w:color w:val="auto"/>
                      <w:sz w:val="18"/>
                      <w:szCs w:val="18"/>
                      <w:highlight w:val="none"/>
                      <w:lang w:val="en-US" w:eastAsia="zh-CN"/>
                    </w:rPr>
                    <w:t>周转周期约为7次/年、每次储存约为50天，</w:t>
                  </w:r>
                  <w:r>
                    <w:rPr>
                      <w:rFonts w:hint="eastAsia" w:cs="Times New Roman"/>
                      <w:bCs/>
                      <w:color w:val="auto"/>
                      <w:sz w:val="18"/>
                      <w:szCs w:val="18"/>
                      <w:highlight w:val="none"/>
                      <w:lang w:val="en-US" w:eastAsia="zh-CN"/>
                    </w:rPr>
                    <w:t>煤炭堆场采用铲车装卸转运</w:t>
                  </w:r>
                  <w:r>
                    <w:rPr>
                      <w:rFonts w:hint="eastAsia" w:ascii="Times New Roman" w:hAnsi="Times New Roman" w:eastAsia="宋体" w:cs="Times New Roman"/>
                      <w:color w:val="auto"/>
                      <w:sz w:val="18"/>
                      <w:szCs w:val="18"/>
                      <w:highlight w:val="none"/>
                      <w:lang w:val="en-US" w:eastAsia="zh-CN"/>
                    </w:rPr>
                    <w:t>，不涉及受煤系统、装车系统设备建设。</w:t>
                  </w:r>
                </w:p>
              </w:tc>
              <w:tc>
                <w:tcPr>
                  <w:tcW w:w="501" w:type="pct"/>
                  <w:tcBorders>
                    <w:tl2br w:val="nil"/>
                    <w:tr2bl w:val="nil"/>
                  </w:tcBorders>
                  <w:vAlign w:val="center"/>
                </w:tcPr>
                <w:p w14:paraId="407AB92A">
                  <w:pPr>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新建</w:t>
                  </w:r>
                </w:p>
              </w:tc>
            </w:tr>
            <w:tr w14:paraId="2A522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restart"/>
                  <w:tcBorders>
                    <w:tl2br w:val="nil"/>
                    <w:tr2bl w:val="nil"/>
                  </w:tcBorders>
                  <w:vAlign w:val="center"/>
                </w:tcPr>
                <w:p w14:paraId="1192A409">
                  <w:pPr>
                    <w:pStyle w:val="36"/>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辅助工程</w:t>
                  </w:r>
                </w:p>
              </w:tc>
              <w:tc>
                <w:tcPr>
                  <w:tcW w:w="676" w:type="pct"/>
                  <w:tcBorders>
                    <w:tl2br w:val="nil"/>
                    <w:tr2bl w:val="nil"/>
                  </w:tcBorders>
                  <w:vAlign w:val="center"/>
                </w:tcPr>
                <w:p w14:paraId="7A04A0A0">
                  <w:pPr>
                    <w:pStyle w:val="36"/>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办公室</w:t>
                  </w:r>
                </w:p>
              </w:tc>
              <w:tc>
                <w:tcPr>
                  <w:tcW w:w="3156" w:type="pct"/>
                  <w:tcBorders>
                    <w:tl2br w:val="nil"/>
                    <w:tr2bl w:val="nil"/>
                  </w:tcBorders>
                  <w:vAlign w:val="center"/>
                </w:tcPr>
                <w:p w14:paraId="78D10C6A">
                  <w:pPr>
                    <w:pStyle w:val="36"/>
                    <w:jc w:val="left"/>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共2间办公室，厂区内</w:t>
                  </w: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en-US" w:eastAsia="zh-CN"/>
                    </w:rPr>
                    <w:t>间，</w:t>
                  </w:r>
                  <w:r>
                    <w:rPr>
                      <w:rFonts w:hint="default" w:ascii="Times New Roman" w:hAnsi="Times New Roman" w:cs="Times New Roman"/>
                      <w:color w:val="auto"/>
                      <w:sz w:val="18"/>
                      <w:szCs w:val="18"/>
                      <w:highlight w:val="none"/>
                      <w:lang w:val="en-US" w:eastAsia="zh-CN"/>
                    </w:rPr>
                    <w:t>单层</w:t>
                  </w:r>
                  <w:r>
                    <w:rPr>
                      <w:rFonts w:hint="eastAsia" w:cs="Times New Roman"/>
                      <w:color w:val="auto"/>
                      <w:sz w:val="18"/>
                      <w:szCs w:val="18"/>
                      <w:highlight w:val="none"/>
                      <w:lang w:val="en-US" w:eastAsia="zh-CN"/>
                    </w:rPr>
                    <w:t>钢</w:t>
                  </w:r>
                  <w:r>
                    <w:rPr>
                      <w:rFonts w:hint="default" w:ascii="Times New Roman" w:hAnsi="Times New Roman" w:cs="Times New Roman"/>
                      <w:color w:val="auto"/>
                      <w:sz w:val="18"/>
                      <w:szCs w:val="18"/>
                      <w:highlight w:val="none"/>
                      <w:lang w:val="en-US" w:eastAsia="zh-CN"/>
                    </w:rPr>
                    <w:t>结构，建筑面积</w:t>
                  </w:r>
                  <w:r>
                    <w:rPr>
                      <w:rFonts w:hint="eastAsia" w:cs="Times New Roman"/>
                      <w:color w:val="auto"/>
                      <w:sz w:val="18"/>
                      <w:szCs w:val="18"/>
                      <w:highlight w:val="none"/>
                      <w:lang w:val="en-US" w:eastAsia="zh-CN"/>
                    </w:rPr>
                    <w:t>150</w:t>
                  </w:r>
                  <w:r>
                    <w:rPr>
                      <w:rFonts w:hint="default" w:ascii="Times New Roman" w:hAnsi="Times New Roman" w:cs="Times New Roman"/>
                      <w:color w:val="auto"/>
                      <w:sz w:val="18"/>
                      <w:szCs w:val="18"/>
                      <w:highlight w:val="none"/>
                      <w:lang w:val="en-US" w:eastAsia="zh-CN"/>
                    </w:rPr>
                    <w:t>m</w:t>
                  </w:r>
                  <w:r>
                    <w:rPr>
                      <w:rFonts w:hint="default" w:ascii="Times New Roman" w:hAnsi="Times New Roman" w:cs="Times New Roman"/>
                      <w:color w:val="auto"/>
                      <w:sz w:val="18"/>
                      <w:szCs w:val="18"/>
                      <w:highlight w:val="none"/>
                      <w:vertAlign w:val="superscript"/>
                      <w:lang w:val="en-US" w:eastAsia="zh-CN"/>
                    </w:rPr>
                    <w:t>2</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高4m。厂区外1间，位于厂区外西北方向，场地面积300m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，1间单层砖混结构房屋，建筑面积160m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，高3m，用于企业办公。</w:t>
                  </w:r>
                </w:p>
              </w:tc>
              <w:tc>
                <w:tcPr>
                  <w:tcW w:w="501" w:type="pct"/>
                  <w:tcBorders>
                    <w:tl2br w:val="nil"/>
                    <w:tr2bl w:val="nil"/>
                  </w:tcBorders>
                  <w:vAlign w:val="center"/>
                </w:tcPr>
                <w:p w14:paraId="40288060">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厂区内办公室新建，厂区外办公室依托</w:t>
                  </w:r>
                </w:p>
              </w:tc>
            </w:tr>
            <w:tr w14:paraId="309851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72AA0BF2">
                  <w:pPr>
                    <w:pStyle w:val="36"/>
                    <w:rPr>
                      <w:rFonts w:hint="default" w:ascii="Times New Roman" w:hAnsi="Times New Roman" w:cs="Times New Roman"/>
                      <w:color w:val="auto"/>
                      <w:sz w:val="18"/>
                      <w:szCs w:val="18"/>
                      <w:highlight w:val="none"/>
                      <w:lang w:val="en-US" w:eastAsia="zh-CN"/>
                    </w:rPr>
                  </w:pPr>
                </w:p>
              </w:tc>
              <w:tc>
                <w:tcPr>
                  <w:tcW w:w="676" w:type="pct"/>
                  <w:tcBorders>
                    <w:tl2br w:val="nil"/>
                    <w:tr2bl w:val="nil"/>
                  </w:tcBorders>
                  <w:vAlign w:val="center"/>
                </w:tcPr>
                <w:p w14:paraId="4820A99A">
                  <w:pPr>
                    <w:pStyle w:val="36"/>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车库</w:t>
                  </w:r>
                </w:p>
              </w:tc>
              <w:tc>
                <w:tcPr>
                  <w:tcW w:w="3156" w:type="pct"/>
                  <w:tcBorders>
                    <w:tl2br w:val="nil"/>
                    <w:tr2bl w:val="nil"/>
                  </w:tcBorders>
                  <w:vAlign w:val="center"/>
                </w:tcPr>
                <w:p w14:paraId="542C1D10">
                  <w:pPr>
                    <w:pStyle w:val="36"/>
                    <w:jc w:val="left"/>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1座单层</w:t>
                  </w:r>
                  <w:r>
                    <w:rPr>
                      <w:rFonts w:hint="eastAsia" w:cs="Times New Roman"/>
                      <w:color w:val="auto"/>
                      <w:sz w:val="18"/>
                      <w:szCs w:val="18"/>
                      <w:highlight w:val="none"/>
                      <w:lang w:val="en-US" w:eastAsia="zh-CN"/>
                    </w:rPr>
                    <w:t>钢</w:t>
                  </w:r>
                  <w:r>
                    <w:rPr>
                      <w:rFonts w:hint="default" w:ascii="Times New Roman" w:hAnsi="Times New Roman" w:cs="Times New Roman"/>
                      <w:color w:val="auto"/>
                      <w:sz w:val="18"/>
                      <w:szCs w:val="18"/>
                      <w:highlight w:val="none"/>
                      <w:lang w:val="en-US" w:eastAsia="zh-CN"/>
                    </w:rPr>
                    <w:t>结构，建筑面积</w:t>
                  </w:r>
                  <w:r>
                    <w:rPr>
                      <w:rFonts w:hint="eastAsia" w:cs="Times New Roman"/>
                      <w:color w:val="auto"/>
                      <w:sz w:val="18"/>
                      <w:szCs w:val="18"/>
                      <w:highlight w:val="none"/>
                      <w:lang w:val="en-US" w:eastAsia="zh-CN"/>
                    </w:rPr>
                    <w:t>150</w:t>
                  </w:r>
                  <w:r>
                    <w:rPr>
                      <w:rFonts w:hint="default" w:ascii="Times New Roman" w:hAnsi="Times New Roman" w:cs="Times New Roman"/>
                      <w:color w:val="auto"/>
                      <w:sz w:val="18"/>
                      <w:szCs w:val="18"/>
                      <w:highlight w:val="none"/>
                      <w:lang w:val="en-US" w:eastAsia="zh-CN"/>
                    </w:rPr>
                    <w:t>m</w:t>
                  </w:r>
                  <w:r>
                    <w:rPr>
                      <w:rFonts w:hint="default" w:ascii="Times New Roman" w:hAnsi="Times New Roman" w:cs="Times New Roman"/>
                      <w:color w:val="auto"/>
                      <w:sz w:val="18"/>
                      <w:szCs w:val="18"/>
                      <w:highlight w:val="none"/>
                      <w:vertAlign w:val="superscript"/>
                      <w:lang w:val="en-US" w:eastAsia="zh-CN"/>
                    </w:rPr>
                    <w:t>2</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高5m，用于存放铲车。</w:t>
                  </w:r>
                </w:p>
              </w:tc>
              <w:tc>
                <w:tcPr>
                  <w:tcW w:w="501" w:type="pct"/>
                  <w:tcBorders>
                    <w:tl2br w:val="nil"/>
                    <w:tr2bl w:val="nil"/>
                  </w:tcBorders>
                  <w:vAlign w:val="center"/>
                </w:tcPr>
                <w:p w14:paraId="4BC6DE41">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55B55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59BDE44B">
                  <w:pPr>
                    <w:pStyle w:val="36"/>
                    <w:rPr>
                      <w:rFonts w:hint="default" w:ascii="Times New Roman" w:hAnsi="Times New Roman" w:cs="Times New Roman"/>
                      <w:color w:val="auto"/>
                      <w:sz w:val="18"/>
                      <w:szCs w:val="18"/>
                      <w:highlight w:val="none"/>
                      <w:lang w:val="en-US" w:eastAsia="zh-CN"/>
                    </w:rPr>
                  </w:pPr>
                </w:p>
              </w:tc>
              <w:tc>
                <w:tcPr>
                  <w:tcW w:w="676" w:type="pct"/>
                  <w:tcBorders>
                    <w:tl2br w:val="nil"/>
                    <w:tr2bl w:val="nil"/>
                  </w:tcBorders>
                  <w:vAlign w:val="center"/>
                </w:tcPr>
                <w:p w14:paraId="1C063B78">
                  <w:pPr>
                    <w:pStyle w:val="36"/>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地秤</w:t>
                  </w:r>
                </w:p>
              </w:tc>
              <w:tc>
                <w:tcPr>
                  <w:tcW w:w="3156" w:type="pct"/>
                  <w:tcBorders>
                    <w:tl2br w:val="nil"/>
                    <w:tr2bl w:val="nil"/>
                  </w:tcBorders>
                  <w:vAlign w:val="center"/>
                </w:tcPr>
                <w:p w14:paraId="4E0852D5">
                  <w:pPr>
                    <w:pStyle w:val="36"/>
                    <w:jc w:val="left"/>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1台，位于厂区北侧入口处。</w:t>
                  </w:r>
                </w:p>
              </w:tc>
              <w:tc>
                <w:tcPr>
                  <w:tcW w:w="501" w:type="pct"/>
                  <w:tcBorders>
                    <w:tl2br w:val="nil"/>
                    <w:tr2bl w:val="nil"/>
                  </w:tcBorders>
                  <w:vAlign w:val="center"/>
                </w:tcPr>
                <w:p w14:paraId="0D0A944E">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5BCF44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7F67839B">
                  <w:pPr>
                    <w:pStyle w:val="36"/>
                    <w:rPr>
                      <w:rFonts w:hint="default" w:ascii="Times New Roman" w:hAnsi="Times New Roman" w:cs="Times New Roman"/>
                      <w:color w:val="auto"/>
                      <w:sz w:val="18"/>
                      <w:szCs w:val="18"/>
                      <w:highlight w:val="none"/>
                      <w:lang w:val="en-US" w:eastAsia="zh-CN"/>
                    </w:rPr>
                  </w:pPr>
                </w:p>
              </w:tc>
              <w:tc>
                <w:tcPr>
                  <w:tcW w:w="676" w:type="pct"/>
                  <w:tcBorders>
                    <w:tl2br w:val="nil"/>
                    <w:tr2bl w:val="nil"/>
                  </w:tcBorders>
                  <w:vAlign w:val="center"/>
                </w:tcPr>
                <w:p w14:paraId="4CB41867">
                  <w:pPr>
                    <w:pStyle w:val="36"/>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危险废物贮存点</w:t>
                  </w:r>
                </w:p>
              </w:tc>
              <w:tc>
                <w:tcPr>
                  <w:tcW w:w="3156" w:type="pct"/>
                  <w:tcBorders>
                    <w:tl2br w:val="nil"/>
                    <w:tr2bl w:val="nil"/>
                  </w:tcBorders>
                  <w:vAlign w:val="center"/>
                </w:tcPr>
                <w:p w14:paraId="25DC1C23">
                  <w:pPr>
                    <w:pStyle w:val="7"/>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位于</w:t>
                  </w:r>
                  <w:r>
                    <w:rPr>
                      <w:rFonts w:hint="eastAsia" w:cs="Times New Roman"/>
                      <w:color w:val="auto"/>
                      <w:sz w:val="18"/>
                      <w:szCs w:val="18"/>
                      <w:highlight w:val="none"/>
                      <w:lang w:val="en-US" w:eastAsia="zh-CN"/>
                    </w:rPr>
                    <w:t>车库内</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占地</w:t>
                  </w:r>
                  <w:r>
                    <w:rPr>
                      <w:rFonts w:hint="default" w:ascii="Times New Roman" w:hAnsi="Times New Roman" w:cs="Times New Roman"/>
                      <w:color w:val="auto"/>
                      <w:sz w:val="18"/>
                      <w:szCs w:val="18"/>
                      <w:highlight w:val="none"/>
                      <w:lang w:val="en-US" w:eastAsia="zh-CN"/>
                    </w:rPr>
                    <w:t>面积4m</w:t>
                  </w:r>
                  <w:r>
                    <w:rPr>
                      <w:rFonts w:hint="default" w:ascii="Times New Roman" w:hAnsi="Times New Roman" w:cs="Times New Roman"/>
                      <w:color w:val="auto"/>
                      <w:sz w:val="18"/>
                      <w:szCs w:val="18"/>
                      <w:highlight w:val="none"/>
                      <w:vertAlign w:val="superscript"/>
                      <w:lang w:val="en-US" w:eastAsia="zh-CN"/>
                    </w:rPr>
                    <w:t>2</w:t>
                  </w:r>
                  <w:r>
                    <w:rPr>
                      <w:rFonts w:hint="default" w:ascii="Times New Roman" w:hAnsi="Times New Roman" w:cs="Times New Roman"/>
                      <w:color w:val="auto"/>
                      <w:sz w:val="18"/>
                      <w:szCs w:val="18"/>
                      <w:highlight w:val="none"/>
                      <w:lang w:val="en-US" w:eastAsia="zh-CN"/>
                    </w:rPr>
                    <w:t>，采取</w:t>
                  </w:r>
                  <w:r>
                    <w:rPr>
                      <w:rFonts w:hint="default" w:ascii="Times New Roman" w:hAnsi="Times New Roman" w:eastAsia="宋体" w:cs="Times New Roman"/>
                      <w:color w:val="auto"/>
                      <w:sz w:val="18"/>
                      <w:szCs w:val="18"/>
                      <w:highlight w:val="none"/>
                      <w:lang w:val="en-US" w:eastAsia="zh-CN"/>
                    </w:rPr>
                    <w:t>重点防渗</w:t>
                  </w:r>
                  <w:r>
                    <w:rPr>
                      <w:rFonts w:hint="default"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防渗层</w:t>
                  </w:r>
                  <w:r>
                    <w:rPr>
                      <w:rFonts w:hint="eastAsia" w:ascii="Times New Roman" w:hAnsi="Times New Roman" w:eastAsia="宋体" w:cs="Times New Roman"/>
                      <w:color w:val="auto"/>
                      <w:sz w:val="18"/>
                      <w:szCs w:val="18"/>
                      <w:highlight w:val="none"/>
                      <w:lang w:val="en-US" w:eastAsia="zh-CN"/>
                    </w:rPr>
                    <w:t>采用</w:t>
                  </w:r>
                  <w:r>
                    <w:rPr>
                      <w:rFonts w:hint="default" w:ascii="Times New Roman" w:hAnsi="Times New Roman" w:eastAsia="宋体" w:cs="Times New Roman"/>
                      <w:color w:val="auto"/>
                      <w:sz w:val="18"/>
                      <w:szCs w:val="18"/>
                      <w:highlight w:val="none"/>
                      <w:lang w:val="en-US" w:eastAsia="zh-CN"/>
                    </w:rPr>
                    <w:t>2mm厚的防渗人工材</w:t>
                  </w:r>
                  <w:r>
                    <w:rPr>
                      <w:rFonts w:hint="default" w:ascii="Times New Roman" w:hAnsi="Times New Roman" w:eastAsia="宋体" w:cs="Times New Roman"/>
                      <w:color w:val="auto"/>
                      <w:kern w:val="2"/>
                      <w:sz w:val="18"/>
                      <w:szCs w:val="18"/>
                      <w:highlight w:val="none"/>
                      <w:lang w:val="en-US" w:eastAsia="zh-CN" w:bidi="ar-SA"/>
                    </w:rPr>
                    <w:t>料，</w:t>
                  </w:r>
                  <w:r>
                    <w:rPr>
                      <w:rFonts w:hint="eastAsia" w:ascii="Times New Roman" w:hAnsi="Times New Roman" w:cs="Times New Roman"/>
                      <w:color w:val="auto"/>
                      <w:kern w:val="2"/>
                      <w:sz w:val="18"/>
                      <w:szCs w:val="18"/>
                      <w:highlight w:val="none"/>
                      <w:lang w:val="en-US" w:eastAsia="zh-CN" w:bidi="ar-SA"/>
                    </w:rPr>
                    <w:t>地面与裙脚</w:t>
                  </w:r>
                  <w:r>
                    <w:rPr>
                      <w:rFonts w:hint="eastAsia" w:ascii="Times New Roman" w:hAnsi="Times New Roman" w:eastAsia="宋体" w:cs="Times New Roman"/>
                      <w:color w:val="auto"/>
                      <w:kern w:val="2"/>
                      <w:sz w:val="18"/>
                      <w:szCs w:val="18"/>
                      <w:highlight w:val="none"/>
                      <w:lang w:val="en-US" w:eastAsia="zh-CN" w:bidi="ar-SA"/>
                    </w:rPr>
                    <w:t>使用水泥硬化</w:t>
                  </w:r>
                  <w:r>
                    <w:rPr>
                      <w:rFonts w:hint="eastAsia" w:ascii="Times New Roman" w:hAnsi="Times New Roman" w:cs="Times New Roman"/>
                      <w:color w:val="auto"/>
                      <w:kern w:val="2"/>
                      <w:sz w:val="18"/>
                      <w:szCs w:val="18"/>
                      <w:highlight w:val="none"/>
                      <w:lang w:val="en-US" w:eastAsia="zh-CN" w:bidi="ar-SA"/>
                    </w:rPr>
                    <w:t>防渗处理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防渗系数≤10</w:t>
                  </w:r>
                  <w:r>
                    <w:rPr>
                      <w:rFonts w:hint="default" w:ascii="Times New Roman" w:hAnsi="Times New Roman" w:eastAsia="宋体" w:cs="Times New Roman"/>
                      <w:color w:val="auto"/>
                      <w:kern w:val="2"/>
                      <w:sz w:val="18"/>
                      <w:szCs w:val="18"/>
                      <w:highlight w:val="none"/>
                      <w:vertAlign w:val="superscript"/>
                      <w:lang w:val="en-US" w:eastAsia="zh-CN" w:bidi="ar-SA"/>
                    </w:rPr>
                    <w:t>-10</w:t>
                  </w:r>
                  <w:r>
                    <w:rPr>
                      <w:rFonts w:hint="default" w:ascii="Times New Roman" w:hAnsi="Times New Roman" w:eastAsia="宋体" w:cs="Times New Roman"/>
                      <w:color w:val="auto"/>
                      <w:kern w:val="2"/>
                      <w:sz w:val="18"/>
                      <w:szCs w:val="18"/>
                      <w:highlight w:val="none"/>
                      <w:lang w:val="en-US" w:eastAsia="zh-CN" w:bidi="ar-SA"/>
                    </w:rPr>
                    <w:t>cm/s。</w:t>
                  </w:r>
                  <w:r>
                    <w:rPr>
                      <w:rFonts w:hint="default" w:ascii="Times New Roman" w:hAnsi="Times New Roman" w:cs="Times New Roman"/>
                      <w:color w:val="auto"/>
                      <w:sz w:val="18"/>
                      <w:szCs w:val="18"/>
                      <w:highlight w:val="none"/>
                      <w:lang w:val="en-US" w:eastAsia="zh-CN"/>
                    </w:rPr>
                    <w:t>用于暂存</w:t>
                  </w:r>
                  <w:r>
                    <w:rPr>
                      <w:rFonts w:hint="default" w:ascii="Times New Roman" w:hAnsi="Times New Roman" w:eastAsia="宋体" w:cs="Times New Roman"/>
                      <w:color w:val="auto"/>
                      <w:sz w:val="18"/>
                      <w:szCs w:val="18"/>
                      <w:highlight w:val="none"/>
                    </w:rPr>
                    <w:t>废机油</w:t>
                  </w:r>
                  <w:r>
                    <w:rPr>
                      <w:rFonts w:hint="eastAsia" w:cs="Times New Roman"/>
                      <w:color w:val="auto"/>
                      <w:sz w:val="18"/>
                      <w:szCs w:val="18"/>
                      <w:highlight w:val="none"/>
                      <w:lang w:eastAsia="zh-CN"/>
                    </w:rPr>
                    <w:t>、废弃含油抹布手套、</w:t>
                  </w:r>
                  <w:r>
                    <w:rPr>
                      <w:rFonts w:hint="eastAsia" w:cs="Times New Roman"/>
                      <w:color w:val="auto"/>
                      <w:sz w:val="18"/>
                      <w:szCs w:val="18"/>
                      <w:highlight w:val="none"/>
                      <w:lang w:val="en-US" w:eastAsia="zh-CN"/>
                    </w:rPr>
                    <w:t>废机油桶</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val="en-US" w:eastAsia="zh-CN"/>
                    </w:rPr>
                    <w:t>最大贮存能力0.0</w:t>
                  </w:r>
                  <w:r>
                    <w:rPr>
                      <w:rFonts w:hint="eastAsia" w:cs="Times New Roman"/>
                      <w:color w:val="auto"/>
                      <w:sz w:val="18"/>
                      <w:szCs w:val="18"/>
                      <w:highlight w:val="none"/>
                      <w:lang w:val="en-US" w:eastAsia="zh-CN"/>
                    </w:rPr>
                    <w:t>5</w:t>
                  </w:r>
                  <w:r>
                    <w:rPr>
                      <w:rFonts w:hint="eastAsia" w:ascii="Times New Roman" w:hAnsi="Times New Roman" w:eastAsia="宋体" w:cs="Times New Roman"/>
                      <w:color w:val="auto"/>
                      <w:sz w:val="18"/>
                      <w:szCs w:val="18"/>
                      <w:highlight w:val="none"/>
                      <w:lang w:val="en-US" w:eastAsia="zh-CN"/>
                    </w:rPr>
                    <w:t>t，</w:t>
                  </w:r>
                  <w:r>
                    <w:rPr>
                      <w:rFonts w:hint="default" w:ascii="Times New Roman" w:hAnsi="Times New Roman" w:cs="Times New Roman"/>
                      <w:color w:val="auto"/>
                      <w:sz w:val="18"/>
                      <w:szCs w:val="18"/>
                      <w:highlight w:val="none"/>
                      <w:lang w:val="en-US" w:eastAsia="zh-CN"/>
                    </w:rPr>
                    <w:t>定期</w:t>
                  </w:r>
                  <w:r>
                    <w:rPr>
                      <w:rFonts w:hint="default" w:ascii="Times New Roman" w:hAnsi="Times New Roman" w:eastAsia="宋体" w:cs="Times New Roman"/>
                      <w:color w:val="auto"/>
                      <w:sz w:val="18"/>
                      <w:szCs w:val="18"/>
                      <w:highlight w:val="none"/>
                    </w:rPr>
                    <w:t>委托有资质单位处置</w:t>
                  </w: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贮存周期约90d，年转运4次</w:t>
                  </w:r>
                  <w:r>
                    <w:rPr>
                      <w:rFonts w:hint="default" w:ascii="Times New Roman" w:hAnsi="Times New Roman" w:eastAsia="宋体" w:cs="Times New Roman"/>
                      <w:color w:val="auto"/>
                      <w:sz w:val="18"/>
                      <w:szCs w:val="18"/>
                      <w:highlight w:val="none"/>
                    </w:rPr>
                    <w:t>。</w:t>
                  </w:r>
                </w:p>
              </w:tc>
              <w:tc>
                <w:tcPr>
                  <w:tcW w:w="501" w:type="pct"/>
                  <w:tcBorders>
                    <w:tl2br w:val="nil"/>
                    <w:tr2bl w:val="nil"/>
                  </w:tcBorders>
                  <w:vAlign w:val="center"/>
                </w:tcPr>
                <w:p w14:paraId="3B31BA47">
                  <w:pPr>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新建</w:t>
                  </w:r>
                </w:p>
              </w:tc>
            </w:tr>
            <w:tr w14:paraId="026D4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restart"/>
                  <w:tcBorders>
                    <w:tl2br w:val="nil"/>
                    <w:tr2bl w:val="nil"/>
                  </w:tcBorders>
                  <w:vAlign w:val="center"/>
                </w:tcPr>
                <w:p w14:paraId="5BAF0CB5">
                  <w:pPr>
                    <w:pStyle w:val="36"/>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公用工程</w:t>
                  </w:r>
                </w:p>
              </w:tc>
              <w:tc>
                <w:tcPr>
                  <w:tcW w:w="676" w:type="pct"/>
                  <w:tcBorders>
                    <w:tl2br w:val="nil"/>
                    <w:tr2bl w:val="nil"/>
                  </w:tcBorders>
                  <w:vAlign w:val="center"/>
                </w:tcPr>
                <w:p w14:paraId="3EAD0C97">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给水工程</w:t>
                  </w:r>
                </w:p>
              </w:tc>
              <w:tc>
                <w:tcPr>
                  <w:tcW w:w="3156" w:type="pct"/>
                  <w:tcBorders>
                    <w:tl2br w:val="nil"/>
                    <w:tr2bl w:val="nil"/>
                  </w:tcBorders>
                  <w:vAlign w:val="center"/>
                </w:tcPr>
                <w:p w14:paraId="79EB2490">
                  <w:pPr>
                    <w:pStyle w:val="36"/>
                    <w:jc w:val="left"/>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项目</w:t>
                  </w:r>
                  <w:r>
                    <w:rPr>
                      <w:rFonts w:hint="default" w:ascii="Times New Roman" w:hAnsi="Times New Roman" w:cs="Times New Roman"/>
                      <w:color w:val="auto"/>
                      <w:sz w:val="18"/>
                      <w:szCs w:val="18"/>
                      <w:highlight w:val="none"/>
                      <w:lang w:val="en-US" w:eastAsia="zh-CN"/>
                    </w:rPr>
                    <w:t>生活</w:t>
                  </w:r>
                  <w:r>
                    <w:rPr>
                      <w:rFonts w:hint="default" w:ascii="Times New Roman" w:hAnsi="Times New Roman" w:cs="Times New Roman"/>
                      <w:color w:val="auto"/>
                      <w:sz w:val="18"/>
                      <w:szCs w:val="18"/>
                      <w:highlight w:val="none"/>
                    </w:rPr>
                    <w:t>用水</w:t>
                  </w:r>
                  <w:r>
                    <w:rPr>
                      <w:rFonts w:hint="default" w:ascii="Times New Roman" w:hAnsi="Times New Roman" w:cs="Times New Roman"/>
                      <w:color w:val="auto"/>
                      <w:sz w:val="18"/>
                      <w:szCs w:val="18"/>
                      <w:highlight w:val="none"/>
                      <w:lang w:val="en-US" w:eastAsia="zh-CN"/>
                    </w:rPr>
                    <w:t>来源为外购桶装水，生产用水主要由沉淀后</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的</w:t>
                  </w:r>
                  <w:r>
                    <w:rPr>
                      <w:rFonts w:hint="eastAsia" w:cs="Times New Roman"/>
                      <w:color w:val="auto"/>
                      <w:sz w:val="18"/>
                      <w:szCs w:val="18"/>
                      <w:highlight w:val="none"/>
                      <w:lang w:val="en-US" w:eastAsia="zh-CN"/>
                    </w:rPr>
                    <w:t>初期</w:t>
                  </w:r>
                  <w:r>
                    <w:rPr>
                      <w:rFonts w:hint="default" w:ascii="Times New Roman" w:hAnsi="Times New Roman" w:cs="Times New Roman"/>
                      <w:color w:val="auto"/>
                      <w:sz w:val="18"/>
                      <w:szCs w:val="18"/>
                      <w:highlight w:val="none"/>
                      <w:lang w:val="en-US" w:eastAsia="zh-CN"/>
                    </w:rPr>
                    <w:t>雨水</w:t>
                  </w:r>
                  <w:r>
                    <w:rPr>
                      <w:rFonts w:hint="eastAsia" w:cs="Times New Roman"/>
                      <w:color w:val="auto"/>
                      <w:sz w:val="18"/>
                      <w:szCs w:val="18"/>
                      <w:highlight w:val="none"/>
                      <w:lang w:val="en-US" w:eastAsia="zh-CN"/>
                    </w:rPr>
                    <w:t>、义安村自来水管网提供。</w:t>
                  </w:r>
                </w:p>
              </w:tc>
              <w:tc>
                <w:tcPr>
                  <w:tcW w:w="501" w:type="pct"/>
                  <w:tcBorders>
                    <w:tl2br w:val="nil"/>
                    <w:tr2bl w:val="nil"/>
                  </w:tcBorders>
                  <w:vAlign w:val="center"/>
                </w:tcPr>
                <w:p w14:paraId="4BD97F64">
                  <w:pPr>
                    <w:pStyle w:val="36"/>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新建</w:t>
                  </w:r>
                </w:p>
              </w:tc>
            </w:tr>
            <w:tr w14:paraId="0CAD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36762551">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080B1019">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排水工程</w:t>
                  </w:r>
                </w:p>
              </w:tc>
              <w:tc>
                <w:tcPr>
                  <w:tcW w:w="3156" w:type="pct"/>
                  <w:tcBorders>
                    <w:tl2br w:val="nil"/>
                    <w:tr2bl w:val="nil"/>
                  </w:tcBorders>
                  <w:vAlign w:val="center"/>
                </w:tcPr>
                <w:p w14:paraId="19CAA76E">
                  <w:pPr>
                    <w:pStyle w:val="36"/>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项目无生产废水</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生活污水</w:t>
                  </w:r>
                  <w:r>
                    <w:rPr>
                      <w:rFonts w:hint="default" w:ascii="Times New Roman" w:hAnsi="Times New Roman" w:cs="Times New Roman"/>
                      <w:color w:val="auto"/>
                      <w:sz w:val="18"/>
                      <w:szCs w:val="18"/>
                      <w:highlight w:val="none"/>
                      <w:lang w:val="en-US" w:eastAsia="zh-CN"/>
                    </w:rPr>
                    <w:t>排入防渗旱厕。</w:t>
                  </w:r>
                </w:p>
              </w:tc>
              <w:tc>
                <w:tcPr>
                  <w:tcW w:w="501" w:type="pct"/>
                  <w:tcBorders>
                    <w:tl2br w:val="nil"/>
                    <w:tr2bl w:val="nil"/>
                  </w:tcBorders>
                  <w:vAlign w:val="center"/>
                </w:tcPr>
                <w:p w14:paraId="135546C2">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5E3A6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26B7C3E9">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022256F4">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供电工程</w:t>
                  </w:r>
                </w:p>
              </w:tc>
              <w:tc>
                <w:tcPr>
                  <w:tcW w:w="3156" w:type="pct"/>
                  <w:tcBorders>
                    <w:tl2br w:val="nil"/>
                    <w:tr2bl w:val="nil"/>
                  </w:tcBorders>
                  <w:vAlign w:val="center"/>
                </w:tcPr>
                <w:p w14:paraId="2F8233C6">
                  <w:pPr>
                    <w:pStyle w:val="36"/>
                    <w:jc w:val="left"/>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由市政电网提供</w:t>
                  </w:r>
                  <w:r>
                    <w:rPr>
                      <w:rFonts w:hint="default" w:ascii="Times New Roman" w:hAnsi="Times New Roman" w:cs="Times New Roman"/>
                      <w:color w:val="auto"/>
                      <w:sz w:val="18"/>
                      <w:szCs w:val="18"/>
                      <w:highlight w:val="none"/>
                      <w:lang w:eastAsia="zh-CN"/>
                    </w:rPr>
                    <w:t>。</w:t>
                  </w:r>
                </w:p>
              </w:tc>
              <w:tc>
                <w:tcPr>
                  <w:tcW w:w="501" w:type="pct"/>
                  <w:tcBorders>
                    <w:tl2br w:val="nil"/>
                    <w:tr2bl w:val="nil"/>
                  </w:tcBorders>
                  <w:vAlign w:val="center"/>
                </w:tcPr>
                <w:p w14:paraId="7410E296">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6602C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29D0BE8F">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1C60C359">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供热工程</w:t>
                  </w:r>
                </w:p>
              </w:tc>
              <w:tc>
                <w:tcPr>
                  <w:tcW w:w="3156" w:type="pct"/>
                  <w:tcBorders>
                    <w:tl2br w:val="nil"/>
                    <w:tr2bl w:val="nil"/>
                  </w:tcBorders>
                  <w:vAlign w:val="center"/>
                </w:tcPr>
                <w:p w14:paraId="2E4A6A16">
                  <w:pPr>
                    <w:pStyle w:val="36"/>
                    <w:jc w:val="left"/>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本项目</w:t>
                  </w:r>
                  <w:r>
                    <w:rPr>
                      <w:rFonts w:hint="default" w:ascii="Times New Roman" w:hAnsi="Times New Roman" w:cs="Times New Roman"/>
                      <w:color w:val="auto"/>
                      <w:sz w:val="18"/>
                      <w:szCs w:val="18"/>
                      <w:highlight w:val="none"/>
                      <w:lang w:val="en-US" w:eastAsia="zh-CN"/>
                    </w:rPr>
                    <w:t>冬季取暖采用电采暖。</w:t>
                  </w:r>
                </w:p>
              </w:tc>
              <w:tc>
                <w:tcPr>
                  <w:tcW w:w="501" w:type="pct"/>
                  <w:tcBorders>
                    <w:tl2br w:val="nil"/>
                    <w:tr2bl w:val="nil"/>
                  </w:tcBorders>
                  <w:vAlign w:val="center"/>
                </w:tcPr>
                <w:p w14:paraId="525E4C9F">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7BD6D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restart"/>
                  <w:tcBorders>
                    <w:tl2br w:val="nil"/>
                    <w:tr2bl w:val="nil"/>
                  </w:tcBorders>
                  <w:vAlign w:val="center"/>
                </w:tcPr>
                <w:p w14:paraId="402BC93E">
                  <w:pPr>
                    <w:pStyle w:val="36"/>
                    <w:jc w:val="both"/>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环保工程</w:t>
                  </w:r>
                </w:p>
              </w:tc>
              <w:tc>
                <w:tcPr>
                  <w:tcW w:w="676" w:type="pct"/>
                  <w:tcBorders>
                    <w:tl2br w:val="nil"/>
                    <w:tr2bl w:val="nil"/>
                  </w:tcBorders>
                  <w:vAlign w:val="center"/>
                </w:tcPr>
                <w:p w14:paraId="6A531471">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污水防治措施</w:t>
                  </w:r>
                </w:p>
              </w:tc>
              <w:tc>
                <w:tcPr>
                  <w:tcW w:w="3156" w:type="pct"/>
                  <w:tcBorders>
                    <w:tl2br w:val="nil"/>
                    <w:tr2bl w:val="nil"/>
                  </w:tcBorders>
                  <w:vAlign w:val="center"/>
                </w:tcPr>
                <w:p w14:paraId="511096F9">
                  <w:pPr>
                    <w:pStyle w:val="36"/>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项目无生产废水</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生活污水</w:t>
                  </w:r>
                  <w:r>
                    <w:rPr>
                      <w:rFonts w:hint="default" w:ascii="Times New Roman" w:hAnsi="Times New Roman" w:cs="Times New Roman"/>
                      <w:color w:val="auto"/>
                      <w:sz w:val="18"/>
                      <w:szCs w:val="18"/>
                      <w:highlight w:val="none"/>
                      <w:lang w:val="en-US" w:eastAsia="zh-CN"/>
                    </w:rPr>
                    <w:t>排入防渗旱厕。</w:t>
                  </w:r>
                  <w:r>
                    <w:rPr>
                      <w:rFonts w:hint="eastAsia" w:cs="Times New Roman"/>
                      <w:color w:val="auto"/>
                      <w:sz w:val="18"/>
                      <w:szCs w:val="18"/>
                      <w:highlight w:val="none"/>
                      <w:lang w:val="en-US" w:eastAsia="zh-CN"/>
                    </w:rPr>
                    <w:t>厂区四周</w:t>
                  </w:r>
                  <w:r>
                    <w:rPr>
                      <w:rFonts w:hint="default" w:ascii="Times New Roman" w:hAnsi="Times New Roman" w:cs="Times New Roman"/>
                      <w:color w:val="auto"/>
                      <w:sz w:val="18"/>
                      <w:szCs w:val="18"/>
                      <w:highlight w:val="none"/>
                      <w:lang w:val="en-US" w:eastAsia="zh-CN"/>
                    </w:rPr>
                    <w:t>建设雨水导流沟（长</w:t>
                  </w:r>
                  <w:r>
                    <w:rPr>
                      <w:rFonts w:hint="eastAsia" w:cs="Times New Roman"/>
                      <w:color w:val="auto"/>
                      <w:sz w:val="18"/>
                      <w:szCs w:val="18"/>
                      <w:highlight w:val="none"/>
                      <w:lang w:val="en-US" w:eastAsia="zh-CN"/>
                    </w:rPr>
                    <w:t>435</w:t>
                  </w:r>
                  <w:r>
                    <w:rPr>
                      <w:rFonts w:hint="default" w:ascii="Times New Roman" w:hAnsi="Times New Roman" w:cs="Times New Roman"/>
                      <w:color w:val="auto"/>
                      <w:sz w:val="18"/>
                      <w:szCs w:val="18"/>
                      <w:highlight w:val="none"/>
                      <w:lang w:val="en-US" w:eastAsia="zh-CN"/>
                    </w:rPr>
                    <w:t>m，宽0.2m，深0.2m）。设置初期雨水收集池1座</w:t>
                  </w:r>
                  <w:r>
                    <w:rPr>
                      <w:rFonts w:hint="eastAsia" w:cs="Times New Roman"/>
                      <w:color w:val="auto"/>
                      <w:sz w:val="18"/>
                      <w:szCs w:val="18"/>
                      <w:highlight w:val="none"/>
                      <w:lang w:val="en-US" w:eastAsia="zh-CN"/>
                    </w:rPr>
                    <w:t>，容积100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，位于厂区</w:t>
                  </w:r>
                  <w:r>
                    <w:rPr>
                      <w:rFonts w:hint="eastAsia" w:cs="Times New Roman"/>
                      <w:color w:val="auto"/>
                      <w:sz w:val="18"/>
                      <w:szCs w:val="18"/>
                      <w:highlight w:val="none"/>
                      <w:lang w:val="en-US" w:eastAsia="zh-CN"/>
                    </w:rPr>
                    <w:t>西北</w:t>
                  </w:r>
                  <w:r>
                    <w:rPr>
                      <w:rFonts w:hint="default" w:ascii="Times New Roman" w:hAnsi="Times New Roman" w:cs="Times New Roman"/>
                      <w:color w:val="auto"/>
                      <w:sz w:val="18"/>
                      <w:szCs w:val="18"/>
                      <w:highlight w:val="none"/>
                      <w:lang w:val="en-US" w:eastAsia="zh-CN"/>
                    </w:rPr>
                    <w:t>侧（厂区地势最低处），收集整体厂区雨水</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收集的雨水沉淀后用于场区洒水降尘，</w:t>
                  </w:r>
                  <w:r>
                    <w:rPr>
                      <w:rFonts w:hint="eastAsia" w:cs="Times New Roman"/>
                      <w:color w:val="auto"/>
                      <w:sz w:val="18"/>
                      <w:szCs w:val="18"/>
                      <w:highlight w:val="none"/>
                      <w:lang w:val="en-US" w:eastAsia="zh-CN"/>
                    </w:rPr>
                    <w:t>不外排。</w:t>
                  </w:r>
                </w:p>
              </w:tc>
              <w:tc>
                <w:tcPr>
                  <w:tcW w:w="501" w:type="pct"/>
                  <w:tcBorders>
                    <w:tl2br w:val="nil"/>
                    <w:tr2bl w:val="nil"/>
                  </w:tcBorders>
                  <w:vAlign w:val="center"/>
                </w:tcPr>
                <w:p w14:paraId="3554669E">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新建</w:t>
                  </w:r>
                </w:p>
              </w:tc>
            </w:tr>
            <w:tr w14:paraId="6304AF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71E242CF">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26F839E7">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固体废物防治措施</w:t>
                  </w:r>
                </w:p>
              </w:tc>
              <w:tc>
                <w:tcPr>
                  <w:tcW w:w="3156" w:type="pct"/>
                  <w:tcBorders>
                    <w:tl2br w:val="nil"/>
                    <w:tr2bl w:val="nil"/>
                  </w:tcBorders>
                  <w:vAlign w:val="center"/>
                </w:tcPr>
                <w:p w14:paraId="54E8F1B0">
                  <w:pPr>
                    <w:widowControl/>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储煤场内设置垃圾收集箱、危险废物贮存点，垃圾收集箱用于</w:t>
                  </w:r>
                  <w:r>
                    <w:rPr>
                      <w:rFonts w:hint="default" w:ascii="Times New Roman" w:hAnsi="Times New Roman" w:eastAsia="宋体" w:cs="Times New Roman"/>
                      <w:color w:val="auto"/>
                      <w:sz w:val="18"/>
                      <w:szCs w:val="18"/>
                      <w:highlight w:val="none"/>
                    </w:rPr>
                    <w:t>生活垃圾收集，由当地环卫部门统一处理；</w:t>
                  </w:r>
                  <w:r>
                    <w:rPr>
                      <w:rFonts w:hint="default" w:ascii="Times New Roman" w:hAnsi="Times New Roman" w:cs="Times New Roman"/>
                      <w:color w:val="auto"/>
                      <w:sz w:val="18"/>
                      <w:szCs w:val="18"/>
                      <w:highlight w:val="none"/>
                      <w:lang w:val="en-US" w:eastAsia="zh-CN"/>
                    </w:rPr>
                    <w:t>初期雨水收集池沉渣暂存煤炭堆场，与煤炭一同外售。</w:t>
                  </w:r>
                  <w:r>
                    <w:rPr>
                      <w:rFonts w:hint="default" w:ascii="Times New Roman" w:hAnsi="Times New Roman" w:eastAsia="宋体" w:cs="Times New Roman"/>
                      <w:color w:val="auto"/>
                      <w:sz w:val="18"/>
                      <w:szCs w:val="18"/>
                      <w:highlight w:val="none"/>
                    </w:rPr>
                    <w:t>废机油</w:t>
                  </w:r>
                  <w:r>
                    <w:rPr>
                      <w:rFonts w:hint="eastAsia" w:cs="Times New Roman"/>
                      <w:color w:val="auto"/>
                      <w:sz w:val="18"/>
                      <w:szCs w:val="18"/>
                      <w:highlight w:val="none"/>
                      <w:lang w:eastAsia="zh-CN"/>
                    </w:rPr>
                    <w:t>、废弃含油抹布手套、</w:t>
                  </w:r>
                  <w:r>
                    <w:rPr>
                      <w:rFonts w:hint="eastAsia" w:cs="Times New Roman"/>
                      <w:color w:val="auto"/>
                      <w:sz w:val="18"/>
                      <w:szCs w:val="18"/>
                      <w:highlight w:val="none"/>
                      <w:lang w:val="en-US" w:eastAsia="zh-CN"/>
                    </w:rPr>
                    <w:t>废机油桶</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val="en-US" w:eastAsia="zh-CN"/>
                    </w:rPr>
                    <w:t>暂存</w:t>
                  </w:r>
                  <w:r>
                    <w:rPr>
                      <w:rFonts w:hint="default" w:ascii="Times New Roman" w:hAnsi="Times New Roman" w:cs="Times New Roman"/>
                      <w:color w:val="auto"/>
                      <w:sz w:val="18"/>
                      <w:szCs w:val="18"/>
                      <w:highlight w:val="none"/>
                      <w:lang w:val="en-US" w:eastAsia="zh-CN"/>
                    </w:rPr>
                    <w:t>危险废物贮存点</w:t>
                  </w:r>
                  <w:r>
                    <w:rPr>
                      <w:rFonts w:hint="eastAsia"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定期</w:t>
                  </w:r>
                  <w:r>
                    <w:rPr>
                      <w:rFonts w:hint="default" w:ascii="Times New Roman" w:hAnsi="Times New Roman" w:eastAsia="宋体" w:cs="Times New Roman"/>
                      <w:color w:val="auto"/>
                      <w:sz w:val="18"/>
                      <w:szCs w:val="18"/>
                      <w:highlight w:val="none"/>
                    </w:rPr>
                    <w:t>委托有资质单位处置。</w:t>
                  </w:r>
                </w:p>
              </w:tc>
              <w:tc>
                <w:tcPr>
                  <w:tcW w:w="501" w:type="pct"/>
                  <w:tcBorders>
                    <w:tl2br w:val="nil"/>
                    <w:tr2bl w:val="nil"/>
                  </w:tcBorders>
                  <w:vAlign w:val="center"/>
                </w:tcPr>
                <w:p w14:paraId="45D62124">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29EE5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0A9E34C2">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155215DD">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废气防治措施</w:t>
                  </w:r>
                </w:p>
              </w:tc>
              <w:tc>
                <w:tcPr>
                  <w:tcW w:w="3156" w:type="pct"/>
                  <w:tcBorders>
                    <w:tl2br w:val="nil"/>
                    <w:tr2bl w:val="nil"/>
                  </w:tcBorders>
                  <w:vAlign w:val="center"/>
                </w:tcPr>
                <w:p w14:paraId="7706C63B">
                  <w:pPr>
                    <w:widowControl/>
                    <w:jc w:val="left"/>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煤炭堆存：采取苫布遮盖，</w:t>
                  </w:r>
                  <w:r>
                    <w:rPr>
                      <w:rFonts w:hint="default" w:ascii="Times New Roman" w:hAnsi="Times New Roman" w:cs="Times New Roman"/>
                      <w:color w:val="auto"/>
                      <w:sz w:val="18"/>
                      <w:szCs w:val="18"/>
                      <w:highlight w:val="none"/>
                      <w:lang w:val="en-US" w:eastAsia="zh-CN"/>
                    </w:rPr>
                    <w:t>储煤场堆高</w:t>
                  </w:r>
                  <w:r>
                    <w:rPr>
                      <w:rFonts w:hint="eastAsia" w:cs="Times New Roman"/>
                      <w:color w:val="auto"/>
                      <w:sz w:val="18"/>
                      <w:szCs w:val="18"/>
                      <w:highlight w:val="none"/>
                      <w:lang w:val="en-US" w:eastAsia="zh-CN"/>
                    </w:rPr>
                    <w:t>3m</w:t>
                  </w:r>
                  <w:r>
                    <w:rPr>
                      <w:rFonts w:hint="default" w:ascii="Times New Roman" w:hAnsi="Times New Roman" w:cs="Times New Roman"/>
                      <w:color w:val="auto"/>
                      <w:sz w:val="18"/>
                      <w:szCs w:val="18"/>
                      <w:highlight w:val="none"/>
                      <w:lang w:val="en-US" w:eastAsia="zh-CN"/>
                    </w:rPr>
                    <w:t>，四周建设闭合防风抑尘网高</w:t>
                  </w:r>
                  <w:r>
                    <w:rPr>
                      <w:rFonts w:hint="eastAsia"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val="en-US" w:eastAsia="zh-CN"/>
                    </w:rPr>
                    <w:t>m、长</w:t>
                  </w:r>
                  <w:r>
                    <w:rPr>
                      <w:rFonts w:hint="eastAsia" w:cs="Times New Roman"/>
                      <w:color w:val="auto"/>
                      <w:sz w:val="18"/>
                      <w:szCs w:val="18"/>
                      <w:highlight w:val="none"/>
                      <w:lang w:val="en-US" w:eastAsia="zh-CN"/>
                    </w:rPr>
                    <w:t>435</w:t>
                  </w:r>
                  <w:r>
                    <w:rPr>
                      <w:rFonts w:hint="default" w:ascii="Times New Roman" w:hAnsi="Times New Roman" w:cs="Times New Roman"/>
                      <w:color w:val="auto"/>
                      <w:sz w:val="18"/>
                      <w:szCs w:val="18"/>
                      <w:highlight w:val="none"/>
                      <w:lang w:val="en-US" w:eastAsia="zh-CN"/>
                    </w:rPr>
                    <w:t>m（</w:t>
                  </w:r>
                  <w:r>
                    <w:rPr>
                      <w:rFonts w:hint="eastAsia" w:cs="Times New Roman"/>
                      <w:color w:val="auto"/>
                      <w:sz w:val="18"/>
                      <w:szCs w:val="18"/>
                      <w:highlight w:val="none"/>
                      <w:lang w:val="en-US" w:eastAsia="zh-CN"/>
                    </w:rPr>
                    <w:t>金属材质、</w:t>
                  </w:r>
                  <w:r>
                    <w:rPr>
                      <w:rFonts w:hint="default" w:ascii="Times New Roman" w:hAnsi="Times New Roman" w:cs="Times New Roman"/>
                      <w:color w:val="auto"/>
                      <w:sz w:val="18"/>
                      <w:szCs w:val="18"/>
                      <w:highlight w:val="none"/>
                      <w:lang w:val="en-US" w:eastAsia="zh-CN"/>
                    </w:rPr>
                    <w:t>孔隙率5</w:t>
                  </w:r>
                  <w:r>
                    <w:rPr>
                      <w:rFonts w:hint="default"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），定期洒水降尘并防止自燃</w:t>
                  </w:r>
                  <w:r>
                    <w:rPr>
                      <w:rFonts w:hint="eastAsia" w:ascii="Times New Roman" w:hAnsi="Times New Roman" w:cs="Times New Roman"/>
                      <w:color w:val="auto"/>
                      <w:sz w:val="18"/>
                      <w:szCs w:val="18"/>
                      <w:highlight w:val="none"/>
                      <w:lang w:val="en-US" w:eastAsia="zh-CN"/>
                    </w:rPr>
                    <w:t>。</w:t>
                  </w:r>
                </w:p>
                <w:p w14:paraId="1AA2177A">
                  <w:pPr>
                    <w:widowControl/>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煤炭装卸转运：采用</w:t>
                  </w:r>
                  <w:r>
                    <w:rPr>
                      <w:rFonts w:hint="eastAsia" w:cs="Times New Roman"/>
                      <w:color w:val="auto"/>
                      <w:sz w:val="18"/>
                      <w:szCs w:val="18"/>
                      <w:highlight w:val="none"/>
                      <w:lang w:val="en-US" w:eastAsia="zh-CN"/>
                    </w:rPr>
                    <w:t>1台喷雾装置</w:t>
                  </w:r>
                  <w:r>
                    <w:rPr>
                      <w:rFonts w:hint="default" w:ascii="Times New Roman" w:hAnsi="Times New Roman" w:cs="Times New Roman"/>
                      <w:color w:val="auto"/>
                      <w:sz w:val="18"/>
                      <w:szCs w:val="18"/>
                      <w:highlight w:val="none"/>
                      <w:lang w:val="en-US" w:eastAsia="zh-CN"/>
                    </w:rPr>
                    <w:t>对</w:t>
                  </w:r>
                  <w:r>
                    <w:rPr>
                      <w:rFonts w:hint="eastAsia" w:cs="Times New Roman"/>
                      <w:color w:val="auto"/>
                      <w:sz w:val="18"/>
                      <w:szCs w:val="18"/>
                      <w:highlight w:val="none"/>
                      <w:lang w:val="en-US" w:eastAsia="zh-CN"/>
                    </w:rPr>
                    <w:t>装卸区域</w:t>
                  </w:r>
                  <w:r>
                    <w:rPr>
                      <w:rFonts w:hint="default" w:ascii="Times New Roman" w:hAnsi="Times New Roman" w:cs="Times New Roman"/>
                      <w:color w:val="auto"/>
                      <w:sz w:val="18"/>
                      <w:szCs w:val="18"/>
                      <w:highlight w:val="none"/>
                      <w:lang w:val="en-US" w:eastAsia="zh-CN"/>
                    </w:rPr>
                    <w:t>进行降尘，卸料过程尽量减少煤炭落料过程中高差</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禁止在重污染天气、大风天气进行作业</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煤场运输车辆进行全面苫盖</w:t>
                  </w:r>
                  <w:r>
                    <w:rPr>
                      <w:rFonts w:hint="eastAsia"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定期去外部指定洗车点对车辆进行清洗</w:t>
                  </w:r>
                  <w:r>
                    <w:rPr>
                      <w:rFonts w:hint="default" w:ascii="Times New Roman" w:hAnsi="Times New Roman" w:cs="Times New Roman"/>
                      <w:color w:val="auto"/>
                      <w:sz w:val="18"/>
                      <w:szCs w:val="18"/>
                      <w:highlight w:val="none"/>
                      <w:lang w:eastAsia="zh-CN"/>
                    </w:rPr>
                    <w:t>。</w:t>
                  </w:r>
                </w:p>
              </w:tc>
              <w:tc>
                <w:tcPr>
                  <w:tcW w:w="501" w:type="pct"/>
                  <w:tcBorders>
                    <w:tl2br w:val="nil"/>
                    <w:tr2bl w:val="nil"/>
                  </w:tcBorders>
                  <w:vAlign w:val="center"/>
                </w:tcPr>
                <w:p w14:paraId="2F93389D">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r w14:paraId="670A5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vMerge w:val="continue"/>
                  <w:tcBorders>
                    <w:tl2br w:val="nil"/>
                    <w:tr2bl w:val="nil"/>
                  </w:tcBorders>
                  <w:vAlign w:val="center"/>
                </w:tcPr>
                <w:p w14:paraId="64C895B9">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4D4E6AFF">
                  <w:pPr>
                    <w:pStyle w:val="36"/>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噪声防治措施</w:t>
                  </w:r>
                </w:p>
              </w:tc>
              <w:tc>
                <w:tcPr>
                  <w:tcW w:w="3156" w:type="pct"/>
                  <w:tcBorders>
                    <w:tl2br w:val="nil"/>
                    <w:tr2bl w:val="nil"/>
                  </w:tcBorders>
                  <w:vAlign w:val="center"/>
                </w:tcPr>
                <w:p w14:paraId="242C103B">
                  <w:pPr>
                    <w:widowControl/>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采用</w:t>
                  </w:r>
                  <w:r>
                    <w:rPr>
                      <w:rFonts w:hint="default" w:ascii="Times New Roman" w:hAnsi="Times New Roman" w:cs="Times New Roman"/>
                      <w:color w:val="auto"/>
                      <w:sz w:val="18"/>
                      <w:szCs w:val="18"/>
                      <w:highlight w:val="none"/>
                      <w:lang w:val="en-US" w:eastAsia="zh-CN"/>
                    </w:rPr>
                    <w:t>低噪声设备</w:t>
                  </w:r>
                  <w:r>
                    <w:rPr>
                      <w:rFonts w:hint="eastAsia" w:cs="Times New Roman"/>
                      <w:color w:val="auto"/>
                      <w:sz w:val="18"/>
                      <w:szCs w:val="18"/>
                      <w:highlight w:val="none"/>
                      <w:lang w:val="en-US" w:eastAsia="zh-CN"/>
                    </w:rPr>
                    <w:t>，水泵设置基础减振、隔声罩</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铲车、</w:t>
                  </w:r>
                  <w:r>
                    <w:rPr>
                      <w:rFonts w:hint="default" w:ascii="Times New Roman" w:hAnsi="Times New Roman" w:cs="Times New Roman"/>
                      <w:color w:val="auto"/>
                      <w:sz w:val="18"/>
                      <w:szCs w:val="18"/>
                      <w:highlight w:val="none"/>
                      <w:lang w:val="en-US" w:eastAsia="zh-CN"/>
                    </w:rPr>
                    <w:t>运输车辆</w:t>
                  </w:r>
                  <w:r>
                    <w:rPr>
                      <w:rFonts w:hint="eastAsia" w:cs="Times New Roman"/>
                      <w:color w:val="auto"/>
                      <w:sz w:val="18"/>
                      <w:szCs w:val="18"/>
                      <w:highlight w:val="none"/>
                      <w:lang w:val="en-US" w:eastAsia="zh-CN"/>
                    </w:rPr>
                    <w:t>定期维护保养以降低噪音，作业时</w:t>
                  </w:r>
                  <w:r>
                    <w:rPr>
                      <w:rFonts w:hint="default" w:ascii="Times New Roman" w:hAnsi="Times New Roman" w:cs="Times New Roman"/>
                      <w:color w:val="auto"/>
                      <w:sz w:val="18"/>
                      <w:szCs w:val="18"/>
                      <w:highlight w:val="none"/>
                      <w:lang w:val="en-US" w:eastAsia="zh-CN"/>
                    </w:rPr>
                    <w:t>低速</w:t>
                  </w:r>
                  <w:r>
                    <w:rPr>
                      <w:rFonts w:hint="eastAsia" w:cs="Times New Roman"/>
                      <w:color w:val="auto"/>
                      <w:sz w:val="18"/>
                      <w:szCs w:val="18"/>
                      <w:highlight w:val="none"/>
                      <w:lang w:val="en-US" w:eastAsia="zh-CN"/>
                    </w:rPr>
                    <w:t>行驶、禁止鸣笛、禁止夜间作业。</w:t>
                  </w:r>
                </w:p>
              </w:tc>
              <w:tc>
                <w:tcPr>
                  <w:tcW w:w="501" w:type="pct"/>
                  <w:tcBorders>
                    <w:tl2br w:val="nil"/>
                    <w:tr2bl w:val="nil"/>
                  </w:tcBorders>
                  <w:vAlign w:val="center"/>
                </w:tcPr>
                <w:p w14:paraId="0846F850">
                  <w:pPr>
                    <w:pStyle w:val="36"/>
                    <w:jc w:val="center"/>
                    <w:rPr>
                      <w:rFonts w:hint="default" w:ascii="Times New Roman" w:hAnsi="Times New Roman" w:eastAsia="宋体" w:cs="Times New Roman"/>
                      <w:color w:val="auto"/>
                      <w:kern w:val="2"/>
                      <w:sz w:val="18"/>
                      <w:szCs w:val="18"/>
                      <w:highlight w:val="none"/>
                      <w:lang w:val="zh-CN" w:eastAsia="zh-CN" w:bidi="ar-SA"/>
                    </w:rPr>
                  </w:pPr>
                  <w:r>
                    <w:rPr>
                      <w:rFonts w:hint="default" w:ascii="Times New Roman" w:hAnsi="Times New Roman" w:cs="Times New Roman"/>
                      <w:color w:val="auto"/>
                      <w:sz w:val="18"/>
                      <w:szCs w:val="18"/>
                      <w:highlight w:val="none"/>
                      <w:lang w:val="en-US" w:eastAsia="zh-CN"/>
                    </w:rPr>
                    <w:t>新建</w:t>
                  </w:r>
                </w:p>
              </w:tc>
            </w:tr>
            <w:tr w14:paraId="79A12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665" w:type="pct"/>
                  <w:vMerge w:val="continue"/>
                  <w:tcBorders>
                    <w:tl2br w:val="nil"/>
                    <w:tr2bl w:val="nil"/>
                  </w:tcBorders>
                  <w:vAlign w:val="center"/>
                </w:tcPr>
                <w:p w14:paraId="643AB24E">
                  <w:pPr>
                    <w:pStyle w:val="36"/>
                    <w:rPr>
                      <w:rFonts w:hint="default" w:ascii="Times New Roman" w:hAnsi="Times New Roman" w:cs="Times New Roman"/>
                      <w:color w:val="auto"/>
                      <w:sz w:val="18"/>
                      <w:szCs w:val="18"/>
                      <w:highlight w:val="none"/>
                    </w:rPr>
                  </w:pPr>
                </w:p>
              </w:tc>
              <w:tc>
                <w:tcPr>
                  <w:tcW w:w="676" w:type="pct"/>
                  <w:tcBorders>
                    <w:tl2br w:val="nil"/>
                    <w:tr2bl w:val="nil"/>
                  </w:tcBorders>
                  <w:vAlign w:val="center"/>
                </w:tcPr>
                <w:p w14:paraId="28DA5DEF">
                  <w:pPr>
                    <w:pStyle w:val="36"/>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地面硬化及</w:t>
                  </w:r>
                  <w:r>
                    <w:rPr>
                      <w:rFonts w:hint="default" w:ascii="Times New Roman" w:hAnsi="Times New Roman" w:cs="Times New Roman"/>
                      <w:color w:val="auto"/>
                      <w:sz w:val="18"/>
                      <w:szCs w:val="18"/>
                      <w:highlight w:val="none"/>
                      <w:lang w:val="en-US" w:eastAsia="zh-CN"/>
                    </w:rPr>
                    <w:t>地下水、土壤保护措施</w:t>
                  </w:r>
                </w:p>
              </w:tc>
              <w:tc>
                <w:tcPr>
                  <w:tcW w:w="3156" w:type="pct"/>
                  <w:tcBorders>
                    <w:tl2br w:val="nil"/>
                    <w:tr2bl w:val="nil"/>
                  </w:tcBorders>
                  <w:vAlign w:val="center"/>
                </w:tcPr>
                <w:p w14:paraId="158FA66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一般防渗区：</w:t>
                  </w:r>
                  <w:r>
                    <w:rPr>
                      <w:rFonts w:hint="default" w:ascii="Times New Roman" w:hAnsi="Times New Roman" w:cs="Times New Roman"/>
                      <w:color w:val="auto"/>
                      <w:sz w:val="18"/>
                      <w:szCs w:val="18"/>
                      <w:highlight w:val="none"/>
                      <w:lang w:val="en-US" w:eastAsia="zh-CN"/>
                    </w:rPr>
                    <w:t>煤炭堆场</w:t>
                  </w:r>
                  <w:r>
                    <w:rPr>
                      <w:rFonts w:hint="eastAsia" w:ascii="Times New Roman" w:hAnsi="Times New Roman" w:cs="Times New Roman"/>
                      <w:color w:val="auto"/>
                      <w:sz w:val="18"/>
                      <w:szCs w:val="18"/>
                      <w:highlight w:val="none"/>
                      <w:lang w:val="en-US" w:eastAsia="zh-CN"/>
                    </w:rPr>
                    <w:t>约6000m</w:t>
                  </w:r>
                  <w:r>
                    <w:rPr>
                      <w:rFonts w:hint="eastAsia" w:ascii="Times New Roman" w:hAnsi="Times New Roman" w:cs="Times New Roman"/>
                      <w:color w:val="auto"/>
                      <w:sz w:val="18"/>
                      <w:szCs w:val="18"/>
                      <w:highlight w:val="none"/>
                      <w:vertAlign w:val="superscript"/>
                      <w:lang w:val="en-US" w:eastAsia="zh-CN"/>
                    </w:rPr>
                    <w:t>2</w:t>
                  </w:r>
                  <w:r>
                    <w:rPr>
                      <w:rFonts w:hint="default" w:ascii="Times New Roman" w:hAnsi="Times New Roman" w:cs="Times New Roman"/>
                      <w:color w:val="auto"/>
                      <w:sz w:val="18"/>
                      <w:szCs w:val="18"/>
                      <w:highlight w:val="none"/>
                      <w:lang w:val="en-US" w:eastAsia="zh-CN"/>
                    </w:rPr>
                    <w:t>、初期雨水收集池</w:t>
                  </w:r>
                  <w:r>
                    <w:rPr>
                      <w:rFonts w:hint="eastAsia" w:ascii="Times New Roman" w:hAnsi="Times New Roman" w:cs="Times New Roman"/>
                      <w:color w:val="auto"/>
                      <w:sz w:val="18"/>
                      <w:szCs w:val="18"/>
                      <w:highlight w:val="none"/>
                      <w:lang w:val="en-US" w:eastAsia="zh-CN"/>
                    </w:rPr>
                    <w:t>33m</w:t>
                  </w:r>
                  <w:r>
                    <w:rPr>
                      <w:rFonts w:hint="eastAsia" w:ascii="Times New Roman" w:hAnsi="Times New Roman" w:cs="Times New Roman"/>
                      <w:color w:val="auto"/>
                      <w:sz w:val="18"/>
                      <w:szCs w:val="18"/>
                      <w:highlight w:val="none"/>
                      <w:vertAlign w:val="superscript"/>
                      <w:lang w:val="en-US" w:eastAsia="zh-CN"/>
                    </w:rPr>
                    <w:t>2</w:t>
                  </w:r>
                  <w:r>
                    <w:rPr>
                      <w:rFonts w:hint="default" w:ascii="Times New Roman" w:hAnsi="Times New Roman" w:eastAsia="宋体" w:cs="Times New Roman"/>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防渗旱厕4m</w:t>
                  </w:r>
                  <w:r>
                    <w:rPr>
                      <w:rFonts w:hint="eastAsia" w:ascii="Times New Roman" w:hAnsi="Times New Roman" w:eastAsia="宋体" w:cs="Times New Roman"/>
                      <w:color w:val="auto"/>
                      <w:sz w:val="18"/>
                      <w:szCs w:val="18"/>
                      <w:highlight w:val="none"/>
                      <w:vertAlign w:val="superscript"/>
                      <w:lang w:val="en-US" w:eastAsia="zh-CN"/>
                    </w:rPr>
                    <w:t>2</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煤炭堆场</w:t>
                  </w:r>
                  <w:r>
                    <w:rPr>
                      <w:rFonts w:hint="eastAsia" w:ascii="Times New Roman" w:hAnsi="Times New Roman" w:cs="Times New Roman"/>
                      <w:color w:val="auto"/>
                      <w:sz w:val="18"/>
                      <w:szCs w:val="18"/>
                      <w:highlight w:val="none"/>
                      <w:lang w:val="en-US" w:eastAsia="zh-CN"/>
                    </w:rPr>
                    <w:t>边角</w:t>
                  </w:r>
                  <w:r>
                    <w:rPr>
                      <w:rFonts w:hint="eastAsia" w:ascii="Times New Roman" w:hAnsi="Times New Roman" w:eastAsia="宋体" w:cs="Times New Roman"/>
                      <w:color w:val="auto"/>
                      <w:sz w:val="18"/>
                      <w:szCs w:val="18"/>
                      <w:highlight w:val="none"/>
                      <w:lang w:val="en-US" w:eastAsia="zh-CN"/>
                    </w:rPr>
                    <w:t>区域约2486.83m</w:t>
                  </w:r>
                  <w:r>
                    <w:rPr>
                      <w:rFonts w:hint="eastAsia" w:ascii="Times New Roman" w:hAnsi="Times New Roman" w:eastAsia="宋体" w:cs="Times New Roman"/>
                      <w:color w:val="auto"/>
                      <w:sz w:val="18"/>
                      <w:szCs w:val="18"/>
                      <w:highlight w:val="none"/>
                      <w:vertAlign w:val="superscript"/>
                      <w:lang w:val="en-US" w:eastAsia="zh-CN"/>
                    </w:rPr>
                    <w:t>2</w:t>
                  </w:r>
                  <w:r>
                    <w:rPr>
                      <w:rFonts w:hint="eastAsia" w:ascii="Times New Roman" w:hAnsi="Times New Roman" w:eastAsia="宋体"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防渗层采用</w:t>
                  </w:r>
                  <w:r>
                    <w:rPr>
                      <w:rFonts w:hint="default" w:ascii="Times New Roman" w:hAnsi="Times New Roman" w:eastAsia="宋体" w:cs="Times New Roman"/>
                      <w:color w:val="auto"/>
                      <w:sz w:val="18"/>
                      <w:szCs w:val="18"/>
                      <w:highlight w:val="none"/>
                      <w:lang w:val="en-US" w:eastAsia="zh-CN"/>
                    </w:rPr>
                    <w:t>高密度聚乙烯膜，厚度不小于2.0</w:t>
                  </w:r>
                  <w:r>
                    <w:rPr>
                      <w:rFonts w:hint="eastAsia" w:ascii="Times New Roman" w:hAnsi="Times New Roman" w:eastAsia="宋体" w:cs="Times New Roman"/>
                      <w:color w:val="auto"/>
                      <w:sz w:val="18"/>
                      <w:szCs w:val="18"/>
                      <w:highlight w:val="none"/>
                      <w:lang w:val="en-US" w:eastAsia="zh-CN"/>
                    </w:rPr>
                    <w:t>mm</w:t>
                  </w:r>
                  <w:r>
                    <w:rPr>
                      <w:rFonts w:hint="default" w:ascii="Times New Roman" w:hAnsi="Times New Roman" w:eastAsia="宋体" w:cs="Times New Roman"/>
                      <w:color w:val="auto"/>
                      <w:sz w:val="18"/>
                      <w:szCs w:val="18"/>
                      <w:highlight w:val="none"/>
                      <w:lang w:val="en-US" w:eastAsia="zh-CN"/>
                    </w:rPr>
                    <w:t>，防渗层下为厚度不小于0.75m的</w:t>
                  </w:r>
                  <w:r>
                    <w:rPr>
                      <w:rFonts w:hint="eastAsia" w:ascii="Times New Roman" w:hAnsi="Times New Roman" w:eastAsia="宋体" w:cs="Times New Roman"/>
                      <w:color w:val="auto"/>
                      <w:sz w:val="18"/>
                      <w:szCs w:val="18"/>
                      <w:highlight w:val="none"/>
                      <w:lang w:val="en-US" w:eastAsia="zh-CN"/>
                    </w:rPr>
                    <w:t>天然粘土防渗衬层或</w:t>
                  </w:r>
                  <w:r>
                    <w:rPr>
                      <w:rFonts w:ascii="宋体" w:hAnsi="宋体" w:eastAsia="宋体" w:cs="宋体"/>
                      <w:color w:val="auto"/>
                      <w:sz w:val="18"/>
                      <w:szCs w:val="18"/>
                      <w:highlight w:val="none"/>
                    </w:rPr>
                    <w:t>改性粘土防渗衬层</w:t>
                  </w:r>
                  <w:r>
                    <w:rPr>
                      <w:rFonts w:hint="eastAsia" w:ascii="Times New Roman" w:hAnsi="Times New Roman" w:eastAsia="宋体"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防渗技术要求达到</w:t>
                  </w:r>
                  <w:r>
                    <w:rPr>
                      <w:rFonts w:hint="default" w:ascii="Times New Roman" w:hAnsi="Times New Roman" w:cs="Times New Roman"/>
                      <w:color w:val="auto"/>
                      <w:sz w:val="18"/>
                      <w:szCs w:val="18"/>
                      <w:highlight w:val="none"/>
                    </w:rPr>
                    <w:t>等效黏土防渗层Mb≥1.5m</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渗透系数≤10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cm/s</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煤炭堆场及边角区域地面采用碎石硬化，初期雨水收集池、防渗旱厕采用水泥硬化</w:t>
                  </w:r>
                  <w:r>
                    <w:rPr>
                      <w:rFonts w:hint="eastAsia" w:ascii="Times New Roman" w:hAnsi="Times New Roman" w:cs="Times New Roman"/>
                      <w:color w:val="auto"/>
                      <w:sz w:val="18"/>
                      <w:szCs w:val="18"/>
                      <w:highlight w:val="none"/>
                      <w:lang w:eastAsia="zh-CN"/>
                    </w:rPr>
                    <w:t>。</w:t>
                  </w:r>
                </w:p>
                <w:p w14:paraId="78629F7E">
                  <w:pPr>
                    <w:pStyle w:val="7"/>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重点防渗区：</w:t>
                  </w:r>
                  <w:r>
                    <w:rPr>
                      <w:rFonts w:hint="default" w:ascii="Times New Roman" w:hAnsi="Times New Roman" w:cs="Times New Roman"/>
                      <w:color w:val="auto"/>
                      <w:sz w:val="18"/>
                      <w:szCs w:val="18"/>
                      <w:highlight w:val="none"/>
                      <w:lang w:val="en-US" w:eastAsia="zh-CN"/>
                    </w:rPr>
                    <w:t>危险废物贮存点</w:t>
                  </w:r>
                  <w:r>
                    <w:rPr>
                      <w:rFonts w:hint="eastAsia" w:ascii="Times New Roman" w:hAnsi="Times New Roman" w:cs="Times New Roman"/>
                      <w:color w:val="auto"/>
                      <w:sz w:val="18"/>
                      <w:szCs w:val="18"/>
                      <w:highlight w:val="none"/>
                      <w:lang w:val="en-US" w:eastAsia="zh-CN"/>
                    </w:rPr>
                    <w:t>4m</w:t>
                  </w:r>
                  <w:r>
                    <w:rPr>
                      <w:rFonts w:hint="eastAsia" w:ascii="Times New Roman" w:hAnsi="Times New Roman" w:cs="Times New Roman"/>
                      <w:color w:val="auto"/>
                      <w:sz w:val="18"/>
                      <w:szCs w:val="18"/>
                      <w:highlight w:val="none"/>
                      <w:vertAlign w:val="superscript"/>
                      <w:lang w:val="en-US" w:eastAsia="zh-CN"/>
                    </w:rPr>
                    <w:t>2</w:t>
                  </w:r>
                  <w:r>
                    <w:rPr>
                      <w:rFonts w:hint="eastAsia"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防渗层</w:t>
                  </w:r>
                  <w:r>
                    <w:rPr>
                      <w:rFonts w:hint="eastAsia" w:ascii="Times New Roman" w:hAnsi="Times New Roman" w:eastAsia="宋体" w:cs="Times New Roman"/>
                      <w:color w:val="auto"/>
                      <w:sz w:val="18"/>
                      <w:szCs w:val="18"/>
                      <w:highlight w:val="none"/>
                      <w:lang w:val="en-US" w:eastAsia="zh-CN"/>
                    </w:rPr>
                    <w:t>采用</w:t>
                  </w:r>
                  <w:r>
                    <w:rPr>
                      <w:rFonts w:hint="default" w:ascii="Times New Roman" w:hAnsi="Times New Roman" w:eastAsia="宋体" w:cs="Times New Roman"/>
                      <w:color w:val="auto"/>
                      <w:sz w:val="18"/>
                      <w:szCs w:val="18"/>
                      <w:highlight w:val="none"/>
                      <w:lang w:val="en-US" w:eastAsia="zh-CN"/>
                    </w:rPr>
                    <w:t>2mm厚的防渗人工材</w:t>
                  </w:r>
                  <w:r>
                    <w:rPr>
                      <w:rFonts w:hint="default" w:ascii="Times New Roman" w:hAnsi="Times New Roman" w:eastAsia="宋体" w:cs="Times New Roman"/>
                      <w:color w:val="auto"/>
                      <w:kern w:val="2"/>
                      <w:sz w:val="18"/>
                      <w:szCs w:val="18"/>
                      <w:highlight w:val="none"/>
                      <w:lang w:val="en-US" w:eastAsia="zh-CN" w:bidi="ar-SA"/>
                    </w:rPr>
                    <w:t>料，</w:t>
                  </w:r>
                  <w:r>
                    <w:rPr>
                      <w:rFonts w:hint="eastAsia" w:ascii="Times New Roman" w:hAnsi="Times New Roman" w:cs="Times New Roman"/>
                      <w:color w:val="auto"/>
                      <w:kern w:val="2"/>
                      <w:sz w:val="18"/>
                      <w:szCs w:val="18"/>
                      <w:highlight w:val="none"/>
                      <w:lang w:val="en-US" w:eastAsia="zh-CN" w:bidi="ar-SA"/>
                    </w:rPr>
                    <w:t>地面与裙脚</w:t>
                  </w:r>
                  <w:r>
                    <w:rPr>
                      <w:rFonts w:hint="eastAsia" w:ascii="Times New Roman" w:hAnsi="Times New Roman" w:eastAsia="宋体" w:cs="Times New Roman"/>
                      <w:color w:val="auto"/>
                      <w:kern w:val="2"/>
                      <w:sz w:val="18"/>
                      <w:szCs w:val="18"/>
                      <w:highlight w:val="none"/>
                      <w:lang w:val="en-US" w:eastAsia="zh-CN" w:bidi="ar-SA"/>
                    </w:rPr>
                    <w:t>使用水泥硬化</w:t>
                  </w:r>
                  <w:r>
                    <w:rPr>
                      <w:rFonts w:hint="eastAsia" w:ascii="Times New Roman" w:hAnsi="Times New Roman" w:cs="Times New Roman"/>
                      <w:color w:val="auto"/>
                      <w:kern w:val="2"/>
                      <w:sz w:val="18"/>
                      <w:szCs w:val="18"/>
                      <w:highlight w:val="none"/>
                      <w:lang w:val="en-US" w:eastAsia="zh-CN" w:bidi="ar-SA"/>
                    </w:rPr>
                    <w:t>防渗处理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防渗系数≤10</w:t>
                  </w:r>
                  <w:r>
                    <w:rPr>
                      <w:rFonts w:hint="default" w:ascii="Times New Roman" w:hAnsi="Times New Roman" w:eastAsia="宋体" w:cs="Times New Roman"/>
                      <w:color w:val="auto"/>
                      <w:kern w:val="2"/>
                      <w:sz w:val="18"/>
                      <w:szCs w:val="18"/>
                      <w:highlight w:val="none"/>
                      <w:vertAlign w:val="superscript"/>
                      <w:lang w:val="en-US" w:eastAsia="zh-CN" w:bidi="ar-SA"/>
                    </w:rPr>
                    <w:t>-10</w:t>
                  </w:r>
                  <w:r>
                    <w:rPr>
                      <w:rFonts w:hint="default" w:ascii="Times New Roman" w:hAnsi="Times New Roman" w:eastAsia="宋体" w:cs="Times New Roman"/>
                      <w:color w:val="auto"/>
                      <w:kern w:val="2"/>
                      <w:sz w:val="18"/>
                      <w:szCs w:val="18"/>
                      <w:highlight w:val="none"/>
                      <w:lang w:val="en-US" w:eastAsia="zh-CN" w:bidi="ar-SA"/>
                    </w:rPr>
                    <w:t>cm/s。</w:t>
                  </w:r>
                </w:p>
                <w:p w14:paraId="2E2CB30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highlight w:val="none"/>
                      <w:lang w:val="en-US" w:eastAsia="zh-CN"/>
                    </w:rPr>
                  </w:pPr>
                  <w:r>
                    <w:rPr>
                      <w:rFonts w:hint="eastAsia" w:ascii="Times New Roman" w:hAnsi="Times New Roman" w:eastAsia="宋体" w:cs="Times New Roman"/>
                      <w:color w:val="auto"/>
                      <w:kern w:val="2"/>
                      <w:sz w:val="18"/>
                      <w:szCs w:val="18"/>
                      <w:highlight w:val="none"/>
                      <w:lang w:val="en-US" w:eastAsia="zh-CN" w:bidi="ar-SA"/>
                    </w:rPr>
                    <w:t>简单防渗区：</w:t>
                  </w:r>
                  <w:r>
                    <w:rPr>
                      <w:rFonts w:hint="default" w:ascii="Times New Roman" w:hAnsi="Times New Roman" w:eastAsia="宋体" w:cs="Times New Roman"/>
                      <w:color w:val="auto"/>
                      <w:kern w:val="2"/>
                      <w:sz w:val="18"/>
                      <w:szCs w:val="18"/>
                      <w:highlight w:val="none"/>
                      <w:lang w:val="en-US" w:eastAsia="zh-CN" w:bidi="ar-SA"/>
                    </w:rPr>
                    <w:t>车辆进出口及主要通道</w:t>
                  </w:r>
                  <w:r>
                    <w:rPr>
                      <w:rFonts w:hint="eastAsia" w:ascii="Times New Roman" w:hAnsi="Times New Roman" w:eastAsia="宋体" w:cs="Times New Roman"/>
                      <w:color w:val="auto"/>
                      <w:kern w:val="2"/>
                      <w:sz w:val="18"/>
                      <w:szCs w:val="18"/>
                      <w:highlight w:val="none"/>
                      <w:lang w:val="en-US" w:eastAsia="zh-CN" w:bidi="ar-SA"/>
                    </w:rPr>
                    <w:t>约1200m</w:t>
                  </w:r>
                  <w:r>
                    <w:rPr>
                      <w:rFonts w:hint="eastAsia" w:ascii="Times New Roman" w:hAnsi="Times New Roman" w:eastAsia="宋体" w:cs="Times New Roman"/>
                      <w:color w:val="auto"/>
                      <w:kern w:val="2"/>
                      <w:sz w:val="18"/>
                      <w:szCs w:val="18"/>
                      <w:highlight w:val="none"/>
                      <w:vertAlign w:val="superscript"/>
                      <w:lang w:val="en-US" w:eastAsia="zh-CN" w:bidi="ar-SA"/>
                    </w:rPr>
                    <w:t>2</w:t>
                  </w:r>
                  <w:r>
                    <w:rPr>
                      <w:rFonts w:hint="eastAsia" w:ascii="Times New Roman" w:hAnsi="Times New Roman" w:eastAsia="宋体" w:cs="Times New Roman"/>
                      <w:color w:val="auto"/>
                      <w:kern w:val="2"/>
                      <w:sz w:val="18"/>
                      <w:szCs w:val="18"/>
                      <w:highlight w:val="none"/>
                      <w:lang w:val="en-US" w:eastAsia="zh-CN" w:bidi="ar-SA"/>
                    </w:rPr>
                    <w:t>，采用</w:t>
                  </w:r>
                  <w:r>
                    <w:rPr>
                      <w:rFonts w:hint="default" w:ascii="Times New Roman" w:hAnsi="Times New Roman" w:eastAsia="宋体" w:cs="Times New Roman"/>
                      <w:color w:val="auto"/>
                      <w:kern w:val="2"/>
                      <w:sz w:val="18"/>
                      <w:szCs w:val="18"/>
                      <w:highlight w:val="none"/>
                      <w:lang w:val="en-US" w:eastAsia="zh-CN" w:bidi="ar-SA"/>
                    </w:rPr>
                    <w:t>水泥硬化</w:t>
                  </w:r>
                  <w:r>
                    <w:rPr>
                      <w:rFonts w:hint="eastAsia" w:ascii="Times New Roman" w:hAnsi="Times New Roman" w:eastAsia="宋体" w:cs="Times New Roman"/>
                      <w:color w:val="auto"/>
                      <w:kern w:val="2"/>
                      <w:sz w:val="18"/>
                      <w:szCs w:val="18"/>
                      <w:highlight w:val="none"/>
                      <w:lang w:val="en-US" w:eastAsia="zh-CN" w:bidi="ar-SA"/>
                    </w:rPr>
                    <w:t>。</w:t>
                  </w:r>
                </w:p>
              </w:tc>
              <w:tc>
                <w:tcPr>
                  <w:tcW w:w="501" w:type="pct"/>
                  <w:tcBorders>
                    <w:tl2br w:val="nil"/>
                    <w:tr2bl w:val="nil"/>
                  </w:tcBorders>
                  <w:vAlign w:val="center"/>
                </w:tcPr>
                <w:p w14:paraId="30C43753">
                  <w:pPr>
                    <w:pStyle w:val="36"/>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新建</w:t>
                  </w:r>
                </w:p>
              </w:tc>
            </w:tr>
          </w:tbl>
          <w:p w14:paraId="53F9266C">
            <w:pPr>
              <w:autoSpaceDE w:val="0"/>
              <w:autoSpaceDN w:val="0"/>
              <w:adjustRightInd w:val="0"/>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、主要设备</w:t>
            </w:r>
          </w:p>
          <w:p w14:paraId="00B7192F">
            <w:pPr>
              <w:autoSpaceDE w:val="0"/>
              <w:autoSpaceDN w:val="0"/>
              <w:adjustRightInd w:val="0"/>
              <w:spacing w:line="360" w:lineRule="auto"/>
              <w:ind w:firstLine="420" w:firstLineChars="200"/>
              <w:rPr>
                <w:rFonts w:hint="default" w:ascii="Times New Roman" w:hAnsi="Times New Roman" w:eastAsia="宋体" w:cs="Times New Roman"/>
                <w:b/>
                <w:bCs/>
                <w:color w:val="auto"/>
                <w:sz w:val="21"/>
                <w:szCs w:val="21"/>
                <w:highlight w:val="none"/>
              </w:rPr>
            </w:pPr>
            <w:r>
              <w:rPr>
                <w:rFonts w:hint="default" w:ascii="Times New Roman" w:hAnsi="Times New Roman" w:cs="Times New Roman"/>
                <w:color w:val="auto"/>
                <w:sz w:val="21"/>
                <w:szCs w:val="21"/>
                <w:highlight w:val="none"/>
              </w:rPr>
              <w:t>本项目主要设备清单见下表2-2。</w:t>
            </w:r>
          </w:p>
          <w:p w14:paraId="31FA1D1A">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表2-2设备明细一览表</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4174"/>
              <w:gridCol w:w="1094"/>
              <w:gridCol w:w="2050"/>
            </w:tblGrid>
            <w:tr w14:paraId="66E3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41E3618F">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rPr>
                    <w:t>序号</w:t>
                  </w:r>
                </w:p>
              </w:tc>
              <w:tc>
                <w:tcPr>
                  <w:tcW w:w="2446" w:type="pct"/>
                  <w:vAlign w:val="center"/>
                </w:tcPr>
                <w:p w14:paraId="4D6A4AE5">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rPr>
                    <w:t>名称</w:t>
                  </w:r>
                </w:p>
              </w:tc>
              <w:tc>
                <w:tcPr>
                  <w:tcW w:w="641" w:type="pct"/>
                  <w:vAlign w:val="center"/>
                </w:tcPr>
                <w:p w14:paraId="6C7397CE">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rPr>
                    <w:t>数量</w:t>
                  </w:r>
                </w:p>
              </w:tc>
              <w:tc>
                <w:tcPr>
                  <w:tcW w:w="1201" w:type="pct"/>
                  <w:vAlign w:val="center"/>
                </w:tcPr>
                <w:p w14:paraId="64DB79FD">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lang w:val="en-US"/>
                    </w:rPr>
                    <w:t>备注</w:t>
                  </w:r>
                </w:p>
              </w:tc>
            </w:tr>
            <w:tr w14:paraId="2F31C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1F27667B">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rPr>
                    <w:t>1</w:t>
                  </w:r>
                </w:p>
              </w:tc>
              <w:tc>
                <w:tcPr>
                  <w:tcW w:w="2446" w:type="pct"/>
                  <w:vAlign w:val="center"/>
                </w:tcPr>
                <w:p w14:paraId="652E671A">
                  <w:pPr>
                    <w:jc w:val="center"/>
                    <w:rPr>
                      <w:rStyle w:val="37"/>
                      <w:rFonts w:hint="default" w:ascii="Times New Roman" w:hAnsi="Times New Roman" w:cs="Times New Roman"/>
                      <w:color w:val="auto"/>
                      <w:sz w:val="18"/>
                      <w:szCs w:val="18"/>
                      <w:highlight w:val="none"/>
                    </w:rPr>
                  </w:pPr>
                  <w:r>
                    <w:rPr>
                      <w:rStyle w:val="37"/>
                      <w:rFonts w:hint="default" w:ascii="Times New Roman" w:hAnsi="Times New Roman" w:cs="Times New Roman"/>
                      <w:color w:val="auto"/>
                      <w:sz w:val="18"/>
                      <w:szCs w:val="18"/>
                      <w:highlight w:val="none"/>
                      <w:lang w:val="en-US"/>
                    </w:rPr>
                    <w:t>铲车</w:t>
                  </w:r>
                </w:p>
              </w:tc>
              <w:tc>
                <w:tcPr>
                  <w:tcW w:w="641" w:type="pct"/>
                  <w:vAlign w:val="center"/>
                </w:tcPr>
                <w:p w14:paraId="23968838">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2</w:t>
                  </w:r>
                  <w:r>
                    <w:rPr>
                      <w:rStyle w:val="37"/>
                      <w:rFonts w:hint="default" w:ascii="Times New Roman" w:hAnsi="Times New Roman" w:cs="Times New Roman"/>
                      <w:color w:val="auto"/>
                      <w:sz w:val="18"/>
                      <w:szCs w:val="18"/>
                      <w:highlight w:val="none"/>
                      <w:lang w:val="en-US"/>
                    </w:rPr>
                    <w:t>台</w:t>
                  </w:r>
                </w:p>
              </w:tc>
              <w:tc>
                <w:tcPr>
                  <w:tcW w:w="1201" w:type="pct"/>
                  <w:vAlign w:val="center"/>
                </w:tcPr>
                <w:p w14:paraId="06F9FC94">
                  <w:pPr>
                    <w:jc w:val="center"/>
                    <w:rPr>
                      <w:rStyle w:val="37"/>
                      <w:rFonts w:hint="default" w:ascii="Times New Roman" w:hAnsi="Times New Roman" w:cs="Times New Roman"/>
                      <w:color w:val="auto"/>
                      <w:sz w:val="18"/>
                      <w:szCs w:val="18"/>
                      <w:highlight w:val="none"/>
                      <w:lang w:val="en-US"/>
                    </w:rPr>
                  </w:pPr>
                  <w:r>
                    <w:rPr>
                      <w:rStyle w:val="37"/>
                      <w:rFonts w:hint="default" w:ascii="Times New Roman" w:hAnsi="Times New Roman" w:cs="Times New Roman"/>
                      <w:color w:val="auto"/>
                      <w:sz w:val="18"/>
                      <w:szCs w:val="18"/>
                      <w:highlight w:val="none"/>
                      <w:lang w:val="en-US"/>
                    </w:rPr>
                    <w:t>/</w:t>
                  </w:r>
                </w:p>
              </w:tc>
            </w:tr>
            <w:tr w14:paraId="7A649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01B73962">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2</w:t>
                  </w:r>
                </w:p>
              </w:tc>
              <w:tc>
                <w:tcPr>
                  <w:tcW w:w="2446" w:type="pct"/>
                  <w:vAlign w:val="center"/>
                </w:tcPr>
                <w:p w14:paraId="1166AFB7">
                  <w:pPr>
                    <w:jc w:val="center"/>
                    <w:rPr>
                      <w:rStyle w:val="37"/>
                      <w:rFonts w:hint="default" w:ascii="Times New Roman" w:hAnsi="Times New Roman" w:cs="Times New Roman"/>
                      <w:color w:val="auto"/>
                      <w:sz w:val="18"/>
                      <w:szCs w:val="18"/>
                      <w:highlight w:val="none"/>
                      <w:lang w:val="en-US"/>
                    </w:rPr>
                  </w:pPr>
                  <w:r>
                    <w:rPr>
                      <w:rStyle w:val="37"/>
                      <w:rFonts w:hint="default" w:ascii="Times New Roman" w:hAnsi="Times New Roman" w:cs="Times New Roman"/>
                      <w:color w:val="auto"/>
                      <w:sz w:val="18"/>
                      <w:szCs w:val="18"/>
                      <w:highlight w:val="none"/>
                      <w:lang w:val="en-US"/>
                    </w:rPr>
                    <w:t>水泵</w:t>
                  </w:r>
                </w:p>
              </w:tc>
              <w:tc>
                <w:tcPr>
                  <w:tcW w:w="641" w:type="pct"/>
                  <w:vAlign w:val="center"/>
                </w:tcPr>
                <w:p w14:paraId="09671B8A">
                  <w:pPr>
                    <w:jc w:val="center"/>
                    <w:rPr>
                      <w:rStyle w:val="37"/>
                      <w:rFonts w:hint="default" w:ascii="Times New Roman" w:hAnsi="Times New Roman" w:cs="Times New Roman"/>
                      <w:color w:val="auto"/>
                      <w:sz w:val="18"/>
                      <w:szCs w:val="18"/>
                      <w:highlight w:val="none"/>
                      <w:lang w:val="en-US"/>
                    </w:rPr>
                  </w:pPr>
                  <w:r>
                    <w:rPr>
                      <w:rStyle w:val="37"/>
                      <w:rFonts w:hint="default" w:ascii="Times New Roman" w:hAnsi="Times New Roman" w:cs="Times New Roman"/>
                      <w:color w:val="auto"/>
                      <w:sz w:val="18"/>
                      <w:szCs w:val="18"/>
                      <w:highlight w:val="none"/>
                      <w:lang w:val="en-US"/>
                    </w:rPr>
                    <w:t>1台</w:t>
                  </w:r>
                </w:p>
              </w:tc>
              <w:tc>
                <w:tcPr>
                  <w:tcW w:w="1201" w:type="pct"/>
                  <w:vAlign w:val="center"/>
                </w:tcPr>
                <w:p w14:paraId="486FA3AF">
                  <w:pPr>
                    <w:jc w:val="center"/>
                    <w:rPr>
                      <w:rStyle w:val="37"/>
                      <w:rFonts w:hint="default" w:ascii="Times New Roman" w:hAnsi="Times New Roman" w:cs="Times New Roman"/>
                      <w:color w:val="auto"/>
                      <w:sz w:val="18"/>
                      <w:szCs w:val="18"/>
                      <w:highlight w:val="none"/>
                      <w:lang w:val="en-US"/>
                    </w:rPr>
                  </w:pPr>
                  <w:r>
                    <w:rPr>
                      <w:rStyle w:val="37"/>
                      <w:rFonts w:hint="default" w:ascii="Times New Roman" w:hAnsi="Times New Roman" w:cs="Times New Roman"/>
                      <w:color w:val="auto"/>
                      <w:sz w:val="18"/>
                      <w:szCs w:val="18"/>
                      <w:highlight w:val="none"/>
                      <w:lang w:val="en-US"/>
                    </w:rPr>
                    <w:t>/</w:t>
                  </w:r>
                </w:p>
              </w:tc>
            </w:tr>
            <w:tr w14:paraId="5B2E7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10D33353">
                  <w:pPr>
                    <w:jc w:val="center"/>
                    <w:rPr>
                      <w:rStyle w:val="37"/>
                      <w:rFonts w:hint="default" w:cs="Times New Roman"/>
                      <w:color w:val="auto"/>
                      <w:sz w:val="18"/>
                      <w:szCs w:val="18"/>
                      <w:highlight w:val="none"/>
                      <w:lang w:val="en-US"/>
                    </w:rPr>
                  </w:pPr>
                  <w:r>
                    <w:rPr>
                      <w:rStyle w:val="37"/>
                      <w:rFonts w:hint="eastAsia" w:cs="Times New Roman"/>
                      <w:color w:val="auto"/>
                      <w:sz w:val="18"/>
                      <w:szCs w:val="18"/>
                      <w:highlight w:val="none"/>
                      <w:lang w:val="en-US"/>
                    </w:rPr>
                    <w:t>3</w:t>
                  </w:r>
                </w:p>
              </w:tc>
              <w:tc>
                <w:tcPr>
                  <w:tcW w:w="2446" w:type="pct"/>
                  <w:vAlign w:val="center"/>
                </w:tcPr>
                <w:p w14:paraId="479D5A42">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防风抑尘网（</w:t>
                  </w:r>
                  <w:r>
                    <w:rPr>
                      <w:rFonts w:hint="eastAsia" w:cs="Times New Roman"/>
                      <w:color w:val="auto"/>
                      <w:sz w:val="18"/>
                      <w:szCs w:val="18"/>
                      <w:highlight w:val="none"/>
                      <w:lang w:val="en-US" w:eastAsia="zh-CN"/>
                    </w:rPr>
                    <w:t>金属材质、</w:t>
                  </w:r>
                  <w:r>
                    <w:rPr>
                      <w:rFonts w:hint="default" w:ascii="Times New Roman" w:hAnsi="Times New Roman" w:cs="Times New Roman"/>
                      <w:color w:val="auto"/>
                      <w:sz w:val="18"/>
                      <w:szCs w:val="18"/>
                      <w:highlight w:val="none"/>
                      <w:lang w:val="en-US" w:eastAsia="zh-CN"/>
                    </w:rPr>
                    <w:t>孔隙率5</w:t>
                  </w:r>
                  <w:r>
                    <w:rPr>
                      <w:rFonts w:hint="default"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w:t>
                  </w:r>
                  <w:r>
                    <w:rPr>
                      <w:rStyle w:val="37"/>
                      <w:rFonts w:hint="eastAsia" w:cs="Times New Roman"/>
                      <w:color w:val="auto"/>
                      <w:sz w:val="18"/>
                      <w:szCs w:val="18"/>
                      <w:highlight w:val="none"/>
                      <w:lang w:val="en-US"/>
                    </w:rPr>
                    <w:t>）</w:t>
                  </w:r>
                </w:p>
              </w:tc>
              <w:tc>
                <w:tcPr>
                  <w:tcW w:w="641" w:type="pct"/>
                  <w:vAlign w:val="center"/>
                </w:tcPr>
                <w:p w14:paraId="346E04CC">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高4m、长435m</w:t>
                  </w:r>
                </w:p>
              </w:tc>
              <w:tc>
                <w:tcPr>
                  <w:tcW w:w="1201" w:type="pct"/>
                  <w:vAlign w:val="center"/>
                </w:tcPr>
                <w:p w14:paraId="429D6177">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w:t>
                  </w:r>
                </w:p>
              </w:tc>
            </w:tr>
            <w:tr w14:paraId="6946D4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79D04958">
                  <w:pPr>
                    <w:jc w:val="center"/>
                    <w:rPr>
                      <w:rStyle w:val="37"/>
                      <w:rFonts w:hint="default" w:cs="Times New Roman"/>
                      <w:color w:val="auto"/>
                      <w:sz w:val="18"/>
                      <w:szCs w:val="18"/>
                      <w:highlight w:val="none"/>
                      <w:lang w:val="en-US"/>
                    </w:rPr>
                  </w:pPr>
                  <w:r>
                    <w:rPr>
                      <w:rStyle w:val="37"/>
                      <w:rFonts w:hint="eastAsia" w:cs="Times New Roman"/>
                      <w:color w:val="auto"/>
                      <w:sz w:val="18"/>
                      <w:szCs w:val="18"/>
                      <w:highlight w:val="none"/>
                      <w:lang w:val="en-US"/>
                    </w:rPr>
                    <w:t>4</w:t>
                  </w:r>
                </w:p>
              </w:tc>
              <w:tc>
                <w:tcPr>
                  <w:tcW w:w="2446" w:type="pct"/>
                  <w:vAlign w:val="center"/>
                </w:tcPr>
                <w:p w14:paraId="6131E6EB">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喷雾装置</w:t>
                  </w:r>
                </w:p>
              </w:tc>
              <w:tc>
                <w:tcPr>
                  <w:tcW w:w="641" w:type="pct"/>
                  <w:vAlign w:val="center"/>
                </w:tcPr>
                <w:p w14:paraId="1124D58E">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1台</w:t>
                  </w:r>
                </w:p>
              </w:tc>
              <w:tc>
                <w:tcPr>
                  <w:tcW w:w="1201" w:type="pct"/>
                  <w:vAlign w:val="center"/>
                </w:tcPr>
                <w:p w14:paraId="7106A2F8">
                  <w:pPr>
                    <w:jc w:val="center"/>
                    <w:rPr>
                      <w:rStyle w:val="37"/>
                      <w:rFonts w:hint="default" w:ascii="Times New Roman" w:hAnsi="Times New Roman" w:cs="Times New Roman"/>
                      <w:color w:val="auto"/>
                      <w:sz w:val="18"/>
                      <w:szCs w:val="18"/>
                      <w:highlight w:val="none"/>
                      <w:lang w:val="en-US"/>
                    </w:rPr>
                  </w:pPr>
                  <w:r>
                    <w:rPr>
                      <w:rStyle w:val="37"/>
                      <w:rFonts w:hint="eastAsia" w:cs="Times New Roman"/>
                      <w:color w:val="auto"/>
                      <w:sz w:val="18"/>
                      <w:szCs w:val="18"/>
                      <w:highlight w:val="none"/>
                      <w:lang w:val="en-US"/>
                    </w:rPr>
                    <w:t>/</w:t>
                  </w:r>
                </w:p>
              </w:tc>
            </w:tr>
            <w:tr w14:paraId="40571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1" w:type="pct"/>
                  <w:vAlign w:val="center"/>
                </w:tcPr>
                <w:p w14:paraId="580D67E9">
                  <w:pPr>
                    <w:jc w:val="center"/>
                    <w:rPr>
                      <w:rStyle w:val="37"/>
                      <w:rFonts w:hint="default" w:cs="Times New Roman"/>
                      <w:color w:val="auto"/>
                      <w:sz w:val="18"/>
                      <w:szCs w:val="18"/>
                      <w:highlight w:val="none"/>
                      <w:lang w:val="en-US"/>
                    </w:rPr>
                  </w:pPr>
                  <w:r>
                    <w:rPr>
                      <w:rStyle w:val="37"/>
                      <w:rFonts w:hint="eastAsia" w:cs="Times New Roman"/>
                      <w:color w:val="auto"/>
                      <w:sz w:val="18"/>
                      <w:szCs w:val="18"/>
                      <w:highlight w:val="none"/>
                      <w:lang w:val="en-US"/>
                    </w:rPr>
                    <w:t>5</w:t>
                  </w:r>
                </w:p>
              </w:tc>
              <w:tc>
                <w:tcPr>
                  <w:tcW w:w="2446" w:type="pct"/>
                  <w:vAlign w:val="center"/>
                </w:tcPr>
                <w:p w14:paraId="325E4716">
                  <w:pPr>
                    <w:jc w:val="center"/>
                    <w:rPr>
                      <w:rStyle w:val="37"/>
                      <w:rFonts w:hint="default" w:cs="Times New Roman"/>
                      <w:color w:val="auto"/>
                      <w:sz w:val="18"/>
                      <w:szCs w:val="18"/>
                      <w:highlight w:val="none"/>
                      <w:lang w:val="en-US"/>
                    </w:rPr>
                  </w:pPr>
                  <w:r>
                    <w:rPr>
                      <w:rStyle w:val="37"/>
                      <w:rFonts w:hint="eastAsia" w:cs="Times New Roman"/>
                      <w:color w:val="auto"/>
                      <w:sz w:val="18"/>
                      <w:szCs w:val="18"/>
                      <w:highlight w:val="none"/>
                      <w:lang w:val="en-US"/>
                    </w:rPr>
                    <w:t>高压水枪</w:t>
                  </w:r>
                </w:p>
              </w:tc>
              <w:tc>
                <w:tcPr>
                  <w:tcW w:w="641" w:type="pct"/>
                  <w:vAlign w:val="center"/>
                </w:tcPr>
                <w:p w14:paraId="590D52A7">
                  <w:pPr>
                    <w:jc w:val="center"/>
                    <w:rPr>
                      <w:rStyle w:val="37"/>
                      <w:rFonts w:hint="default" w:cs="Times New Roman"/>
                      <w:color w:val="auto"/>
                      <w:sz w:val="18"/>
                      <w:szCs w:val="18"/>
                      <w:highlight w:val="none"/>
                      <w:lang w:val="en-US"/>
                    </w:rPr>
                  </w:pPr>
                  <w:r>
                    <w:rPr>
                      <w:rStyle w:val="37"/>
                      <w:rFonts w:hint="eastAsia" w:cs="Times New Roman"/>
                      <w:color w:val="auto"/>
                      <w:sz w:val="18"/>
                      <w:szCs w:val="18"/>
                      <w:highlight w:val="none"/>
                      <w:lang w:val="en-US"/>
                    </w:rPr>
                    <w:t>1个</w:t>
                  </w:r>
                </w:p>
              </w:tc>
              <w:tc>
                <w:tcPr>
                  <w:tcW w:w="1201" w:type="pct"/>
                  <w:vAlign w:val="center"/>
                </w:tcPr>
                <w:p w14:paraId="712D5E80">
                  <w:pPr>
                    <w:jc w:val="center"/>
                    <w:rPr>
                      <w:rStyle w:val="37"/>
                      <w:rFonts w:hint="eastAsia" w:cs="Times New Roman"/>
                      <w:color w:val="auto"/>
                      <w:sz w:val="18"/>
                      <w:szCs w:val="18"/>
                      <w:highlight w:val="none"/>
                      <w:lang w:val="en-US"/>
                    </w:rPr>
                  </w:pPr>
                </w:p>
              </w:tc>
            </w:tr>
          </w:tbl>
          <w:p w14:paraId="3B22CA5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4、</w:t>
            </w:r>
            <w:r>
              <w:rPr>
                <w:rFonts w:hint="eastAsia" w:ascii="Times New Roman" w:hAnsi="Times New Roman" w:eastAsia="宋体" w:cs="Times New Roman"/>
                <w:b/>
                <w:bCs/>
                <w:color w:val="auto"/>
                <w:sz w:val="21"/>
                <w:szCs w:val="21"/>
                <w:highlight w:val="none"/>
              </w:rPr>
              <w:t>存储方案</w:t>
            </w:r>
          </w:p>
          <w:p w14:paraId="2A679A7E">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本项目煤炭主要来源于恒山区周边煤矿，在储购前，煤矿已对煤质进行化验，本项目不收储不符合煤炭产业政策的高硫煤、劣质煤等，严格遵守《商品煤质量管理暂行办法》，</w:t>
            </w:r>
            <w:r>
              <w:rPr>
                <w:rFonts w:hint="eastAsia" w:ascii="Times New Roman" w:hAnsi="Times New Roman" w:eastAsia="宋体" w:cs="Times New Roman"/>
                <w:color w:val="auto"/>
                <w:sz w:val="21"/>
                <w:szCs w:val="21"/>
                <w:highlight w:val="none"/>
              </w:rPr>
              <w:t>产品方案详见表2-</w:t>
            </w: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rPr>
              <w:t>。</w:t>
            </w:r>
          </w:p>
          <w:p w14:paraId="79F13A7C">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表2-</w:t>
            </w:r>
            <w:r>
              <w:rPr>
                <w:rFonts w:hint="eastAsia" w:ascii="Times New Roman" w:hAnsi="Times New Roman" w:eastAsia="宋体" w:cs="Times New Roman"/>
                <w:b/>
                <w:bCs/>
                <w:color w:val="auto"/>
                <w:sz w:val="21"/>
                <w:szCs w:val="21"/>
                <w:highlight w:val="none"/>
                <w:lang w:val="en-US" w:eastAsia="zh-CN"/>
              </w:rPr>
              <w:t>3</w:t>
            </w:r>
            <w:r>
              <w:rPr>
                <w:rFonts w:hint="eastAsia" w:ascii="Times New Roman" w:hAnsi="Times New Roman" w:eastAsia="宋体" w:cs="Times New Roman"/>
                <w:b/>
                <w:bCs/>
                <w:color w:val="auto"/>
                <w:sz w:val="21"/>
                <w:szCs w:val="21"/>
                <w:highlight w:val="none"/>
              </w:rPr>
              <w:t xml:space="preserve"> 本项目产品方案一览表</w:t>
            </w:r>
          </w:p>
          <w:tbl>
            <w:tblPr>
              <w:tblStyle w:val="24"/>
              <w:tblW w:w="85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31"/>
              <w:gridCol w:w="1694"/>
              <w:gridCol w:w="1123"/>
              <w:gridCol w:w="1455"/>
              <w:gridCol w:w="1830"/>
              <w:gridCol w:w="1624"/>
            </w:tblGrid>
            <w:tr w14:paraId="1B6B5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831" w:type="dxa"/>
                  <w:tcBorders>
                    <w:tl2br w:val="nil"/>
                    <w:tr2bl w:val="nil"/>
                  </w:tcBorders>
                  <w:vAlign w:val="center"/>
                </w:tcPr>
                <w:p w14:paraId="29005A46">
                  <w:pPr>
                    <w:jc w:val="center"/>
                    <w:rPr>
                      <w:rStyle w:val="37"/>
                      <w:rFonts w:hint="default" w:ascii="Times New Roman" w:hAnsi="Times New Roman" w:eastAsia="宋体" w:cs="Times New Roman"/>
                      <w:color w:val="auto"/>
                      <w:sz w:val="18"/>
                      <w:szCs w:val="18"/>
                      <w:highlight w:val="none"/>
                    </w:rPr>
                  </w:pPr>
                  <w:r>
                    <w:rPr>
                      <w:rStyle w:val="37"/>
                      <w:rFonts w:hint="default" w:ascii="Times New Roman" w:hAnsi="Times New Roman" w:eastAsia="宋体" w:cs="Times New Roman"/>
                      <w:color w:val="auto"/>
                      <w:sz w:val="18"/>
                      <w:szCs w:val="18"/>
                      <w:highlight w:val="none"/>
                    </w:rPr>
                    <w:t>序号</w:t>
                  </w:r>
                </w:p>
              </w:tc>
              <w:tc>
                <w:tcPr>
                  <w:tcW w:w="1694" w:type="dxa"/>
                  <w:tcBorders>
                    <w:tl2br w:val="nil"/>
                    <w:tr2bl w:val="nil"/>
                  </w:tcBorders>
                  <w:vAlign w:val="center"/>
                </w:tcPr>
                <w:p w14:paraId="1B06B4E8">
                  <w:pPr>
                    <w:jc w:val="center"/>
                    <w:rPr>
                      <w:rStyle w:val="37"/>
                      <w:rFonts w:hint="default" w:ascii="Times New Roman" w:hAnsi="Times New Roman" w:eastAsia="宋体" w:cs="Times New Roman"/>
                      <w:color w:val="auto"/>
                      <w:sz w:val="18"/>
                      <w:szCs w:val="18"/>
                      <w:highlight w:val="none"/>
                    </w:rPr>
                  </w:pPr>
                  <w:r>
                    <w:rPr>
                      <w:rStyle w:val="37"/>
                      <w:rFonts w:hint="default" w:ascii="Times New Roman" w:hAnsi="Times New Roman" w:eastAsia="宋体" w:cs="Times New Roman"/>
                      <w:color w:val="auto"/>
                      <w:sz w:val="18"/>
                      <w:szCs w:val="18"/>
                      <w:highlight w:val="none"/>
                    </w:rPr>
                    <w:t>名称</w:t>
                  </w:r>
                </w:p>
              </w:tc>
              <w:tc>
                <w:tcPr>
                  <w:tcW w:w="1123" w:type="dxa"/>
                  <w:tcBorders>
                    <w:tl2br w:val="nil"/>
                    <w:tr2bl w:val="nil"/>
                  </w:tcBorders>
                  <w:vAlign w:val="center"/>
                </w:tcPr>
                <w:p w14:paraId="0839C499">
                  <w:pPr>
                    <w:jc w:val="center"/>
                    <w:rPr>
                      <w:rStyle w:val="37"/>
                      <w:rFonts w:hint="default" w:ascii="Times New Roman" w:hAnsi="Times New Roman" w:eastAsia="宋体" w:cs="Times New Roman"/>
                      <w:color w:val="auto"/>
                      <w:sz w:val="18"/>
                      <w:szCs w:val="18"/>
                      <w:highlight w:val="none"/>
                    </w:rPr>
                  </w:pPr>
                  <w:r>
                    <w:rPr>
                      <w:rStyle w:val="37"/>
                      <w:rFonts w:hint="default" w:ascii="Times New Roman" w:hAnsi="Times New Roman" w:eastAsia="宋体" w:cs="Times New Roman"/>
                      <w:color w:val="auto"/>
                      <w:sz w:val="18"/>
                      <w:szCs w:val="18"/>
                      <w:highlight w:val="none"/>
                    </w:rPr>
                    <w:t>单位</w:t>
                  </w:r>
                </w:p>
              </w:tc>
              <w:tc>
                <w:tcPr>
                  <w:tcW w:w="1455" w:type="dxa"/>
                  <w:tcBorders>
                    <w:tl2br w:val="nil"/>
                    <w:tr2bl w:val="nil"/>
                  </w:tcBorders>
                  <w:vAlign w:val="center"/>
                </w:tcPr>
                <w:p w14:paraId="0D1BAB3C">
                  <w:pPr>
                    <w:jc w:val="center"/>
                    <w:rPr>
                      <w:rStyle w:val="37"/>
                      <w:rFonts w:hint="default" w:ascii="Times New Roman" w:hAnsi="Times New Roman" w:eastAsia="宋体" w:cs="Times New Roman"/>
                      <w:color w:val="auto"/>
                      <w:sz w:val="18"/>
                      <w:szCs w:val="18"/>
                      <w:highlight w:val="none"/>
                      <w:lang w:val="en-US" w:eastAsia="zh-CN"/>
                    </w:rPr>
                  </w:pPr>
                  <w:r>
                    <w:rPr>
                      <w:rStyle w:val="37"/>
                      <w:rFonts w:hint="eastAsia" w:ascii="Times New Roman" w:hAnsi="Times New Roman" w:eastAsia="宋体" w:cs="Times New Roman"/>
                      <w:color w:val="auto"/>
                      <w:sz w:val="18"/>
                      <w:szCs w:val="18"/>
                      <w:highlight w:val="none"/>
                      <w:lang w:val="en-US" w:eastAsia="zh-CN"/>
                    </w:rPr>
                    <w:t>转运量</w:t>
                  </w:r>
                </w:p>
              </w:tc>
              <w:tc>
                <w:tcPr>
                  <w:tcW w:w="1830" w:type="dxa"/>
                  <w:tcBorders>
                    <w:tl2br w:val="nil"/>
                    <w:tr2bl w:val="nil"/>
                  </w:tcBorders>
                  <w:vAlign w:val="center"/>
                </w:tcPr>
                <w:p w14:paraId="4673C60E">
                  <w:pPr>
                    <w:jc w:val="center"/>
                    <w:rPr>
                      <w:rStyle w:val="37"/>
                      <w:rFonts w:hint="default" w:ascii="Times New Roman" w:hAnsi="Times New Roman" w:eastAsia="宋体" w:cs="Times New Roman"/>
                      <w:color w:val="auto"/>
                      <w:sz w:val="18"/>
                      <w:szCs w:val="18"/>
                      <w:highlight w:val="none"/>
                    </w:rPr>
                  </w:pPr>
                  <w:r>
                    <w:rPr>
                      <w:rStyle w:val="37"/>
                      <w:rFonts w:hint="eastAsia" w:ascii="Times New Roman" w:hAnsi="Times New Roman" w:eastAsia="宋体" w:cs="Times New Roman"/>
                      <w:color w:val="auto"/>
                      <w:sz w:val="18"/>
                      <w:szCs w:val="18"/>
                      <w:highlight w:val="none"/>
                    </w:rPr>
                    <w:t>储存</w:t>
                  </w:r>
                </w:p>
              </w:tc>
              <w:tc>
                <w:tcPr>
                  <w:tcW w:w="1624" w:type="dxa"/>
                  <w:tcBorders>
                    <w:tl2br w:val="nil"/>
                    <w:tr2bl w:val="nil"/>
                  </w:tcBorders>
                  <w:vAlign w:val="center"/>
                </w:tcPr>
                <w:p w14:paraId="5272CF9B">
                  <w:pPr>
                    <w:jc w:val="center"/>
                    <w:rPr>
                      <w:rStyle w:val="37"/>
                      <w:rFonts w:hint="default" w:ascii="Times New Roman" w:hAnsi="Times New Roman" w:eastAsia="宋体" w:cs="Times New Roman"/>
                      <w:color w:val="auto"/>
                      <w:sz w:val="18"/>
                      <w:szCs w:val="18"/>
                      <w:highlight w:val="none"/>
                    </w:rPr>
                  </w:pPr>
                  <w:r>
                    <w:rPr>
                      <w:rStyle w:val="37"/>
                      <w:rFonts w:hint="default" w:ascii="Times New Roman" w:hAnsi="Times New Roman" w:eastAsia="宋体" w:cs="Times New Roman"/>
                      <w:color w:val="auto"/>
                      <w:sz w:val="18"/>
                      <w:szCs w:val="18"/>
                      <w:highlight w:val="none"/>
                    </w:rPr>
                    <w:t>备注</w:t>
                  </w:r>
                </w:p>
              </w:tc>
            </w:tr>
            <w:tr w14:paraId="5B538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29" w:hRule="atLeast"/>
                <w:jc w:val="center"/>
              </w:trPr>
              <w:tc>
                <w:tcPr>
                  <w:tcW w:w="831" w:type="dxa"/>
                  <w:tcBorders>
                    <w:tl2br w:val="nil"/>
                    <w:tr2bl w:val="nil"/>
                  </w:tcBorders>
                  <w:vAlign w:val="center"/>
                </w:tcPr>
                <w:p w14:paraId="0A5550B4">
                  <w:pPr>
                    <w:jc w:val="center"/>
                    <w:rPr>
                      <w:rStyle w:val="37"/>
                      <w:rFonts w:hint="eastAsia" w:ascii="Times New Roman" w:hAnsi="Times New Roman" w:eastAsia="宋体" w:cs="Times New Roman"/>
                      <w:color w:val="auto"/>
                      <w:sz w:val="18"/>
                      <w:szCs w:val="18"/>
                      <w:highlight w:val="none"/>
                    </w:rPr>
                  </w:pPr>
                  <w:r>
                    <w:rPr>
                      <w:rStyle w:val="37"/>
                      <w:rFonts w:hint="eastAsia" w:ascii="Times New Roman" w:hAnsi="Times New Roman" w:eastAsia="宋体" w:cs="Times New Roman"/>
                      <w:color w:val="auto"/>
                      <w:sz w:val="18"/>
                      <w:szCs w:val="18"/>
                      <w:highlight w:val="none"/>
                    </w:rPr>
                    <w:t>1</w:t>
                  </w:r>
                </w:p>
              </w:tc>
              <w:tc>
                <w:tcPr>
                  <w:tcW w:w="1694" w:type="dxa"/>
                  <w:tcBorders>
                    <w:tl2br w:val="nil"/>
                    <w:tr2bl w:val="nil"/>
                  </w:tcBorders>
                  <w:vAlign w:val="center"/>
                </w:tcPr>
                <w:p w14:paraId="38E2AA23">
                  <w:pPr>
                    <w:jc w:val="center"/>
                    <w:rPr>
                      <w:rStyle w:val="37"/>
                      <w:rFonts w:hint="eastAsia" w:ascii="Times New Roman" w:hAnsi="Times New Roman" w:eastAsia="宋体" w:cs="Times New Roman"/>
                      <w:color w:val="auto"/>
                      <w:sz w:val="18"/>
                      <w:szCs w:val="18"/>
                      <w:highlight w:val="none"/>
                    </w:rPr>
                  </w:pPr>
                  <w:r>
                    <w:rPr>
                      <w:rStyle w:val="37"/>
                      <w:rFonts w:hint="eastAsia" w:ascii="Times New Roman" w:hAnsi="Times New Roman" w:eastAsia="宋体" w:cs="Times New Roman"/>
                      <w:color w:val="auto"/>
                      <w:sz w:val="18"/>
                      <w:szCs w:val="18"/>
                      <w:highlight w:val="none"/>
                    </w:rPr>
                    <w:t>煤炭</w:t>
                  </w:r>
                </w:p>
              </w:tc>
              <w:tc>
                <w:tcPr>
                  <w:tcW w:w="1123" w:type="dxa"/>
                  <w:tcBorders>
                    <w:tl2br w:val="nil"/>
                    <w:tr2bl w:val="nil"/>
                  </w:tcBorders>
                  <w:vAlign w:val="center"/>
                </w:tcPr>
                <w:p w14:paraId="6BC10940">
                  <w:pPr>
                    <w:jc w:val="center"/>
                    <w:rPr>
                      <w:rStyle w:val="37"/>
                      <w:rFonts w:hint="default" w:ascii="Times New Roman" w:hAnsi="Times New Roman" w:eastAsia="宋体" w:cs="Times New Roman"/>
                      <w:color w:val="auto"/>
                      <w:sz w:val="18"/>
                      <w:szCs w:val="18"/>
                      <w:highlight w:val="none"/>
                      <w:lang w:val="en-US"/>
                    </w:rPr>
                  </w:pPr>
                  <w:r>
                    <w:rPr>
                      <w:rStyle w:val="37"/>
                      <w:rFonts w:hint="eastAsia" w:ascii="Times New Roman" w:hAnsi="Times New Roman" w:eastAsia="宋体" w:cs="Times New Roman"/>
                      <w:color w:val="auto"/>
                      <w:sz w:val="18"/>
                      <w:szCs w:val="18"/>
                      <w:highlight w:val="none"/>
                      <w:lang w:val="en-US"/>
                    </w:rPr>
                    <w:t>t/a</w:t>
                  </w:r>
                </w:p>
              </w:tc>
              <w:tc>
                <w:tcPr>
                  <w:tcW w:w="1455" w:type="dxa"/>
                  <w:tcBorders>
                    <w:tl2br w:val="nil"/>
                    <w:tr2bl w:val="nil"/>
                  </w:tcBorders>
                  <w:vAlign w:val="center"/>
                </w:tcPr>
                <w:p w14:paraId="21E9F636">
                  <w:pPr>
                    <w:jc w:val="center"/>
                    <w:rPr>
                      <w:rStyle w:val="37"/>
                      <w:rFonts w:hint="default" w:ascii="Times New Roman" w:hAnsi="Times New Roman" w:eastAsia="宋体" w:cs="Times New Roman"/>
                      <w:color w:val="auto"/>
                      <w:sz w:val="18"/>
                      <w:szCs w:val="18"/>
                      <w:highlight w:val="none"/>
                      <w:lang w:val="en-US" w:eastAsia="zh-CN"/>
                    </w:rPr>
                  </w:pPr>
                  <w:r>
                    <w:rPr>
                      <w:rStyle w:val="37"/>
                      <w:rFonts w:hint="eastAsia" w:ascii="Times New Roman" w:hAnsi="Times New Roman" w:eastAsia="宋体" w:cs="Times New Roman"/>
                      <w:color w:val="auto"/>
                      <w:sz w:val="18"/>
                      <w:szCs w:val="18"/>
                      <w:highlight w:val="none"/>
                      <w:lang w:val="en-US" w:eastAsia="zh-CN"/>
                    </w:rPr>
                    <w:t>100000</w:t>
                  </w:r>
                </w:p>
              </w:tc>
              <w:tc>
                <w:tcPr>
                  <w:tcW w:w="1830" w:type="dxa"/>
                  <w:tcBorders>
                    <w:tl2br w:val="nil"/>
                    <w:tr2bl w:val="nil"/>
                  </w:tcBorders>
                  <w:vAlign w:val="center"/>
                </w:tcPr>
                <w:p w14:paraId="037EB723">
                  <w:pPr>
                    <w:jc w:val="center"/>
                    <w:rPr>
                      <w:rStyle w:val="37"/>
                      <w:rFonts w:hint="eastAsia" w:ascii="Times New Roman" w:hAnsi="Times New Roman" w:eastAsia="宋体" w:cs="Times New Roman"/>
                      <w:color w:val="auto"/>
                      <w:sz w:val="18"/>
                      <w:szCs w:val="18"/>
                      <w:highlight w:val="none"/>
                    </w:rPr>
                  </w:pPr>
                  <w:r>
                    <w:rPr>
                      <w:rStyle w:val="37"/>
                      <w:rFonts w:hint="eastAsia" w:ascii="Times New Roman" w:hAnsi="Times New Roman" w:eastAsia="宋体" w:cs="Times New Roman"/>
                      <w:color w:val="auto"/>
                      <w:sz w:val="18"/>
                      <w:szCs w:val="18"/>
                      <w:highlight w:val="none"/>
                    </w:rPr>
                    <w:t>煤炭堆场</w:t>
                  </w:r>
                </w:p>
              </w:tc>
              <w:tc>
                <w:tcPr>
                  <w:tcW w:w="1624" w:type="dxa"/>
                  <w:tcBorders>
                    <w:tl2br w:val="nil"/>
                    <w:tr2bl w:val="nil"/>
                  </w:tcBorders>
                  <w:vAlign w:val="center"/>
                </w:tcPr>
                <w:p w14:paraId="55C324AF">
                  <w:pPr>
                    <w:jc w:val="center"/>
                    <w:rPr>
                      <w:rStyle w:val="37"/>
                      <w:rFonts w:hint="default" w:ascii="Times New Roman" w:hAnsi="Times New Roman" w:eastAsia="宋体" w:cs="Times New Roman"/>
                      <w:color w:val="auto"/>
                      <w:sz w:val="18"/>
                      <w:szCs w:val="18"/>
                      <w:highlight w:val="none"/>
                      <w:lang w:val="en-US" w:eastAsia="zh-CN"/>
                    </w:rPr>
                  </w:pPr>
                  <w:r>
                    <w:rPr>
                      <w:rStyle w:val="37"/>
                      <w:rFonts w:hint="eastAsia" w:cs="Times New Roman"/>
                      <w:color w:val="auto"/>
                      <w:sz w:val="18"/>
                      <w:szCs w:val="18"/>
                      <w:highlight w:val="none"/>
                      <w:lang w:val="en-US" w:eastAsia="zh-CN"/>
                    </w:rPr>
                    <w:t>/</w:t>
                  </w:r>
                </w:p>
              </w:tc>
            </w:tr>
          </w:tbl>
          <w:p w14:paraId="6078467E">
            <w:pPr>
              <w:adjustRightInd w:val="0"/>
              <w:spacing w:line="360" w:lineRule="auto"/>
              <w:rPr>
                <w:rFonts w:hint="default" w:ascii="Times New Roman" w:hAnsi="Times New Roman" w:eastAsia="仿宋_GB2312" w:cs="Times New Roman"/>
                <w:color w:val="auto"/>
                <w:sz w:val="21"/>
                <w:szCs w:val="21"/>
                <w:highlight w:val="none"/>
              </w:rPr>
            </w:pP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rPr>
              <w:t>、工作制度及劳动定员</w:t>
            </w:r>
          </w:p>
          <w:p w14:paraId="5170FCC4">
            <w:pPr>
              <w:tabs>
                <w:tab w:val="left" w:pos="630"/>
              </w:tabs>
              <w:spacing w:line="360" w:lineRule="auto"/>
              <w:ind w:firstLine="420" w:firstLineChars="200"/>
              <w:rPr>
                <w:rFonts w:hint="default" w:ascii="Times New Roman" w:hAnsi="Times New Roman"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本项目年工作</w:t>
            </w:r>
            <w:r>
              <w:rPr>
                <w:rFonts w:hint="default" w:ascii="Times New Roman" w:hAnsi="Times New Roman" w:cs="Times New Roman"/>
                <w:color w:val="auto"/>
                <w:sz w:val="21"/>
                <w:szCs w:val="21"/>
                <w:highlight w:val="none"/>
                <w:lang w:val="en-US" w:eastAsia="zh-CN"/>
              </w:rPr>
              <w:t>3</w:t>
            </w:r>
            <w:r>
              <w:rPr>
                <w:rFonts w:hint="eastAsia"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天，每天工作</w:t>
            </w:r>
            <w:r>
              <w:rPr>
                <w:rFonts w:hint="default"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h，</w:t>
            </w:r>
            <w:r>
              <w:rPr>
                <w:rFonts w:hint="default" w:ascii="Times New Roman" w:hAnsi="Times New Roman" w:cs="Times New Roman"/>
                <w:color w:val="auto"/>
                <w:sz w:val="21"/>
                <w:szCs w:val="21"/>
                <w:highlight w:val="none"/>
                <w:lang w:val="en-US" w:eastAsia="zh-CN"/>
              </w:rPr>
              <w:t>储煤场</w:t>
            </w:r>
            <w:r>
              <w:rPr>
                <w:rFonts w:hint="default" w:ascii="Times New Roman" w:hAnsi="Times New Roman" w:eastAsia="宋体" w:cs="Times New Roman"/>
                <w:color w:val="auto"/>
                <w:sz w:val="21"/>
                <w:szCs w:val="21"/>
                <w:highlight w:val="none"/>
                <w:lang w:val="en-US" w:eastAsia="zh-CN"/>
              </w:rPr>
              <w:t>劳动定员</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人，项目</w:t>
            </w:r>
            <w:r>
              <w:rPr>
                <w:rFonts w:hint="default" w:ascii="Times New Roman" w:hAnsi="Times New Roman" w:eastAsia="宋体" w:cs="Times New Roman"/>
                <w:color w:val="auto"/>
                <w:sz w:val="21"/>
                <w:szCs w:val="21"/>
                <w:highlight w:val="none"/>
              </w:rPr>
              <w:t>不</w:t>
            </w:r>
            <w:r>
              <w:rPr>
                <w:rFonts w:hint="default" w:ascii="Times New Roman" w:hAnsi="Times New Roman" w:eastAsia="宋体" w:cs="Times New Roman"/>
                <w:color w:val="auto"/>
                <w:sz w:val="21"/>
                <w:szCs w:val="21"/>
                <w:highlight w:val="none"/>
                <w:lang w:val="en-US" w:eastAsia="zh-CN"/>
              </w:rPr>
              <w:t>设置</w:t>
            </w:r>
            <w:r>
              <w:rPr>
                <w:rFonts w:hint="default" w:ascii="Times New Roman" w:hAnsi="Times New Roman" w:eastAsia="宋体" w:cs="Times New Roman"/>
                <w:color w:val="auto"/>
                <w:sz w:val="21"/>
                <w:szCs w:val="21"/>
                <w:highlight w:val="none"/>
              </w:rPr>
              <w:t>食堂和宿舍</w:t>
            </w:r>
            <w:r>
              <w:rPr>
                <w:rFonts w:hint="default" w:ascii="Times New Roman" w:hAnsi="Times New Roman" w:cs="Times New Roman"/>
                <w:snapToGrid w:val="0"/>
                <w:color w:val="auto"/>
                <w:kern w:val="0"/>
                <w:sz w:val="21"/>
                <w:szCs w:val="21"/>
                <w:highlight w:val="none"/>
              </w:rPr>
              <w:t>。</w:t>
            </w:r>
          </w:p>
          <w:p w14:paraId="3432782D">
            <w:pPr>
              <w:pStyle w:val="22"/>
              <w:keepNext w:val="0"/>
              <w:keepLines w:val="0"/>
              <w:pageBreakBefore w:val="0"/>
              <w:widowControl w:val="0"/>
              <w:kinsoku/>
              <w:wordWrap/>
              <w:overflowPunct/>
              <w:topLinePunct w:val="0"/>
              <w:autoSpaceDE/>
              <w:autoSpaceDN/>
              <w:bidi w:val="0"/>
              <w:adjustRightInd w:val="0"/>
              <w:snapToGrid w:val="0"/>
              <w:spacing w:before="0" w:after="0" w:line="360" w:lineRule="auto"/>
              <w:ind w:right="0" w:firstLine="0" w:firstLineChars="0"/>
              <w:textAlignment w:val="auto"/>
              <w:rPr>
                <w:rFonts w:hint="default" w:ascii="Times New Roman" w:hAnsi="Times New Roman" w:cs="Times New Roman"/>
                <w:color w:val="auto"/>
                <w:sz w:val="21"/>
                <w:szCs w:val="21"/>
                <w:highlight w:val="none"/>
              </w:rPr>
            </w:pPr>
            <w:r>
              <w:rPr>
                <w:rFonts w:hint="eastAsia"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、公用工程</w:t>
            </w:r>
            <w:r>
              <w:rPr>
                <w:rFonts w:hint="default" w:ascii="Times New Roman" w:hAnsi="Times New Roman" w:cs="Times New Roman"/>
                <w:color w:val="auto"/>
                <w:sz w:val="21"/>
                <w:szCs w:val="21"/>
                <w:highlight w:val="none"/>
              </w:rPr>
              <w:t xml:space="preserve">  </w:t>
            </w:r>
          </w:p>
          <w:p w14:paraId="259A7CDE">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给水</w:t>
            </w:r>
          </w:p>
          <w:p w14:paraId="78E436CF">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生活及生产</w:t>
            </w:r>
            <w:r>
              <w:rPr>
                <w:rFonts w:hint="default" w:ascii="Times New Roman" w:hAnsi="Times New Roman" w:eastAsia="宋体" w:cs="Times New Roman"/>
                <w:color w:val="auto"/>
                <w:sz w:val="21"/>
                <w:szCs w:val="21"/>
                <w:highlight w:val="none"/>
              </w:rPr>
              <w:t>用水</w:t>
            </w:r>
            <w:r>
              <w:rPr>
                <w:rFonts w:hint="default" w:ascii="Times New Roman" w:hAnsi="Times New Roman" w:cs="Times New Roman"/>
                <w:color w:val="auto"/>
                <w:sz w:val="21"/>
                <w:szCs w:val="21"/>
                <w:highlight w:val="none"/>
                <w:lang w:val="en-US" w:eastAsia="zh-CN"/>
              </w:rPr>
              <w:t>来源主要为外购用水和初期雨水收集池收集的雨水。</w:t>
            </w:r>
          </w:p>
          <w:p w14:paraId="5931F2AF">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生活用水：</w:t>
            </w:r>
            <w:r>
              <w:rPr>
                <w:rFonts w:hint="default" w:ascii="Times New Roman" w:hAnsi="Times New Roman" w:cs="Times New Roman"/>
                <w:color w:val="auto"/>
                <w:sz w:val="21"/>
                <w:szCs w:val="21"/>
                <w:highlight w:val="none"/>
                <w:lang w:val="en-US" w:eastAsia="zh-CN"/>
              </w:rPr>
              <w:t>本项目劳动定员5人，</w:t>
            </w:r>
            <w:r>
              <w:rPr>
                <w:rFonts w:hint="default" w:ascii="Times New Roman" w:hAnsi="Times New Roman" w:eastAsia="宋体" w:cs="Times New Roman"/>
                <w:bCs/>
                <w:color w:val="auto"/>
                <w:sz w:val="21"/>
                <w:szCs w:val="21"/>
                <w:highlight w:val="none"/>
              </w:rPr>
              <w:t>根据《黑龙江省地方标准用水定额》（BD23/T727-202</w:t>
            </w:r>
            <w:r>
              <w:rPr>
                <w:rFonts w:hint="eastAsia" w:cs="Times New Roman"/>
                <w:bCs/>
                <w:color w:val="auto"/>
                <w:sz w:val="21"/>
                <w:szCs w:val="21"/>
                <w:highlight w:val="none"/>
                <w:lang w:val="en-US" w:eastAsia="zh-CN"/>
              </w:rPr>
              <w:t>5</w:t>
            </w:r>
            <w:r>
              <w:rPr>
                <w:rFonts w:hint="default" w:ascii="Times New Roman" w:hAnsi="Times New Roman" w:eastAsia="宋体" w:cs="Times New Roman"/>
                <w:bCs/>
                <w:color w:val="auto"/>
                <w:sz w:val="21"/>
                <w:szCs w:val="21"/>
                <w:highlight w:val="none"/>
              </w:rPr>
              <w:t>），员工用水量为80（L/人·d），生活用水量</w:t>
            </w:r>
            <w:r>
              <w:rPr>
                <w:rFonts w:hint="default" w:ascii="Times New Roman" w:hAnsi="Times New Roman" w:eastAsia="宋体"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lang w:val="en-US" w:eastAsia="zh-CN"/>
              </w:rPr>
              <w:t>4</w:t>
            </w:r>
            <w:r>
              <w:rPr>
                <w:rFonts w:hint="eastAsia" w:cs="Times New Roman"/>
                <w:bCs/>
                <w:color w:val="auto"/>
                <w:sz w:val="21"/>
                <w:szCs w:val="21"/>
                <w:highlight w:val="none"/>
                <w:lang w:val="en-US" w:eastAsia="zh-CN"/>
              </w:rPr>
              <w:t>t</w:t>
            </w:r>
            <w:r>
              <w:rPr>
                <w:rFonts w:hint="default" w:ascii="Times New Roman" w:hAnsi="Times New Roman" w:eastAsia="宋体" w:cs="Times New Roman"/>
                <w:bCs/>
                <w:color w:val="auto"/>
                <w:sz w:val="21"/>
                <w:szCs w:val="21"/>
                <w:highlight w:val="none"/>
              </w:rPr>
              <w:t>/d，</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lang w:val="en-US" w:eastAsia="zh-CN"/>
              </w:rPr>
              <w:t>0</w:t>
            </w:r>
            <w:r>
              <w:rPr>
                <w:rFonts w:hint="default" w:ascii="Times New Roman" w:hAnsi="Times New Roman" w:eastAsia="宋体" w:cs="Times New Roman"/>
                <w:bCs/>
                <w:color w:val="auto"/>
                <w:sz w:val="21"/>
                <w:szCs w:val="21"/>
                <w:highlight w:val="none"/>
              </w:rPr>
              <w:t>t/a，产生的生活污水排入防渗旱厕，定期清掏，外运堆肥</w:t>
            </w:r>
            <w:r>
              <w:rPr>
                <w:rFonts w:hint="default" w:ascii="Times New Roman" w:hAnsi="Times New Roman" w:eastAsia="宋体" w:cs="Times New Roman"/>
                <w:color w:val="auto"/>
                <w:sz w:val="21"/>
                <w:szCs w:val="21"/>
                <w:highlight w:val="none"/>
              </w:rPr>
              <w:t>。</w:t>
            </w:r>
          </w:p>
          <w:p w14:paraId="0D3D4892">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堆场及道路洒水</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储煤场面积</w:t>
            </w:r>
            <w:r>
              <w:rPr>
                <w:rFonts w:hint="eastAsia" w:cs="Times New Roman"/>
                <w:color w:val="auto"/>
                <w:sz w:val="21"/>
                <w:szCs w:val="21"/>
                <w:highlight w:val="none"/>
                <w:lang w:val="en-US" w:eastAsia="zh-CN"/>
              </w:rPr>
              <w:t>10027.83</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根据《煤炭洗选工程设计规范》（GB50359-2016）中道路浇洒用水，用水定额为2.0~3.0L/（m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·d），本项目取2.0L/（m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·d）</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堆场及道路洒水量为</w:t>
            </w:r>
            <w:r>
              <w:rPr>
                <w:rFonts w:hint="eastAsia" w:cs="Times New Roman"/>
                <w:color w:val="auto"/>
                <w:sz w:val="21"/>
                <w:szCs w:val="21"/>
                <w:highlight w:val="none"/>
                <w:lang w:val="en-US" w:eastAsia="zh-CN"/>
              </w:rPr>
              <w:t>20.06</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r>
              <w:rPr>
                <w:rFonts w:hint="eastAsia" w:cs="Times New Roman"/>
                <w:color w:val="auto"/>
                <w:sz w:val="21"/>
                <w:szCs w:val="21"/>
                <w:highlight w:val="none"/>
                <w:lang w:val="en-US" w:eastAsia="zh-CN"/>
              </w:rPr>
              <w:t>3610.8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/a（全年洒水以18</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lang w:val="en-US" w:eastAsia="zh-CN"/>
              </w:rPr>
              <w:t>天计）</w:t>
            </w:r>
            <w:r>
              <w:rPr>
                <w:rFonts w:hint="default" w:ascii="Times New Roman" w:hAnsi="Times New Roman" w:cs="Times New Roman"/>
                <w:color w:val="auto"/>
                <w:sz w:val="21"/>
                <w:szCs w:val="21"/>
                <w:highlight w:val="none"/>
                <w:lang w:val="en-US" w:eastAsia="zh-CN"/>
              </w:rPr>
              <w:t>，初期雨水产生量约为</w:t>
            </w:r>
            <w:r>
              <w:rPr>
                <w:rFonts w:hint="eastAsia" w:cs="Times New Roman"/>
                <w:color w:val="auto"/>
                <w:sz w:val="21"/>
                <w:szCs w:val="21"/>
                <w:highlight w:val="none"/>
                <w:lang w:val="en-US" w:eastAsia="zh-CN"/>
              </w:rPr>
              <w:t>300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/a，全部用于洒水降尘，</w:t>
            </w:r>
            <w:r>
              <w:rPr>
                <w:rFonts w:hint="eastAsia" w:cs="Times New Roman"/>
                <w:color w:val="auto"/>
                <w:sz w:val="21"/>
                <w:szCs w:val="21"/>
                <w:highlight w:val="none"/>
                <w:lang w:val="en-US" w:eastAsia="zh-CN"/>
              </w:rPr>
              <w:t>则洒水降尘补充水量为3310.8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/a</w:t>
            </w:r>
            <w:r>
              <w:rPr>
                <w:rFonts w:hint="eastAsia" w:cs="Times New Roman"/>
                <w:color w:val="auto"/>
                <w:sz w:val="21"/>
                <w:szCs w:val="21"/>
                <w:highlight w:val="none"/>
                <w:lang w:val="en-US" w:eastAsia="zh-CN"/>
              </w:rPr>
              <w:t>。</w:t>
            </w:r>
          </w:p>
          <w:p w14:paraId="0B15D5A7">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eastAsia" w:ascii="Times New Roman" w:hAnsi="Times New Roman" w:cs="Times New Roman"/>
                <w:color w:val="auto"/>
                <w:sz w:val="21"/>
                <w:szCs w:val="21"/>
                <w:highlight w:val="none"/>
                <w:vertAlign w:val="baseline"/>
                <w:lang w:val="en-US" w:eastAsia="zh-CN"/>
              </w:rPr>
            </w:pPr>
            <w:r>
              <w:rPr>
                <w:rFonts w:hint="eastAsia"/>
                <w:color w:val="auto"/>
                <w:highlight w:val="none"/>
                <w:lang w:val="en-US" w:eastAsia="zh-CN"/>
              </w:rPr>
              <w:t>喷雾降尘用水：装卸过程采用喷雾装置对装卸区域进行降尘，喷雾装置耗水量</w:t>
            </w:r>
            <w:r>
              <w:rPr>
                <w:rFonts w:hint="default" w:ascii="Times New Roman" w:hAnsi="Times New Roman" w:cs="Times New Roman"/>
                <w:color w:val="auto"/>
                <w:highlight w:val="none"/>
                <w:lang w:val="en-US" w:eastAsia="zh-CN"/>
              </w:rPr>
              <w:t>为1</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highlight w:val="none"/>
                <w:lang w:val="en-US" w:eastAsia="zh-CN"/>
              </w:rPr>
              <w:t>/h，</w:t>
            </w:r>
            <w:r>
              <w:rPr>
                <w:rFonts w:hint="eastAsia" w:ascii="Times New Roman" w:hAnsi="Times New Roman" w:cs="Times New Roman"/>
                <w:color w:val="auto"/>
                <w:highlight w:val="none"/>
                <w:lang w:val="en-US" w:eastAsia="zh-CN"/>
              </w:rPr>
              <w:t>每天喷雾降尘时间按4小时计，用水量为4</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cs="Times New Roman"/>
                <w:color w:val="auto"/>
                <w:highlight w:val="none"/>
                <w:lang w:val="en-US" w:eastAsia="zh-CN"/>
              </w:rPr>
              <w:t>/d，1400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p>
          <w:p w14:paraId="40BFD73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none"/>
                <w:lang w:val="en-US" w:eastAsia="zh-CN"/>
              </w:rPr>
            </w:pPr>
            <w:r>
              <w:rPr>
                <w:rFonts w:hint="eastAsia"/>
                <w:color w:val="auto"/>
                <w:highlight w:val="none"/>
                <w:lang w:val="en-US" w:eastAsia="zh-CN"/>
              </w:rPr>
              <w:t>综上所述，本项目年用水量4730.8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vertAlign w:val="baseline"/>
                <w:lang w:val="en-US" w:eastAsia="zh-CN"/>
              </w:rPr>
              <w:t>/a</w:t>
            </w:r>
            <w:r>
              <w:rPr>
                <w:rFonts w:hint="eastAsia" w:cs="Times New Roman"/>
                <w:color w:val="auto"/>
                <w:sz w:val="21"/>
                <w:szCs w:val="21"/>
                <w:highlight w:val="none"/>
                <w:vertAlign w:val="baseline"/>
                <w:lang w:val="en-US" w:eastAsia="zh-CN"/>
              </w:rPr>
              <w:t>，全部由义安村自来水管网提供。</w:t>
            </w:r>
          </w:p>
          <w:p w14:paraId="0393BF39">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排水</w:t>
            </w:r>
          </w:p>
          <w:p w14:paraId="7210D99C">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生活废水：生活废水产生量按用水量的80%计，</w:t>
            </w:r>
            <w:r>
              <w:rPr>
                <w:rFonts w:hint="default" w:ascii="Times New Roman" w:hAnsi="Times New Roman" w:cs="Times New Roman"/>
                <w:color w:val="auto"/>
                <w:sz w:val="21"/>
                <w:szCs w:val="21"/>
                <w:highlight w:val="none"/>
                <w:lang w:val="en-US" w:eastAsia="zh-CN"/>
              </w:rPr>
              <w:t>生活污水产生量0.32t/d，</w:t>
            </w:r>
            <w:r>
              <w:rPr>
                <w:rFonts w:hint="eastAsia" w:cs="Times New Roman"/>
                <w:color w:val="auto"/>
                <w:sz w:val="21"/>
                <w:szCs w:val="21"/>
                <w:highlight w:val="none"/>
                <w:lang w:val="en-US" w:eastAsia="zh-CN"/>
              </w:rPr>
              <w:t>112</w:t>
            </w:r>
            <w:r>
              <w:rPr>
                <w:rFonts w:hint="default" w:ascii="Times New Roman" w:hAnsi="Times New Roman" w:cs="Times New Roman"/>
                <w:color w:val="auto"/>
                <w:sz w:val="21"/>
                <w:szCs w:val="21"/>
                <w:highlight w:val="none"/>
                <w:lang w:val="en-US" w:eastAsia="zh-CN"/>
              </w:rPr>
              <w:t>t/a产生的</w:t>
            </w:r>
            <w:r>
              <w:rPr>
                <w:rFonts w:hint="default" w:ascii="Times New Roman" w:hAnsi="Times New Roman" w:eastAsia="宋体" w:cs="Times New Roman"/>
                <w:color w:val="auto"/>
                <w:sz w:val="21"/>
                <w:szCs w:val="21"/>
                <w:highlight w:val="none"/>
              </w:rPr>
              <w:t>生活污水排入防渗旱厕，定期清掏，外运堆肥。</w:t>
            </w:r>
          </w:p>
          <w:p w14:paraId="2C979D29">
            <w:pPr>
              <w:keepNext w:val="0"/>
              <w:keepLines w:val="0"/>
              <w:pageBreakBefore w:val="0"/>
              <w:widowControl w:val="0"/>
              <w:tabs>
                <w:tab w:val="left" w:pos="63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生产废水：</w:t>
            </w:r>
            <w:r>
              <w:rPr>
                <w:rFonts w:hint="default" w:ascii="Times New Roman" w:hAnsi="Times New Roman" w:cs="Times New Roman"/>
                <w:color w:val="auto"/>
                <w:sz w:val="21"/>
                <w:szCs w:val="21"/>
                <w:highlight w:val="none"/>
                <w:lang w:val="en-US" w:eastAsia="zh-CN"/>
              </w:rPr>
              <w:t>本项目生产用水仅有堆场及道路洒水</w:t>
            </w:r>
            <w:r>
              <w:rPr>
                <w:rFonts w:hint="eastAsia" w:cs="Times New Roman"/>
                <w:color w:val="auto"/>
                <w:sz w:val="21"/>
                <w:szCs w:val="21"/>
                <w:highlight w:val="none"/>
                <w:lang w:val="en-US" w:eastAsia="zh-CN"/>
              </w:rPr>
              <w:t>降尘用水</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全部自然蒸发</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项目无</w:t>
            </w:r>
            <w:r>
              <w:rPr>
                <w:rFonts w:hint="default" w:ascii="Times New Roman" w:hAnsi="Times New Roman" w:cs="Times New Roman"/>
                <w:color w:val="auto"/>
                <w:sz w:val="21"/>
                <w:szCs w:val="21"/>
                <w:highlight w:val="none"/>
                <w:lang w:val="en-US" w:eastAsia="zh-CN"/>
              </w:rPr>
              <w:t>生产</w:t>
            </w:r>
            <w:r>
              <w:rPr>
                <w:rFonts w:hint="default" w:ascii="Times New Roman" w:hAnsi="Times New Roman" w:eastAsia="宋体" w:cs="Times New Roman"/>
                <w:color w:val="auto"/>
                <w:sz w:val="21"/>
                <w:szCs w:val="21"/>
                <w:highlight w:val="none"/>
              </w:rPr>
              <w:t>废水产生。</w:t>
            </w:r>
          </w:p>
          <w:p w14:paraId="02AC2052">
            <w:pPr>
              <w:pStyle w:val="34"/>
              <w:spacing w:line="360" w:lineRule="auto"/>
              <w:ind w:left="0" w:leftChars="0" w:firstLine="0" w:firstLineChars="0"/>
              <w:jc w:val="center"/>
              <w:rPr>
                <w:rFonts w:hint="default" w:ascii="Times New Roman" w:hAnsi="Times New Roman" w:cs="Times New Roman"/>
                <w:color w:val="auto"/>
                <w:highlight w:val="none"/>
              </w:rPr>
            </w:pPr>
            <w:r>
              <w:rPr>
                <w:color w:val="auto"/>
                <w:highlight w:val="none"/>
              </w:rPr>
              <w:drawing>
                <wp:inline distT="0" distB="0" distL="114300" distR="114300">
                  <wp:extent cx="3999230" cy="2233930"/>
                  <wp:effectExtent l="0" t="0" r="1270" b="1397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5"/>
                          <a:stretch>
                            <a:fillRect/>
                          </a:stretch>
                        </pic:blipFill>
                        <pic:spPr>
                          <a:xfrm>
                            <a:off x="0" y="0"/>
                            <a:ext cx="3999230" cy="2233930"/>
                          </a:xfrm>
                          <a:prstGeom prst="rect">
                            <a:avLst/>
                          </a:prstGeom>
                          <a:noFill/>
                          <a:ln>
                            <a:noFill/>
                          </a:ln>
                        </pic:spPr>
                      </pic:pic>
                    </a:graphicData>
                  </a:graphic>
                </wp:inline>
              </w:drawing>
            </w:r>
          </w:p>
          <w:p w14:paraId="30DE41A5">
            <w:pPr>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图2-1水平衡图</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单位：m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a</w:t>
            </w:r>
          </w:p>
          <w:p w14:paraId="03D40B25">
            <w:pPr>
              <w:pStyle w:val="34"/>
              <w:spacing w:line="360" w:lineRule="auto"/>
              <w:ind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（3）供热</w:t>
            </w:r>
          </w:p>
          <w:p w14:paraId="24C5D57B">
            <w:pPr>
              <w:pStyle w:val="34"/>
              <w:spacing w:line="360" w:lineRule="auto"/>
              <w:ind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冬季供暖为电采暖</w:t>
            </w:r>
            <w:r>
              <w:rPr>
                <w:rFonts w:hint="default" w:ascii="Times New Roman" w:hAnsi="Times New Roman" w:cs="Times New Roman"/>
                <w:color w:val="auto"/>
                <w:sz w:val="21"/>
                <w:szCs w:val="21"/>
                <w:highlight w:val="none"/>
              </w:rPr>
              <w:t>。</w:t>
            </w:r>
          </w:p>
          <w:p w14:paraId="6FC8DE90">
            <w:pPr>
              <w:pStyle w:val="34"/>
              <w:numPr>
                <w:ilvl w:val="0"/>
                <w:numId w:val="0"/>
              </w:num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供电</w:t>
            </w:r>
          </w:p>
          <w:p w14:paraId="001B332D">
            <w:pPr>
              <w:pStyle w:val="34"/>
              <w:numPr>
                <w:ilvl w:val="0"/>
                <w:numId w:val="0"/>
              </w:numPr>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本项目供电由当地供电局提供</w:t>
            </w:r>
            <w:r>
              <w:rPr>
                <w:rFonts w:hint="default" w:ascii="Times New Roman" w:hAnsi="Times New Roman" w:cs="Times New Roman"/>
                <w:color w:val="auto"/>
                <w:sz w:val="21"/>
                <w:szCs w:val="21"/>
                <w:highlight w:val="none"/>
                <w:lang w:eastAsia="zh-CN"/>
              </w:rPr>
              <w:t>。</w:t>
            </w:r>
          </w:p>
          <w:p w14:paraId="661128ED">
            <w:pPr>
              <w:widowControl/>
              <w:numPr>
                <w:ilvl w:val="0"/>
                <w:numId w:val="0"/>
              </w:numPr>
              <w:spacing w:line="360" w:lineRule="auto"/>
              <w:jc w:val="left"/>
              <w:rPr>
                <w:rFonts w:hint="default" w:ascii="Times New Roman" w:hAnsi="Times New Roman" w:cs="Times New Roman"/>
                <w:b/>
                <w:color w:val="auto"/>
                <w:kern w:val="0"/>
                <w:sz w:val="21"/>
                <w:szCs w:val="21"/>
                <w:highlight w:val="none"/>
                <w:lang w:val="en-US" w:eastAsia="zh-CN" w:bidi="ar"/>
              </w:rPr>
            </w:pPr>
            <w:r>
              <w:rPr>
                <w:rFonts w:hint="eastAsia" w:cs="Times New Roman"/>
                <w:b/>
                <w:color w:val="auto"/>
                <w:kern w:val="0"/>
                <w:sz w:val="21"/>
                <w:szCs w:val="21"/>
                <w:highlight w:val="none"/>
                <w:lang w:val="en-US" w:eastAsia="zh-CN" w:bidi="ar"/>
              </w:rPr>
              <w:t>7</w:t>
            </w:r>
            <w:r>
              <w:rPr>
                <w:rFonts w:hint="default" w:ascii="Times New Roman" w:hAnsi="Times New Roman" w:cs="Times New Roman"/>
                <w:b/>
                <w:color w:val="auto"/>
                <w:kern w:val="0"/>
                <w:sz w:val="21"/>
                <w:szCs w:val="21"/>
                <w:highlight w:val="none"/>
                <w:lang w:val="en-US" w:eastAsia="zh-CN" w:bidi="ar"/>
              </w:rPr>
              <w:t>、平面布置</w:t>
            </w:r>
          </w:p>
          <w:p w14:paraId="6C66AA8E">
            <w:pPr>
              <w:pStyle w:val="34"/>
              <w:numPr>
                <w:ilvl w:val="0"/>
                <w:numId w:val="0"/>
              </w:num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本项目总占地</w:t>
            </w:r>
            <w:r>
              <w:rPr>
                <w:rFonts w:hint="eastAsia" w:cs="Times New Roman"/>
                <w:color w:val="auto"/>
                <w:sz w:val="21"/>
                <w:szCs w:val="21"/>
                <w:highlight w:val="none"/>
                <w:lang w:val="en-US" w:eastAsia="zh-CN"/>
              </w:rPr>
              <w:t>10327.83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储煤场四周</w:t>
            </w:r>
            <w:r>
              <w:rPr>
                <w:rFonts w:hint="default" w:ascii="Times New Roman" w:hAnsi="Times New Roman" w:eastAsia="宋体" w:cs="Times New Roman"/>
                <w:color w:val="auto"/>
                <w:sz w:val="21"/>
                <w:szCs w:val="21"/>
                <w:highlight w:val="none"/>
                <w:lang w:val="en-US" w:eastAsia="zh-CN"/>
              </w:rPr>
              <w:t>建设闭合的防风抑尘网，</w:t>
            </w:r>
            <w:r>
              <w:rPr>
                <w:rFonts w:hint="eastAsia" w:cs="Times New Roman"/>
                <w:color w:val="auto"/>
                <w:sz w:val="21"/>
                <w:szCs w:val="21"/>
                <w:highlight w:val="none"/>
                <w:lang w:val="en-US" w:eastAsia="zh-CN"/>
              </w:rPr>
              <w:t>东北侧设置出入口、办公室、车库，中心区域为煤炭堆场，厂区边界设置雨水导流沟，</w:t>
            </w:r>
            <w:r>
              <w:rPr>
                <w:rFonts w:hint="default" w:ascii="Times New Roman" w:hAnsi="Times New Roman" w:cs="Times New Roman"/>
                <w:color w:val="auto"/>
                <w:sz w:val="21"/>
                <w:szCs w:val="21"/>
                <w:highlight w:val="none"/>
                <w:lang w:val="en-US" w:eastAsia="zh-CN"/>
              </w:rPr>
              <w:t>初期雨水收集池</w:t>
            </w:r>
            <w:r>
              <w:rPr>
                <w:rFonts w:hint="default" w:ascii="Times New Roman" w:hAnsi="Times New Roman" w:eastAsia="宋体" w:cs="Times New Roman"/>
                <w:color w:val="auto"/>
                <w:sz w:val="21"/>
                <w:szCs w:val="21"/>
                <w:highlight w:val="none"/>
                <w:lang w:val="en-US" w:eastAsia="zh-CN"/>
              </w:rPr>
              <w:t>建设</w:t>
            </w:r>
            <w:r>
              <w:rPr>
                <w:rFonts w:hint="default" w:ascii="Times New Roman" w:hAnsi="Times New Roman" w:cs="Times New Roman"/>
                <w:color w:val="auto"/>
                <w:sz w:val="21"/>
                <w:szCs w:val="21"/>
                <w:highlight w:val="none"/>
                <w:lang w:val="en-US" w:eastAsia="zh-CN"/>
              </w:rPr>
              <w:t>于</w:t>
            </w:r>
            <w:r>
              <w:rPr>
                <w:rFonts w:hint="default" w:ascii="Times New Roman" w:hAnsi="Times New Roman" w:eastAsia="宋体" w:cs="Times New Roman"/>
                <w:color w:val="auto"/>
                <w:sz w:val="21"/>
                <w:szCs w:val="21"/>
                <w:highlight w:val="none"/>
                <w:lang w:val="en-US" w:eastAsia="zh-CN"/>
              </w:rPr>
              <w:t>厂区</w:t>
            </w:r>
            <w:r>
              <w:rPr>
                <w:rFonts w:hint="eastAsia" w:cs="Times New Roman"/>
                <w:color w:val="auto"/>
                <w:sz w:val="21"/>
                <w:szCs w:val="21"/>
                <w:highlight w:val="none"/>
                <w:lang w:val="en-US" w:eastAsia="zh-CN"/>
              </w:rPr>
              <w:t>西北侧地势最低处</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厂界外距离最近的环境保护目标为北侧55m处居民，位于煤炭装卸、储存区域位侧风向，</w:t>
            </w:r>
            <w:r>
              <w:rPr>
                <w:rFonts w:hint="default" w:ascii="Times New Roman" w:hAnsi="Times New Roman" w:eastAsia="宋体" w:cs="Times New Roman"/>
                <w:color w:val="auto"/>
                <w:sz w:val="21"/>
                <w:szCs w:val="21"/>
                <w:highlight w:val="none"/>
                <w:lang w:val="en-US" w:eastAsia="zh-CN"/>
              </w:rPr>
              <w:t>项目厂区设置合理。</w:t>
            </w:r>
          </w:p>
          <w:p w14:paraId="4624C234">
            <w:pPr>
              <w:widowControl/>
              <w:spacing w:line="360" w:lineRule="auto"/>
              <w:jc w:val="left"/>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val="en-US" w:eastAsia="zh-CN" w:bidi="ar"/>
              </w:rPr>
              <w:t>、</w:t>
            </w:r>
            <w:r>
              <w:rPr>
                <w:rFonts w:hint="default" w:ascii="Times New Roman" w:hAnsi="Times New Roman" w:cs="Times New Roman"/>
                <w:b/>
                <w:color w:val="auto"/>
                <w:kern w:val="0"/>
                <w:sz w:val="21"/>
                <w:szCs w:val="21"/>
                <w:highlight w:val="none"/>
                <w:lang w:bidi="ar"/>
              </w:rPr>
              <w:t xml:space="preserve">环保投资 </w:t>
            </w:r>
          </w:p>
          <w:p w14:paraId="72BE560B">
            <w:pPr>
              <w:widowControl/>
              <w:spacing w:line="360" w:lineRule="auto"/>
              <w:ind w:firstLine="420" w:firstLineChars="200"/>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本项目环保投资具体情况见表2-</w:t>
            </w:r>
            <w:r>
              <w:rPr>
                <w:rFonts w:hint="eastAsia" w:cs="Times New Roman"/>
                <w:color w:val="auto"/>
                <w:kern w:val="0"/>
                <w:sz w:val="21"/>
                <w:szCs w:val="21"/>
                <w:highlight w:val="none"/>
                <w:lang w:val="en-US" w:eastAsia="zh-CN" w:bidi="ar"/>
              </w:rPr>
              <w:t>4</w:t>
            </w:r>
            <w:r>
              <w:rPr>
                <w:rFonts w:hint="default" w:ascii="Times New Roman" w:hAnsi="Times New Roman" w:cs="Times New Roman"/>
                <w:color w:val="auto"/>
                <w:kern w:val="0"/>
                <w:sz w:val="21"/>
                <w:szCs w:val="21"/>
                <w:highlight w:val="none"/>
                <w:lang w:bidi="ar"/>
              </w:rPr>
              <w:t>。</w:t>
            </w:r>
          </w:p>
          <w:p w14:paraId="41905F12">
            <w:pPr>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表2-</w:t>
            </w:r>
            <w:r>
              <w:rPr>
                <w:rFonts w:hint="eastAsia"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 xml:space="preserve">  环保投资一览表</w:t>
            </w:r>
          </w:p>
          <w:tbl>
            <w:tblPr>
              <w:tblStyle w:val="24"/>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4"/>
              <w:gridCol w:w="5670"/>
              <w:gridCol w:w="1433"/>
            </w:tblGrid>
            <w:tr w14:paraId="0BB96B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5CB383BA">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类别</w:t>
                  </w:r>
                </w:p>
              </w:tc>
              <w:tc>
                <w:tcPr>
                  <w:tcW w:w="5670" w:type="dxa"/>
                  <w:tcBorders>
                    <w:bottom w:val="single" w:color="auto" w:sz="4" w:space="0"/>
                  </w:tcBorders>
                  <w:vAlign w:val="center"/>
                </w:tcPr>
                <w:p w14:paraId="676D8B01">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防治措施</w:t>
                  </w:r>
                </w:p>
              </w:tc>
              <w:tc>
                <w:tcPr>
                  <w:tcW w:w="1433" w:type="dxa"/>
                  <w:tcBorders>
                    <w:bottom w:val="single" w:color="auto" w:sz="4" w:space="0"/>
                  </w:tcBorders>
                  <w:vAlign w:val="center"/>
                </w:tcPr>
                <w:p w14:paraId="450893EF">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投资（万元）</w:t>
                  </w:r>
                </w:p>
              </w:tc>
            </w:tr>
            <w:tr w14:paraId="7E37E5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0502D958">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废气治理措施</w:t>
                  </w:r>
                </w:p>
              </w:tc>
              <w:tc>
                <w:tcPr>
                  <w:tcW w:w="5670" w:type="dxa"/>
                  <w:vAlign w:val="center"/>
                </w:tcPr>
                <w:p w14:paraId="6CD557B7">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防风抑尘网</w:t>
                  </w:r>
                </w:p>
              </w:tc>
              <w:tc>
                <w:tcPr>
                  <w:tcW w:w="1433" w:type="dxa"/>
                  <w:vAlign w:val="center"/>
                </w:tcPr>
                <w:p w14:paraId="01731F38">
                  <w:pPr>
                    <w:pStyle w:val="38"/>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r>
            <w:tr w14:paraId="403699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139C0B34">
                  <w:pPr>
                    <w:pStyle w:val="38"/>
                    <w:rPr>
                      <w:rFonts w:hint="default" w:ascii="Times New Roman" w:hAnsi="Times New Roman" w:cs="Times New Roman"/>
                      <w:color w:val="auto"/>
                      <w:sz w:val="18"/>
                      <w:szCs w:val="18"/>
                      <w:highlight w:val="none"/>
                    </w:rPr>
                  </w:pPr>
                </w:p>
              </w:tc>
              <w:tc>
                <w:tcPr>
                  <w:tcW w:w="5670" w:type="dxa"/>
                  <w:vAlign w:val="center"/>
                </w:tcPr>
                <w:p w14:paraId="35401A07">
                  <w:pPr>
                    <w:pStyle w:val="38"/>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高压水枪、喷雾装置</w:t>
                  </w:r>
                </w:p>
              </w:tc>
              <w:tc>
                <w:tcPr>
                  <w:tcW w:w="1433" w:type="dxa"/>
                  <w:vAlign w:val="center"/>
                </w:tcPr>
                <w:p w14:paraId="59038621">
                  <w:pPr>
                    <w:pStyle w:val="38"/>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r>
            <w:tr w14:paraId="270EC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5218A1DD">
                  <w:pPr>
                    <w:pStyle w:val="38"/>
                    <w:rPr>
                      <w:rFonts w:hint="default" w:ascii="Times New Roman" w:hAnsi="Times New Roman" w:cs="Times New Roman"/>
                      <w:color w:val="auto"/>
                      <w:sz w:val="18"/>
                      <w:szCs w:val="18"/>
                      <w:highlight w:val="none"/>
                    </w:rPr>
                  </w:pPr>
                </w:p>
              </w:tc>
              <w:tc>
                <w:tcPr>
                  <w:tcW w:w="5670" w:type="dxa"/>
                  <w:vAlign w:val="center"/>
                </w:tcPr>
                <w:p w14:paraId="79B97A7F">
                  <w:pPr>
                    <w:pStyle w:val="38"/>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煤炭</w:t>
                  </w:r>
                  <w:r>
                    <w:rPr>
                      <w:rFonts w:hint="eastAsia" w:cs="Times New Roman"/>
                      <w:color w:val="auto"/>
                      <w:sz w:val="18"/>
                      <w:szCs w:val="18"/>
                      <w:highlight w:val="none"/>
                      <w:lang w:val="en-US" w:eastAsia="zh-CN"/>
                    </w:rPr>
                    <w:t>苫布</w:t>
                  </w:r>
                  <w:r>
                    <w:rPr>
                      <w:rFonts w:hint="default" w:ascii="Times New Roman" w:hAnsi="Times New Roman" w:cs="Times New Roman"/>
                      <w:color w:val="auto"/>
                      <w:sz w:val="18"/>
                      <w:szCs w:val="18"/>
                      <w:highlight w:val="none"/>
                      <w:lang w:val="en-US" w:eastAsia="zh-CN"/>
                    </w:rPr>
                    <w:t>苫盖</w:t>
                  </w:r>
                </w:p>
              </w:tc>
              <w:tc>
                <w:tcPr>
                  <w:tcW w:w="1433" w:type="dxa"/>
                  <w:vAlign w:val="center"/>
                </w:tcPr>
                <w:p w14:paraId="5372EF88">
                  <w:pPr>
                    <w:pStyle w:val="38"/>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r>
            <w:tr w14:paraId="6AB45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7B103350">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废水治理措施</w:t>
                  </w:r>
                </w:p>
              </w:tc>
              <w:tc>
                <w:tcPr>
                  <w:tcW w:w="5670" w:type="dxa"/>
                  <w:vAlign w:val="center"/>
                </w:tcPr>
                <w:p w14:paraId="4B9CDDEB">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初期雨水收集池</w:t>
                  </w:r>
                  <w:r>
                    <w:rPr>
                      <w:rFonts w:hint="default" w:ascii="Times New Roman" w:hAnsi="Times New Roman" w:cs="Times New Roman"/>
                      <w:color w:val="auto"/>
                      <w:kern w:val="0"/>
                      <w:sz w:val="18"/>
                      <w:szCs w:val="18"/>
                      <w:highlight w:val="none"/>
                      <w:lang w:val="en-US" w:eastAsia="zh-CN" w:bidi="ar"/>
                    </w:rPr>
                    <w:t>（包含防渗措施）、雨水导流沟</w:t>
                  </w:r>
                </w:p>
              </w:tc>
              <w:tc>
                <w:tcPr>
                  <w:tcW w:w="1433" w:type="dxa"/>
                  <w:vAlign w:val="center"/>
                </w:tcPr>
                <w:p w14:paraId="3B7DC031">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4</w:t>
                  </w:r>
                </w:p>
              </w:tc>
            </w:tr>
            <w:tr w14:paraId="5CF489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4361174A">
                  <w:pPr>
                    <w:pStyle w:val="38"/>
                    <w:rPr>
                      <w:rFonts w:hint="default" w:ascii="Times New Roman" w:hAnsi="Times New Roman" w:cs="Times New Roman"/>
                      <w:color w:val="auto"/>
                      <w:sz w:val="18"/>
                      <w:szCs w:val="18"/>
                      <w:highlight w:val="none"/>
                    </w:rPr>
                  </w:pPr>
                </w:p>
              </w:tc>
              <w:tc>
                <w:tcPr>
                  <w:tcW w:w="5670" w:type="dxa"/>
                  <w:vAlign w:val="center"/>
                </w:tcPr>
                <w:p w14:paraId="0EFF1270">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防渗旱厕</w:t>
                  </w:r>
                  <w:r>
                    <w:rPr>
                      <w:rFonts w:hint="default" w:ascii="Times New Roman" w:hAnsi="Times New Roman" w:cs="Times New Roman"/>
                      <w:color w:val="auto"/>
                      <w:kern w:val="0"/>
                      <w:sz w:val="18"/>
                      <w:szCs w:val="18"/>
                      <w:highlight w:val="none"/>
                      <w:lang w:val="en-US" w:eastAsia="zh-CN" w:bidi="ar"/>
                    </w:rPr>
                    <w:t>（包含防渗措施）</w:t>
                  </w:r>
                </w:p>
              </w:tc>
              <w:tc>
                <w:tcPr>
                  <w:tcW w:w="1433" w:type="dxa"/>
                  <w:vAlign w:val="center"/>
                </w:tcPr>
                <w:p w14:paraId="54B0E8A9">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r>
            <w:tr w14:paraId="72708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39A389DE">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噪声治理措施</w:t>
                  </w:r>
                </w:p>
              </w:tc>
              <w:tc>
                <w:tcPr>
                  <w:tcW w:w="5670" w:type="dxa"/>
                  <w:vAlign w:val="center"/>
                </w:tcPr>
                <w:p w14:paraId="1809E22E">
                  <w:pPr>
                    <w:pStyle w:val="38"/>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选取低噪声设备</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定期维护</w:t>
                  </w:r>
                </w:p>
              </w:tc>
              <w:tc>
                <w:tcPr>
                  <w:tcW w:w="1433" w:type="dxa"/>
                  <w:vAlign w:val="center"/>
                </w:tcPr>
                <w:p w14:paraId="7CEF3423">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r>
            <w:tr w14:paraId="7A861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restart"/>
                  <w:vAlign w:val="center"/>
                </w:tcPr>
                <w:p w14:paraId="0514020C">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固废治理措施</w:t>
                  </w:r>
                </w:p>
              </w:tc>
              <w:tc>
                <w:tcPr>
                  <w:tcW w:w="5670" w:type="dxa"/>
                  <w:vAlign w:val="center"/>
                </w:tcPr>
                <w:p w14:paraId="5A3F6FD4">
                  <w:pPr>
                    <w:pStyle w:val="38"/>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生活垃圾</w:t>
                  </w:r>
                  <w:r>
                    <w:rPr>
                      <w:rFonts w:hint="default" w:ascii="Times New Roman" w:hAnsi="Times New Roman" w:cs="Times New Roman"/>
                      <w:color w:val="auto"/>
                      <w:kern w:val="0"/>
                      <w:sz w:val="18"/>
                      <w:szCs w:val="18"/>
                      <w:highlight w:val="none"/>
                      <w:lang w:val="en-US" w:eastAsia="zh-CN" w:bidi="ar"/>
                    </w:rPr>
                    <w:t>收集箱</w:t>
                  </w:r>
                </w:p>
              </w:tc>
              <w:tc>
                <w:tcPr>
                  <w:tcW w:w="1433" w:type="dxa"/>
                  <w:vAlign w:val="center"/>
                </w:tcPr>
                <w:p w14:paraId="2819C495">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0.1</w:t>
                  </w:r>
                </w:p>
              </w:tc>
            </w:tr>
            <w:tr w14:paraId="24B2A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Merge w:val="continue"/>
                  <w:vAlign w:val="center"/>
                </w:tcPr>
                <w:p w14:paraId="5472F794">
                  <w:pPr>
                    <w:pStyle w:val="38"/>
                    <w:rPr>
                      <w:rFonts w:hint="default" w:ascii="Times New Roman" w:hAnsi="Times New Roman" w:cs="Times New Roman"/>
                      <w:color w:val="auto"/>
                      <w:sz w:val="18"/>
                      <w:szCs w:val="18"/>
                      <w:highlight w:val="none"/>
                    </w:rPr>
                  </w:pPr>
                </w:p>
              </w:tc>
              <w:tc>
                <w:tcPr>
                  <w:tcW w:w="5670" w:type="dxa"/>
                  <w:vAlign w:val="center"/>
                </w:tcPr>
                <w:p w14:paraId="6C07B83E">
                  <w:pPr>
                    <w:pStyle w:val="38"/>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危险废物贮存点（包含防渗措施）</w:t>
                  </w:r>
                </w:p>
              </w:tc>
              <w:tc>
                <w:tcPr>
                  <w:tcW w:w="1433" w:type="dxa"/>
                  <w:vAlign w:val="center"/>
                </w:tcPr>
                <w:p w14:paraId="45BC4710">
                  <w:pPr>
                    <w:pStyle w:val="38"/>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0.2</w:t>
                  </w:r>
                </w:p>
              </w:tc>
            </w:tr>
            <w:tr w14:paraId="44232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66BD093">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土壤</w:t>
                  </w:r>
                  <w:r>
                    <w:rPr>
                      <w:rFonts w:hint="eastAsia" w:cs="Times New Roman"/>
                      <w:color w:val="auto"/>
                      <w:sz w:val="18"/>
                      <w:szCs w:val="18"/>
                      <w:highlight w:val="none"/>
                      <w:lang w:val="en-US" w:eastAsia="zh-CN"/>
                    </w:rPr>
                    <w:t>、地下水</w:t>
                  </w:r>
                  <w:r>
                    <w:rPr>
                      <w:rFonts w:hint="default" w:ascii="Times New Roman" w:hAnsi="Times New Roman" w:cs="Times New Roman"/>
                      <w:color w:val="auto"/>
                      <w:sz w:val="18"/>
                      <w:szCs w:val="18"/>
                      <w:highlight w:val="none"/>
                      <w:lang w:val="en-US" w:eastAsia="zh-CN"/>
                    </w:rPr>
                    <w:t>治理措施</w:t>
                  </w:r>
                </w:p>
              </w:tc>
              <w:tc>
                <w:tcPr>
                  <w:tcW w:w="5670" w:type="dxa"/>
                  <w:vAlign w:val="center"/>
                </w:tcPr>
                <w:p w14:paraId="02D566BA">
                  <w:pPr>
                    <w:pStyle w:val="38"/>
                    <w:jc w:val="center"/>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煤炭堆场地面硬化（包含防渗措施）</w:t>
                  </w:r>
                </w:p>
              </w:tc>
              <w:tc>
                <w:tcPr>
                  <w:tcW w:w="1433" w:type="dxa"/>
                  <w:vAlign w:val="center"/>
                </w:tcPr>
                <w:p w14:paraId="53A23544">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r>
            <w:tr w14:paraId="5239B7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7820C915">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环保设施</w:t>
                  </w:r>
                </w:p>
                <w:p w14:paraId="51A7BB14">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运行费用</w:t>
                  </w:r>
                </w:p>
              </w:tc>
              <w:tc>
                <w:tcPr>
                  <w:tcW w:w="5670" w:type="dxa"/>
                  <w:vAlign w:val="center"/>
                </w:tcPr>
                <w:p w14:paraId="4B963F5A">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环保设施的运行、维护、维修费用</w:t>
                  </w:r>
                </w:p>
              </w:tc>
              <w:tc>
                <w:tcPr>
                  <w:tcW w:w="1433" w:type="dxa"/>
                  <w:vAlign w:val="center"/>
                </w:tcPr>
                <w:p w14:paraId="5CCCFB2F">
                  <w:pPr>
                    <w:pStyle w:val="38"/>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2</w:t>
                  </w:r>
                </w:p>
              </w:tc>
            </w:tr>
            <w:tr w14:paraId="42BDC3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14" w:type="dxa"/>
                  <w:vAlign w:val="center"/>
                </w:tcPr>
                <w:p w14:paraId="60600F2C">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日常</w:t>
                  </w:r>
                </w:p>
              </w:tc>
              <w:tc>
                <w:tcPr>
                  <w:tcW w:w="5670" w:type="dxa"/>
                  <w:vAlign w:val="center"/>
                </w:tcPr>
                <w:p w14:paraId="33EA67FE">
                  <w:pPr>
                    <w:pStyle w:val="3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例行监测</w:t>
                  </w:r>
                </w:p>
              </w:tc>
              <w:tc>
                <w:tcPr>
                  <w:tcW w:w="1433" w:type="dxa"/>
                  <w:vAlign w:val="center"/>
                </w:tcPr>
                <w:p w14:paraId="7CED3DE1">
                  <w:pPr>
                    <w:pStyle w:val="38"/>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r>
            <w:tr w14:paraId="1A851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4F63A8C9">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环保投资（万元）</w:t>
                  </w:r>
                </w:p>
              </w:tc>
              <w:tc>
                <w:tcPr>
                  <w:tcW w:w="1433" w:type="dxa"/>
                  <w:vAlign w:val="center"/>
                </w:tcPr>
                <w:p w14:paraId="50FEF6DB">
                  <w:pPr>
                    <w:pStyle w:val="38"/>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31.8</w:t>
                  </w:r>
                </w:p>
              </w:tc>
            </w:tr>
            <w:tr w14:paraId="09D31D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3AE9676">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总</w:t>
                  </w:r>
                  <w:r>
                    <w:rPr>
                      <w:rFonts w:hint="default" w:ascii="Times New Roman" w:hAnsi="Times New Roman" w:cs="Times New Roman"/>
                      <w:color w:val="auto"/>
                      <w:sz w:val="18"/>
                      <w:szCs w:val="18"/>
                      <w:highlight w:val="none"/>
                    </w:rPr>
                    <w:t>投资（万元）</w:t>
                  </w:r>
                </w:p>
              </w:tc>
              <w:tc>
                <w:tcPr>
                  <w:tcW w:w="1433" w:type="dxa"/>
                  <w:vAlign w:val="center"/>
                </w:tcPr>
                <w:p w14:paraId="1C3907D0">
                  <w:pPr>
                    <w:pStyle w:val="38"/>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w:t>
                  </w:r>
                </w:p>
              </w:tc>
            </w:tr>
            <w:tr w14:paraId="668A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84" w:type="dxa"/>
                  <w:gridSpan w:val="2"/>
                  <w:vAlign w:val="center"/>
                </w:tcPr>
                <w:p w14:paraId="1D5E9E84">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占总投资比例（%）</w:t>
                  </w:r>
                </w:p>
              </w:tc>
              <w:tc>
                <w:tcPr>
                  <w:tcW w:w="1433" w:type="dxa"/>
                  <w:vAlign w:val="center"/>
                </w:tcPr>
                <w:p w14:paraId="01E3F7FD">
                  <w:pPr>
                    <w:pStyle w:val="38"/>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6.36</w:t>
                  </w:r>
                </w:p>
              </w:tc>
            </w:tr>
          </w:tbl>
          <w:p w14:paraId="3A3A5CF2">
            <w:pPr>
              <w:pStyle w:val="34"/>
              <w:spacing w:line="360" w:lineRule="auto"/>
              <w:ind w:firstLine="0"/>
              <w:rPr>
                <w:rFonts w:hint="default" w:ascii="Times New Roman" w:hAnsi="Times New Roman" w:cs="Times New Roman"/>
                <w:color w:val="auto"/>
                <w:highlight w:val="none"/>
              </w:rPr>
            </w:pPr>
          </w:p>
        </w:tc>
      </w:tr>
      <w:tr w14:paraId="380DC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233" w:hRule="atLeast"/>
          <w:jc w:val="center"/>
        </w:trPr>
        <w:tc>
          <w:tcPr>
            <w:tcW w:w="731" w:type="dxa"/>
            <w:vAlign w:val="center"/>
          </w:tcPr>
          <w:p w14:paraId="7B3C06D5">
            <w:pPr>
              <w:pStyle w:val="20"/>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705" w:type="dxa"/>
          </w:tcPr>
          <w:p w14:paraId="5B19E8BD">
            <w:pPr>
              <w:pStyle w:val="8"/>
              <w:spacing w:after="0" w:line="360" w:lineRule="auto"/>
              <w:ind w:left="0" w:left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工艺流程简述：</w:t>
            </w:r>
          </w:p>
          <w:p w14:paraId="51F781F2">
            <w:pPr>
              <w:pStyle w:val="34"/>
              <w:spacing w:line="360" w:lineRule="auto"/>
              <w:ind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、施工期</w:t>
            </w:r>
          </w:p>
          <w:p w14:paraId="4443D9DE">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本次主要建设内容为场地平整、地面硬化，建设煤炭储存配套相应环保设施。</w:t>
            </w:r>
            <w:r>
              <w:rPr>
                <w:rFonts w:hint="default" w:ascii="Times New Roman" w:hAnsi="Times New Roman" w:eastAsia="宋体" w:cs="Times New Roman"/>
                <w:bCs/>
                <w:color w:val="auto"/>
                <w:sz w:val="21"/>
                <w:szCs w:val="21"/>
                <w:highlight w:val="none"/>
              </w:rPr>
              <w:t>主要影</w:t>
            </w:r>
            <w:r>
              <w:rPr>
                <w:rFonts w:hint="default" w:ascii="Times New Roman" w:hAnsi="Times New Roman" w:cs="Times New Roman"/>
                <w:bCs/>
                <w:color w:val="auto"/>
                <w:sz w:val="21"/>
                <w:szCs w:val="21"/>
                <w:highlight w:val="none"/>
              </w:rPr>
              <w:t>响范围为项目场区区域，施工过程将产生施工扬尘、施工废水、施工噪声、施工固废及生活垃圾等污染物，主要环境影响因子包括环境空气、水环境、声环境、生态环境等</w:t>
            </w:r>
            <w:r>
              <w:rPr>
                <w:rFonts w:hint="default" w:ascii="Times New Roman" w:hAnsi="Times New Roman" w:cs="Times New Roman"/>
                <w:bCs/>
                <w:color w:val="auto"/>
                <w:sz w:val="21"/>
                <w:szCs w:val="21"/>
                <w:highlight w:val="none"/>
                <w:lang w:eastAsia="zh-CN"/>
              </w:rPr>
              <w:t>。</w:t>
            </w:r>
          </w:p>
          <w:p w14:paraId="2AE18220">
            <w:pPr>
              <w:pStyle w:val="34"/>
              <w:spacing w:line="360" w:lineRule="auto"/>
              <w:ind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、营运期</w:t>
            </w:r>
          </w:p>
          <w:p w14:paraId="513A92E2">
            <w:pPr>
              <w:pStyle w:val="34"/>
              <w:spacing w:line="360" w:lineRule="auto"/>
              <w:ind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本项目属于煤炭经营销售，只是利用固定场所贮存和销售。主要工艺流程为汽车运至煤炭场内贮存，根据客户要求，将煤炭装汽车运出即可。</w:t>
            </w:r>
            <w:r>
              <w:rPr>
                <w:rFonts w:hint="default" w:ascii="Times New Roman" w:hAnsi="Times New Roman" w:eastAsia="宋体" w:cs="Times New Roman"/>
                <w:color w:val="auto"/>
                <w:sz w:val="21"/>
                <w:szCs w:val="21"/>
                <w:highlight w:val="none"/>
              </w:rPr>
              <w:t>项目主要生产工艺流程及产污环节见下图2-</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p>
          <w:p w14:paraId="0F8F6D4B">
            <w:pPr>
              <w:pStyle w:val="34"/>
              <w:spacing w:line="360" w:lineRule="auto"/>
              <w:ind w:left="0" w:leftChars="0" w:firstLine="0" w:firstLineChars="0"/>
              <w:jc w:val="center"/>
              <w:rPr>
                <w:rFonts w:hint="default" w:ascii="Times New Roman" w:hAnsi="Times New Roman" w:cs="Times New Roman"/>
                <w:color w:val="auto"/>
                <w:highlight w:val="none"/>
                <w:lang w:eastAsia="zh-CN"/>
              </w:rPr>
            </w:pPr>
            <w:r>
              <w:rPr>
                <w:color w:val="auto"/>
                <w:highlight w:val="none"/>
              </w:rPr>
              <w:drawing>
                <wp:inline distT="0" distB="0" distL="114300" distR="114300">
                  <wp:extent cx="5418455" cy="3437890"/>
                  <wp:effectExtent l="0" t="0" r="10795" b="1016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16"/>
                          <a:stretch>
                            <a:fillRect/>
                          </a:stretch>
                        </pic:blipFill>
                        <pic:spPr>
                          <a:xfrm>
                            <a:off x="0" y="0"/>
                            <a:ext cx="5418455" cy="3437890"/>
                          </a:xfrm>
                          <a:prstGeom prst="rect">
                            <a:avLst/>
                          </a:prstGeom>
                          <a:noFill/>
                          <a:ln>
                            <a:noFill/>
                          </a:ln>
                        </pic:spPr>
                      </pic:pic>
                    </a:graphicData>
                  </a:graphic>
                </wp:inline>
              </w:drawing>
            </w:r>
          </w:p>
          <w:p w14:paraId="3C2DCEAE">
            <w:pPr>
              <w:jc w:val="center"/>
              <w:rPr>
                <w:rFonts w:hint="default" w:ascii="Times New Roman" w:hAnsi="Times New Roman" w:cs="Times New Roman"/>
                <w:color w:val="auto"/>
                <w:highlight w:val="none"/>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工艺流程及产污节点图</w:t>
            </w:r>
          </w:p>
        </w:tc>
      </w:tr>
      <w:tr w14:paraId="22B28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0465BE1D">
            <w:pPr>
              <w:pStyle w:val="20"/>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bCs/>
                <w:color w:val="auto"/>
                <w:kern w:val="2"/>
                <w:szCs w:val="24"/>
                <w:highlight w:val="none"/>
              </w:rPr>
              <w:t>与项目有关的原有环境污染问题</w:t>
            </w:r>
          </w:p>
        </w:tc>
        <w:tc>
          <w:tcPr>
            <w:tcW w:w="8705" w:type="dxa"/>
            <w:vAlign w:val="center"/>
          </w:tcPr>
          <w:p w14:paraId="2CA00A4C">
            <w:pPr>
              <w:keepNext w:val="0"/>
              <w:keepLines w:val="0"/>
              <w:pageBreakBefore w:val="0"/>
              <w:widowControl w:val="0"/>
              <w:kinsoku/>
              <w:wordWrap/>
              <w:overflowPunct w:val="0"/>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本项目为新建项目，</w:t>
            </w:r>
            <w:r>
              <w:rPr>
                <w:rFonts w:hint="default" w:ascii="Times New Roman" w:hAnsi="Times New Roman" w:cs="Times New Roman"/>
                <w:color w:val="auto"/>
                <w:sz w:val="21"/>
                <w:szCs w:val="21"/>
                <w:highlight w:val="none"/>
                <w:lang w:val="en-US" w:eastAsia="zh-CN"/>
              </w:rPr>
              <w:t>项目无原有环境问题</w:t>
            </w:r>
            <w:r>
              <w:rPr>
                <w:rFonts w:hint="default" w:ascii="Times New Roman" w:hAnsi="Times New Roman" w:cs="Times New Roman"/>
                <w:color w:val="auto"/>
                <w:sz w:val="21"/>
                <w:szCs w:val="21"/>
                <w:highlight w:val="none"/>
                <w:lang w:eastAsia="zh-CN"/>
              </w:rPr>
              <w:t>。</w:t>
            </w:r>
          </w:p>
        </w:tc>
      </w:tr>
    </w:tbl>
    <w:p w14:paraId="0715B5FE">
      <w:pPr>
        <w:pStyle w:val="20"/>
        <w:jc w:val="center"/>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253B6B1">
      <w:pPr>
        <w:pStyle w:val="20"/>
        <w:jc w:val="center"/>
        <w:outlineLvl w:val="0"/>
        <w:rPr>
          <w:rFonts w:hint="eastAsia" w:ascii="宋体" w:hAnsi="宋体" w:eastAsia="宋体" w:cs="宋体"/>
          <w:snapToGrid w:val="0"/>
          <w:color w:val="auto"/>
          <w:sz w:val="30"/>
          <w:szCs w:val="30"/>
          <w:highlight w:val="none"/>
        </w:rPr>
      </w:pPr>
      <w:bookmarkStart w:id="23" w:name="_Toc5692"/>
      <w:bookmarkStart w:id="24" w:name="_Toc27596"/>
      <w:bookmarkStart w:id="25" w:name="_Toc4206"/>
      <w:bookmarkStart w:id="26" w:name="_Toc21528"/>
      <w:r>
        <w:rPr>
          <w:rFonts w:hint="eastAsia" w:ascii="宋体" w:hAnsi="宋体" w:eastAsia="宋体" w:cs="宋体"/>
          <w:snapToGrid w:val="0"/>
          <w:color w:val="auto"/>
          <w:sz w:val="30"/>
          <w:szCs w:val="30"/>
          <w:highlight w:val="none"/>
        </w:rPr>
        <w:t>三、区域环境质量现状、环境保护目标及评价标准</w:t>
      </w:r>
      <w:bookmarkEnd w:id="23"/>
      <w:bookmarkEnd w:id="24"/>
      <w:bookmarkEnd w:id="25"/>
      <w:bookmarkEnd w:id="26"/>
    </w:p>
    <w:tbl>
      <w:tblPr>
        <w:tblStyle w:val="24"/>
        <w:tblW w:w="93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4"/>
        <w:gridCol w:w="8688"/>
      </w:tblGrid>
      <w:tr w14:paraId="10CA0F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4" w:type="dxa"/>
            <w:vAlign w:val="center"/>
          </w:tcPr>
          <w:p w14:paraId="5FEC0BD1">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8BFFF1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54A55B0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21930806">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688" w:type="dxa"/>
          </w:tcPr>
          <w:p w14:paraId="3B0DF9B4">
            <w:pPr>
              <w:spacing w:line="360" w:lineRule="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1、大气环境</w:t>
            </w:r>
          </w:p>
          <w:p w14:paraId="692732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sz w:val="21"/>
                <w:szCs w:val="21"/>
                <w:highlight w:val="none"/>
              </w:rPr>
              <w:t>根据</w:t>
            </w:r>
            <w:r>
              <w:rPr>
                <w:rFonts w:hint="eastAsia" w:cs="Times New Roman"/>
                <w:color w:val="auto"/>
                <w:sz w:val="21"/>
                <w:szCs w:val="21"/>
                <w:highlight w:val="none"/>
                <w:lang w:eastAsia="zh-CN"/>
              </w:rPr>
              <w:t>《2025年黑龙江省生态环境质量状况》（2026年1月）</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鸡西市空气质量级别达二级标准，</w:t>
            </w:r>
            <w:r>
              <w:rPr>
                <w:rFonts w:hint="eastAsia" w:cs="Times New Roman"/>
                <w:color w:val="auto"/>
                <w:sz w:val="21"/>
                <w:szCs w:val="21"/>
                <w:highlight w:val="none"/>
                <w:lang w:val="en-US" w:eastAsia="zh-CN"/>
              </w:rPr>
              <w:t>达标天数为350天</w:t>
            </w:r>
            <w:r>
              <w:rPr>
                <w:rFonts w:hint="default" w:ascii="Times New Roman" w:hAnsi="Times New Roman" w:cs="Times New Roman"/>
                <w:color w:val="auto"/>
                <w:sz w:val="21"/>
                <w:szCs w:val="21"/>
                <w:highlight w:val="none"/>
                <w:lang w:val="en-US" w:eastAsia="zh-CN"/>
              </w:rPr>
              <w:t>（95.9%）</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0.9</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w:t>
            </w:r>
            <w:r>
              <w:rPr>
                <w:rFonts w:hint="eastAsia" w:cs="Times New Roman"/>
                <w:color w:val="auto"/>
                <w:sz w:val="21"/>
                <w:szCs w:val="21"/>
                <w:highlight w:val="none"/>
                <w:vertAlign w:val="baseline"/>
                <w:lang w:val="en-US" w:eastAsia="zh-CN"/>
              </w:rPr>
              <w:t>115</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w:t>
            </w:r>
            <w:r>
              <w:rPr>
                <w:rFonts w:hint="eastAsia" w:cs="Times New Roman"/>
                <w:color w:val="auto"/>
                <w:kern w:val="21"/>
                <w:sz w:val="21"/>
                <w:szCs w:val="21"/>
                <w:highlight w:val="none"/>
                <w:lang w:val="en-US" w:eastAsia="zh-CN"/>
              </w:rPr>
              <w:t>26</w:t>
            </w:r>
            <w:r>
              <w:rPr>
                <w:rFonts w:hint="default" w:ascii="Times New Roman" w:hAnsi="Times New Roman" w:eastAsia="宋体" w:cs="Times New Roman"/>
                <w:color w:val="auto"/>
                <w:kern w:val="21"/>
                <w:sz w:val="21"/>
                <w:szCs w:val="21"/>
                <w:highlight w:val="none"/>
              </w:rPr>
              <w:t>）中的二级标准</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28D94A57">
            <w:pPr>
              <w:pStyle w:val="17"/>
              <w:rPr>
                <w:rFonts w:hint="default" w:ascii="Times New Roman" w:hAnsi="Times New Roman" w:eastAsia="宋体" w:cs="Times New Roman"/>
                <w:b/>
                <w:bCs/>
                <w:color w:val="auto"/>
                <w:szCs w:val="24"/>
                <w:highlight w:val="none"/>
              </w:rPr>
            </w:pPr>
            <w:r>
              <w:rPr>
                <w:rFonts w:hint="default" w:ascii="Times New Roman" w:hAnsi="Times New Roman" w:cs="Times New Roman"/>
                <w:color w:val="auto"/>
                <w:highlight w:val="none"/>
              </w:rPr>
              <w:drawing>
                <wp:inline distT="0" distB="0" distL="114300" distR="114300">
                  <wp:extent cx="4920615" cy="4121785"/>
                  <wp:effectExtent l="0" t="0" r="13335" b="12065"/>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17"/>
                          <a:stretch>
                            <a:fillRect/>
                          </a:stretch>
                        </pic:blipFill>
                        <pic:spPr>
                          <a:xfrm>
                            <a:off x="0" y="0"/>
                            <a:ext cx="4920615" cy="4121785"/>
                          </a:xfrm>
                          <a:prstGeom prst="rect">
                            <a:avLst/>
                          </a:prstGeom>
                          <a:noFill/>
                          <a:ln>
                            <a:noFill/>
                          </a:ln>
                        </pic:spPr>
                      </pic:pic>
                    </a:graphicData>
                  </a:graphic>
                </wp:inline>
              </w:drawing>
            </w:r>
          </w:p>
          <w:p w14:paraId="15A2B3A1">
            <w:pPr>
              <w:pStyle w:val="5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sz w:val="21"/>
                <w:szCs w:val="21"/>
                <w:highlight w:val="none"/>
              </w:rPr>
              <w:t>图3-1  202</w:t>
            </w: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年全省及各市（地）污染物浓度达标情况图</w:t>
            </w:r>
          </w:p>
          <w:p w14:paraId="0C6C929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特征污染物  </w:t>
            </w:r>
          </w:p>
          <w:p w14:paraId="2DF5F36F">
            <w:pPr>
              <w:pStyle w:val="51"/>
              <w:keepLines w:val="0"/>
              <w:pageBreakBefore w:val="0"/>
              <w:widowControl w:val="0"/>
              <w:kinsoku/>
              <w:wordWrap/>
              <w:overflowPunct/>
              <w:topLinePunct w:val="0"/>
              <w:autoSpaceDE/>
              <w:autoSpaceDN/>
              <w:bidi w:val="0"/>
              <w:spacing w:line="360" w:lineRule="auto"/>
              <w:ind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根据《建设项目环境影响报告表编制技术指南》（污染影响类）（试行）排放国家、地方环境空气质量标准中有标准限值要求的特征污染物时，可引用建设项目周边5千米范围内近3年的现有监测数据，本项目引用《鸡西市茂江煤炭洗选有限公司建设项目》（2024.6.</w:t>
            </w:r>
            <w:r>
              <w:rPr>
                <w:rFonts w:hint="eastAsia" w:eastAsia="宋体" w:cs="Times New Roman"/>
                <w:color w:val="auto"/>
                <w:kern w:val="2"/>
                <w:sz w:val="21"/>
                <w:szCs w:val="21"/>
                <w:highlight w:val="none"/>
                <w:lang w:val="en-US" w:eastAsia="zh-CN" w:bidi="ar-SA"/>
              </w:rPr>
              <w:t>14</w:t>
            </w:r>
            <w:r>
              <w:rPr>
                <w:rFonts w:hint="default" w:ascii="Times New Roman" w:hAnsi="Times New Roman" w:eastAsia="宋体" w:cs="Times New Roman"/>
                <w:color w:val="auto"/>
                <w:kern w:val="2"/>
                <w:sz w:val="21"/>
                <w:szCs w:val="21"/>
                <w:highlight w:val="none"/>
                <w:lang w:val="en-US" w:eastAsia="zh-CN" w:bidi="ar-SA"/>
              </w:rPr>
              <w:t>）检测报告，距离本项目</w:t>
            </w:r>
            <w:r>
              <w:rPr>
                <w:rFonts w:hint="eastAsia" w:eastAsia="宋体" w:cs="Times New Roman"/>
                <w:color w:val="auto"/>
                <w:kern w:val="2"/>
                <w:sz w:val="21"/>
                <w:szCs w:val="21"/>
                <w:highlight w:val="none"/>
                <w:lang w:val="en-US" w:eastAsia="zh-CN" w:bidi="ar-SA"/>
              </w:rPr>
              <w:t>1600</w:t>
            </w:r>
            <w:r>
              <w:rPr>
                <w:rFonts w:hint="default" w:ascii="Times New Roman" w:hAnsi="Times New Roman" w:eastAsia="宋体" w:cs="Times New Roman"/>
                <w:color w:val="auto"/>
                <w:kern w:val="2"/>
                <w:sz w:val="21"/>
                <w:szCs w:val="21"/>
                <w:highlight w:val="none"/>
                <w:lang w:val="en-US" w:eastAsia="zh-CN" w:bidi="ar-SA"/>
              </w:rPr>
              <w:t>m。项目涉及的大气污染物均为TSP，现状检测结果如下：</w:t>
            </w:r>
          </w:p>
          <w:p w14:paraId="40488A5E">
            <w:pPr>
              <w:pStyle w:val="53"/>
              <w:rPr>
                <w:rFonts w:hint="default" w:ascii="Times New Roman" w:hAnsi="Times New Roman" w:cs="Times New Roman" w:eastAsiaTheme="minorEastAsia"/>
                <w:b/>
                <w:bCs w:val="0"/>
                <w:color w:val="auto"/>
                <w:kern w:val="2"/>
                <w:sz w:val="21"/>
                <w:szCs w:val="21"/>
                <w:highlight w:val="none"/>
                <w:lang w:val="en-US" w:eastAsia="zh-CN" w:bidi="ar-SA"/>
              </w:rPr>
            </w:pPr>
            <w:r>
              <w:rPr>
                <w:rFonts w:hint="default" w:ascii="Times New Roman" w:hAnsi="Times New Roman" w:cs="Times New Roman" w:eastAsiaTheme="minorEastAsia"/>
                <w:b/>
                <w:bCs w:val="0"/>
                <w:color w:val="auto"/>
                <w:kern w:val="2"/>
                <w:sz w:val="21"/>
                <w:szCs w:val="21"/>
                <w:highlight w:val="none"/>
                <w:lang w:val="en-US" w:eastAsia="zh-CN" w:bidi="ar-SA"/>
              </w:rPr>
              <w:t>表3-1 大气其他污染物环境质量现状（监测结果）表  （单位：mg/m</w:t>
            </w:r>
            <w:r>
              <w:rPr>
                <w:rFonts w:hint="default" w:ascii="Times New Roman" w:hAnsi="Times New Roman" w:cs="Times New Roman" w:eastAsiaTheme="minorEastAsia"/>
                <w:b/>
                <w:bCs w:val="0"/>
                <w:color w:val="auto"/>
                <w:kern w:val="2"/>
                <w:sz w:val="21"/>
                <w:szCs w:val="21"/>
                <w:highlight w:val="none"/>
                <w:vertAlign w:val="superscript"/>
                <w:lang w:val="en-US" w:eastAsia="zh-CN" w:bidi="ar-SA"/>
              </w:rPr>
              <w:t>3</w:t>
            </w:r>
            <w:r>
              <w:rPr>
                <w:rFonts w:hint="default" w:ascii="Times New Roman" w:hAnsi="Times New Roman" w:cs="Times New Roman" w:eastAsiaTheme="minorEastAsia"/>
                <w:b/>
                <w:bCs w:val="0"/>
                <w:color w:val="auto"/>
                <w:kern w:val="2"/>
                <w:sz w:val="21"/>
                <w:szCs w:val="21"/>
                <w:highlight w:val="none"/>
                <w:lang w:val="en-US" w:eastAsia="zh-CN" w:bidi="ar-SA"/>
              </w:rPr>
              <w:t>）</w:t>
            </w:r>
          </w:p>
          <w:tbl>
            <w:tblPr>
              <w:tblStyle w:val="24"/>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776"/>
              <w:gridCol w:w="1221"/>
              <w:gridCol w:w="1366"/>
              <w:gridCol w:w="942"/>
              <w:gridCol w:w="1210"/>
              <w:gridCol w:w="1211"/>
            </w:tblGrid>
            <w:tr w14:paraId="7ABAE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5" w:type="pct"/>
                  <w:noWrap w:val="0"/>
                  <w:vAlign w:val="center"/>
                </w:tcPr>
                <w:p w14:paraId="798B19D8">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名称</w:t>
                  </w:r>
                </w:p>
              </w:tc>
              <w:tc>
                <w:tcPr>
                  <w:tcW w:w="458" w:type="pct"/>
                  <w:noWrap w:val="0"/>
                  <w:vAlign w:val="center"/>
                </w:tcPr>
                <w:p w14:paraId="18F18C34">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污染物</w:t>
                  </w:r>
                </w:p>
              </w:tc>
              <w:tc>
                <w:tcPr>
                  <w:tcW w:w="721" w:type="pct"/>
                  <w:noWrap w:val="0"/>
                  <w:vAlign w:val="center"/>
                </w:tcPr>
                <w:p w14:paraId="10E545F2">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评价标准（</w:t>
                  </w:r>
                  <w:r>
                    <w:rPr>
                      <w:rFonts w:hint="default" w:ascii="Times New Roman" w:hAnsi="Times New Roman" w:cs="Times New Roman"/>
                      <w:color w:val="auto"/>
                      <w:sz w:val="18"/>
                      <w:szCs w:val="18"/>
                      <w:highlight w:val="none"/>
                      <w:lang w:val="en-US" w:eastAsia="zh-CN"/>
                    </w:rPr>
                    <w:t>m</w:t>
                  </w:r>
                  <w:r>
                    <w:rPr>
                      <w:rFonts w:hint="default" w:ascii="Times New Roman" w:hAnsi="Times New Roman" w:eastAsia="宋体" w:cs="Times New Roman"/>
                      <w:color w:val="auto"/>
                      <w:sz w:val="18"/>
                      <w:szCs w:val="18"/>
                      <w:highlight w:val="none"/>
                      <w:lang w:val="en-US" w:eastAsia="zh-CN"/>
                    </w:rPr>
                    <w:t>g/m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val="en-US" w:eastAsia="zh-CN"/>
                    </w:rPr>
                    <w:t>）</w:t>
                  </w:r>
                </w:p>
              </w:tc>
              <w:tc>
                <w:tcPr>
                  <w:tcW w:w="807" w:type="pct"/>
                  <w:noWrap w:val="0"/>
                  <w:vAlign w:val="center"/>
                </w:tcPr>
                <w:p w14:paraId="141FF5C5">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浓度范围（</w:t>
                  </w:r>
                  <w:r>
                    <w:rPr>
                      <w:rFonts w:hint="default" w:ascii="Times New Roman" w:hAnsi="Times New Roman" w:cs="Times New Roman"/>
                      <w:color w:val="auto"/>
                      <w:sz w:val="18"/>
                      <w:szCs w:val="18"/>
                      <w:highlight w:val="none"/>
                      <w:lang w:val="en-US" w:eastAsia="zh-CN"/>
                    </w:rPr>
                    <w:t>m</w:t>
                  </w:r>
                  <w:r>
                    <w:rPr>
                      <w:rFonts w:hint="default" w:ascii="Times New Roman" w:hAnsi="Times New Roman" w:eastAsia="宋体" w:cs="Times New Roman"/>
                      <w:color w:val="auto"/>
                      <w:sz w:val="18"/>
                      <w:szCs w:val="18"/>
                      <w:highlight w:val="none"/>
                      <w:lang w:val="en-US" w:eastAsia="zh-CN"/>
                    </w:rPr>
                    <w:t>g/m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val="en-US" w:eastAsia="zh-CN"/>
                    </w:rPr>
                    <w:t>）</w:t>
                  </w:r>
                </w:p>
              </w:tc>
              <w:tc>
                <w:tcPr>
                  <w:tcW w:w="556" w:type="pct"/>
                  <w:noWrap w:val="0"/>
                  <w:vAlign w:val="center"/>
                </w:tcPr>
                <w:p w14:paraId="4A324D8B">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最大占标率%</w:t>
                  </w:r>
                </w:p>
              </w:tc>
              <w:tc>
                <w:tcPr>
                  <w:tcW w:w="714" w:type="pct"/>
                  <w:noWrap w:val="0"/>
                  <w:vAlign w:val="center"/>
                </w:tcPr>
                <w:p w14:paraId="75A50AD8">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超标率%</w:t>
                  </w:r>
                </w:p>
              </w:tc>
              <w:tc>
                <w:tcPr>
                  <w:tcW w:w="715" w:type="pct"/>
                  <w:noWrap w:val="0"/>
                  <w:vAlign w:val="center"/>
                </w:tcPr>
                <w:p w14:paraId="561F766D">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达标情况</w:t>
                  </w:r>
                </w:p>
              </w:tc>
            </w:tr>
            <w:tr w14:paraId="7EFC37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25" w:type="pct"/>
                  <w:noWrap w:val="0"/>
                  <w:vAlign w:val="center"/>
                </w:tcPr>
                <w:p w14:paraId="78AED347">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下风向监测点</w:t>
                  </w:r>
                </w:p>
              </w:tc>
              <w:tc>
                <w:tcPr>
                  <w:tcW w:w="458" w:type="pct"/>
                  <w:noWrap w:val="0"/>
                  <w:vAlign w:val="center"/>
                </w:tcPr>
                <w:p w14:paraId="37E928DD">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TSP</w:t>
                  </w:r>
                </w:p>
              </w:tc>
              <w:tc>
                <w:tcPr>
                  <w:tcW w:w="721" w:type="pct"/>
                  <w:noWrap w:val="0"/>
                  <w:vAlign w:val="center"/>
                </w:tcPr>
                <w:p w14:paraId="7EAC26C6">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0.3</w:t>
                  </w:r>
                </w:p>
              </w:tc>
              <w:tc>
                <w:tcPr>
                  <w:tcW w:w="807" w:type="pct"/>
                  <w:noWrap w:val="0"/>
                  <w:vAlign w:val="center"/>
                </w:tcPr>
                <w:p w14:paraId="0B503EFC">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ascii="Times New Roman" w:hAnsi="Times New Roman" w:cs="Times New Roman"/>
                      <w:color w:val="auto"/>
                      <w:sz w:val="18"/>
                      <w:szCs w:val="18"/>
                      <w:highlight w:val="none"/>
                      <w:lang w:val="en-US" w:eastAsia="zh-CN"/>
                    </w:rPr>
                    <w:t>44</w:t>
                  </w:r>
                  <w:r>
                    <w:rPr>
                      <w:rFonts w:hint="default" w:ascii="Times New Roman" w:hAnsi="Times New Roman" w:cs="Times New Roman"/>
                      <w:color w:val="auto"/>
                      <w:sz w:val="18"/>
                      <w:szCs w:val="18"/>
                      <w:highlight w:val="none"/>
                      <w:lang w:val="en-US" w:eastAsia="zh-CN"/>
                    </w:rPr>
                    <w:t>-0.0</w:t>
                  </w:r>
                  <w:r>
                    <w:rPr>
                      <w:rFonts w:hint="eastAsia" w:ascii="Times New Roman" w:hAnsi="Times New Roman" w:cs="Times New Roman"/>
                      <w:color w:val="auto"/>
                      <w:sz w:val="18"/>
                      <w:szCs w:val="18"/>
                      <w:highlight w:val="none"/>
                      <w:lang w:val="en-US" w:eastAsia="zh-CN"/>
                    </w:rPr>
                    <w:t>52</w:t>
                  </w:r>
                </w:p>
              </w:tc>
              <w:tc>
                <w:tcPr>
                  <w:tcW w:w="556" w:type="pct"/>
                  <w:noWrap w:val="0"/>
                  <w:vAlign w:val="center"/>
                </w:tcPr>
                <w:p w14:paraId="4D363AB5">
                  <w:pPr>
                    <w:pStyle w:val="54"/>
                    <w:spacing w:line="360" w:lineRule="exac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17.3</w:t>
                  </w:r>
                </w:p>
              </w:tc>
              <w:tc>
                <w:tcPr>
                  <w:tcW w:w="714" w:type="pct"/>
                  <w:noWrap w:val="0"/>
                  <w:vAlign w:val="center"/>
                </w:tcPr>
                <w:p w14:paraId="409F7586">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p>
              </w:tc>
              <w:tc>
                <w:tcPr>
                  <w:tcW w:w="715" w:type="pct"/>
                  <w:noWrap w:val="0"/>
                  <w:vAlign w:val="center"/>
                </w:tcPr>
                <w:p w14:paraId="536FCC94">
                  <w:pPr>
                    <w:pStyle w:val="54"/>
                    <w:spacing w:line="360" w:lineRule="exac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达标</w:t>
                  </w:r>
                </w:p>
              </w:tc>
            </w:tr>
          </w:tbl>
          <w:p w14:paraId="6B33B78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由上表可以看出，本项目TSP 24小时平均浓度值满足《环境空气质量标准》（GB3095-20</w:t>
            </w:r>
            <w:r>
              <w:rPr>
                <w:rFonts w:hint="eastAsia" w:cs="Times New Roman"/>
                <w:color w:val="auto"/>
                <w:kern w:val="2"/>
                <w:sz w:val="21"/>
                <w:szCs w:val="21"/>
                <w:highlight w:val="none"/>
                <w:lang w:val="en-US" w:eastAsia="zh-CN" w:bidi="ar-SA"/>
              </w:rPr>
              <w:t>26</w:t>
            </w:r>
            <w:r>
              <w:rPr>
                <w:rFonts w:hint="default" w:ascii="Times New Roman" w:hAnsi="Times New Roman" w:eastAsia="宋体" w:cs="Times New Roman"/>
                <w:color w:val="auto"/>
                <w:kern w:val="2"/>
                <w:sz w:val="21"/>
                <w:szCs w:val="21"/>
                <w:highlight w:val="none"/>
                <w:lang w:val="en-US" w:eastAsia="zh-CN" w:bidi="ar-SA"/>
              </w:rPr>
              <w:t>）二级标准要求，区域环境空气质量良好</w:t>
            </w:r>
            <w:r>
              <w:rPr>
                <w:rFonts w:hint="default" w:ascii="Times New Roman" w:hAnsi="Times New Roman" w:eastAsia="宋体" w:cs="Times New Roman"/>
                <w:color w:val="auto"/>
                <w:sz w:val="21"/>
                <w:szCs w:val="21"/>
                <w:highlight w:val="none"/>
                <w:lang w:val="en-US" w:eastAsia="zh-CN"/>
              </w:rPr>
              <w:t>。</w:t>
            </w:r>
          </w:p>
          <w:p w14:paraId="7D06602A">
            <w:pPr>
              <w:pStyle w:val="2"/>
              <w:keepNext w:val="0"/>
              <w:keepLines w:val="0"/>
              <w:pageBreakBefore w:val="0"/>
              <w:widowControl/>
              <w:kinsoku/>
              <w:wordWrap/>
              <w:overflowPunct/>
              <w:topLinePunct w:val="0"/>
              <w:autoSpaceDE/>
              <w:autoSpaceDN/>
              <w:bidi w:val="0"/>
              <w:adjustRightInd w:val="0"/>
              <w:snapToGrid w:val="0"/>
              <w:spacing w:before="0" w:after="0" w:line="240" w:lineRule="auto"/>
              <w:ind w:right="113"/>
              <w:jc w:val="center"/>
              <w:textAlignment w:val="auto"/>
              <w:rPr>
                <w:rFonts w:hint="default" w:ascii="Times New Roman" w:hAnsi="Times New Roman" w:cs="Times New Roman" w:eastAsiaTheme="minorEastAsia"/>
                <w:b/>
                <w:bCs w:val="0"/>
                <w:color w:val="auto"/>
                <w:sz w:val="21"/>
                <w:szCs w:val="21"/>
                <w:highlight w:val="none"/>
                <w:lang w:val="en-US" w:eastAsia="zh-CN"/>
              </w:rPr>
            </w:pPr>
            <w:r>
              <w:rPr>
                <w:rFonts w:hint="default" w:ascii="Times New Roman" w:hAnsi="Times New Roman" w:cs="Times New Roman"/>
                <w:color w:val="auto"/>
                <w:highlight w:val="none"/>
              </w:rPr>
              <w:drawing>
                <wp:anchor distT="0" distB="0" distL="114300" distR="114300" simplePos="0" relativeHeight="251675648" behindDoc="0" locked="0" layoutInCell="1" allowOverlap="1">
                  <wp:simplePos x="0" y="0"/>
                  <wp:positionH relativeFrom="column">
                    <wp:posOffset>4756150</wp:posOffset>
                  </wp:positionH>
                  <wp:positionV relativeFrom="paragraph">
                    <wp:posOffset>57785</wp:posOffset>
                  </wp:positionV>
                  <wp:extent cx="602615" cy="642620"/>
                  <wp:effectExtent l="0" t="0" r="6985" b="5080"/>
                  <wp:wrapNone/>
                  <wp:docPr id="9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1"/>
                          <pic:cNvPicPr>
                            <a:picLocks noChangeAspect="1"/>
                          </pic:cNvPicPr>
                        </pic:nvPicPr>
                        <pic:blipFill>
                          <a:blip r:embed="rId18"/>
                          <a:stretch>
                            <a:fillRect/>
                          </a:stretch>
                        </pic:blipFill>
                        <pic:spPr>
                          <a:xfrm>
                            <a:off x="0" y="0"/>
                            <a:ext cx="602615" cy="642620"/>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2229485</wp:posOffset>
                      </wp:positionH>
                      <wp:positionV relativeFrom="paragraph">
                        <wp:posOffset>424815</wp:posOffset>
                      </wp:positionV>
                      <wp:extent cx="123825" cy="114300"/>
                      <wp:effectExtent l="6350" t="6350" r="22225" b="12700"/>
                      <wp:wrapNone/>
                      <wp:docPr id="100" name="椭圆 100"/>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5.55pt;margin-top:33.45pt;height:9pt;width:9.75pt;z-index:251678720;v-text-anchor:middle;mso-width-relative:page;mso-height-relative:page;" fillcolor="#FF0000" filled="t" stroked="t" coordsize="21600,21600" o:gfxdata="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Ps1etYAAAAJAQAADwAAAAAAAAABACAAAAAiAAAAZHJzL2Rvd25yZXYu&#10;eG1sUEsBAhQAFAAAAAgAh07iQO+7JzhvAgAA+gQAAA4AAAAAAAAAAQAgAAAAJQEAAGRycy9lMm9E&#10;b2MueG1sUEsFBgAAAAAGAAYAWQEAAAYGAAAAAA==&#1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4391660</wp:posOffset>
                      </wp:positionH>
                      <wp:positionV relativeFrom="paragraph">
                        <wp:posOffset>2623185</wp:posOffset>
                      </wp:positionV>
                      <wp:extent cx="123825" cy="114300"/>
                      <wp:effectExtent l="6350" t="6350" r="22225" b="12700"/>
                      <wp:wrapNone/>
                      <wp:docPr id="101" name="椭圆 101"/>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5.8pt;margin-top:206.55pt;height:9pt;width:9.75pt;z-index:251679744;v-text-anchor:middle;mso-width-relative:page;mso-height-relative:page;" fillcolor="#FFFF00" filled="t" stroked="t" coordsize="21600,21600" o:gfxdata="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kNFf/aAAAACwEAAA8AAAAAAAAAAQAgAAAAIgAAAGRycy9kb3ducmV2&#10;LnhtbFBLAQIUABQAAAAIAIdO4kBXfvvYbAIAAPoEAAAOAAAAAAAAAAEAIAAAACkBAABkcnMvZTJv&#10;RG9jLnhtbFBLBQYAAAAABgAGAFkBAAAHBgAAAAA=&#10;">
                      <v:fill on="t" focussize="0,0"/>
                      <v:stroke weight="1pt" color="#FFFF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4391660</wp:posOffset>
                      </wp:positionH>
                      <wp:positionV relativeFrom="paragraph">
                        <wp:posOffset>2385060</wp:posOffset>
                      </wp:positionV>
                      <wp:extent cx="123825" cy="114300"/>
                      <wp:effectExtent l="6350" t="6350" r="22225" b="12700"/>
                      <wp:wrapNone/>
                      <wp:docPr id="99" name="椭圆 99"/>
                      <wp:cNvGraphicFramePr/>
                      <a:graphic xmlns:a="http://schemas.openxmlformats.org/drawingml/2006/main">
                        <a:graphicData uri="http://schemas.microsoft.com/office/word/2010/wordprocessingShape">
                          <wps:wsp>
                            <wps:cNvSpPr/>
                            <wps:spPr>
                              <a:xfrm>
                                <a:off x="6014085" y="6118225"/>
                                <a:ext cx="123825" cy="1143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5.8pt;margin-top:187.8pt;height:9pt;width:9.75pt;z-index:251677696;v-text-anchor:middle;mso-width-relative:page;mso-height-relative:page;" fillcolor="#FF0000" filled="t" stroked="t" coordsize="21600,21600" o:gfxdata="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0GCPdYAAAALAQAADwAAAAAAAAABACAAAAAiAAAA&#10;ZHJzL2Rvd25yZXYueG1sUEsBAhQAFAAAAAgAh07iQOUx8cV7AgAABAUAAA4AAAAAAAAAAQAgAAAA&#10;JQEAAGRycy9lMm9Eb2MueG1sUEsFBgAAAAAGAAYAWQEAABIGAAAAAA==&#1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4277360</wp:posOffset>
                      </wp:positionH>
                      <wp:positionV relativeFrom="paragraph">
                        <wp:posOffset>2106930</wp:posOffset>
                      </wp:positionV>
                      <wp:extent cx="1094105" cy="959485"/>
                      <wp:effectExtent l="5080" t="4445" r="5715" b="7620"/>
                      <wp:wrapNone/>
                      <wp:docPr id="98" name="文本框 98"/>
                      <wp:cNvGraphicFramePr/>
                      <a:graphic xmlns:a="http://schemas.openxmlformats.org/drawingml/2006/main">
                        <a:graphicData uri="http://schemas.microsoft.com/office/word/2010/wordprocessingShape">
                          <wps:wsp>
                            <wps:cNvSpPr txBox="1"/>
                            <wps:spPr>
                              <a:xfrm>
                                <a:off x="0" y="0"/>
                                <a:ext cx="1094105" cy="9594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5842CAA">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图例</w:t>
                                  </w:r>
                                </w:p>
                                <w:p w14:paraId="6D6D33CF">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本项目</w:t>
                                  </w:r>
                                </w:p>
                                <w:p w14:paraId="4D9DF1CB">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 xml:space="preserve">  引用项目</w:t>
                                  </w:r>
                                </w:p>
                                <w:p w14:paraId="1BA2F3AD">
                                  <w:pPr>
                                    <w:pStyle w:val="2"/>
                                    <w:rPr>
                                      <w:rFonts w:hint="default"/>
                                      <w:lang w:val="en-US" w:eastAsia="zh-CN"/>
                                    </w:rPr>
                                  </w:pPr>
                                  <w:r>
                                    <w:rPr>
                                      <w:rFonts w:hint="eastAsia"/>
                                      <w:lang w:val="en-US" w:eastAsia="zh-CN"/>
                                    </w:rPr>
                                    <w:t>比例尺：1：18055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8pt;margin-top:165.9pt;height:75.55pt;width:86.15pt;z-index:251676672;mso-width-relative:page;mso-height-relative:page;" fillcolor="#FFFFFF [3201]" filled="t" stroked="t" coordsize="21600,21600" o:gfxdata="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63QI&#10;TtkAAAALAQAADwAAAAAAAAABACAAAAAiAAAAZHJzL2Rvd25yZXYueG1sUEsBAhQAFAAAAAgAh07i&#10;QFEMZXNaAgAAuQQAAA4AAAAAAAAAAQAgAAAAKAEAAGRycy9lMm9Eb2MueG1sUEsFBgAAAAAGAAYA&#10;WQEAAPQFAAAAAA==&#10;">
                      <v:fill on="t" focussize="0,0"/>
                      <v:stroke weight="0.5pt" color="#000000 [3204]" joinstyle="round"/>
                      <v:imagedata o:title=""/>
                      <o:lock v:ext="edit" aspectratio="f"/>
                      <v:textbox>
                        <w:txbxContent>
                          <w:p w14:paraId="15842CAA">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图例</w:t>
                            </w:r>
                          </w:p>
                          <w:p w14:paraId="6D6D33CF">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本项目</w:t>
                            </w:r>
                          </w:p>
                          <w:p w14:paraId="4D9DF1CB">
                            <w:pPr>
                              <w:keepNext w:val="0"/>
                              <w:keepLines w:val="0"/>
                              <w:pageBreakBefore w:val="0"/>
                              <w:widowControl w:val="0"/>
                              <w:kinsoku/>
                              <w:wordWrap/>
                              <w:overflowPunct/>
                              <w:topLinePunct w:val="0"/>
                              <w:bidi w:val="0"/>
                              <w:adjustRightInd/>
                              <w:snapToGrid/>
                              <w:spacing w:line="360" w:lineRule="auto"/>
                              <w:jc w:val="center"/>
                              <w:textAlignment w:val="auto"/>
                              <w:rPr>
                                <w:rFonts w:hint="eastAsia"/>
                                <w:sz w:val="18"/>
                                <w:szCs w:val="18"/>
                                <w:lang w:val="en-US" w:eastAsia="zh-CN"/>
                              </w:rPr>
                            </w:pPr>
                            <w:r>
                              <w:rPr>
                                <w:rFonts w:hint="eastAsia"/>
                                <w:sz w:val="18"/>
                                <w:szCs w:val="18"/>
                                <w:lang w:val="en-US" w:eastAsia="zh-CN"/>
                              </w:rPr>
                              <w:t xml:space="preserve">  引用项目</w:t>
                            </w:r>
                          </w:p>
                          <w:p w14:paraId="1BA2F3AD">
                            <w:pPr>
                              <w:pStyle w:val="2"/>
                              <w:rPr>
                                <w:rFonts w:hint="default"/>
                                <w:lang w:val="en-US" w:eastAsia="zh-CN"/>
                              </w:rPr>
                            </w:pPr>
                            <w:r>
                              <w:rPr>
                                <w:rFonts w:hint="eastAsia"/>
                                <w:lang w:val="en-US" w:eastAsia="zh-CN"/>
                              </w:rPr>
                              <w:t>比例尺：1：18055</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3582035</wp:posOffset>
                      </wp:positionH>
                      <wp:positionV relativeFrom="paragraph">
                        <wp:posOffset>2435860</wp:posOffset>
                      </wp:positionV>
                      <wp:extent cx="123825" cy="114300"/>
                      <wp:effectExtent l="6350" t="6350" r="22225" b="12700"/>
                      <wp:wrapNone/>
                      <wp:docPr id="102" name="椭圆 102"/>
                      <wp:cNvGraphicFramePr/>
                      <a:graphic xmlns:a="http://schemas.openxmlformats.org/drawingml/2006/main">
                        <a:graphicData uri="http://schemas.microsoft.com/office/word/2010/wordprocessingShape">
                          <wps:wsp>
                            <wps:cNvSpPr/>
                            <wps:spPr>
                              <a:xfrm>
                                <a:off x="0" y="0"/>
                                <a:ext cx="123825"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2.05pt;margin-top:191.8pt;height:9pt;width:9.75pt;z-index:251680768;v-text-anchor:middle;mso-width-relative:page;mso-height-relative:page;" fillcolor="#FFFF00" filled="t" stroked="t" coordsize="21600,21600" o:gfxdata="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y2iTz2gAAAAsBAAAPAAAAAAAAAAEAIAAAACIAAABkcnMvZG93bnJl&#10;di54bWxQSwECFAAUAAAACACHTuJAd+Hj9W0CAAD6BAAADgAAAAAAAAABACAAAAApAQAAZHJzL2Uy&#10;b0RvYy54bWxQSwUGAAAAAAYABgBZAQAACAYAAAAA&#10;">
                      <v:fill on="t" focussize="0,0"/>
                      <v:stroke weight="1pt" color="#FFFF00 [2404]" miterlimit="8" joinstyle="miter"/>
                      <v:imagedata o:title=""/>
                      <o:lock v:ext="edit" aspectratio="f"/>
                    </v:shape>
                  </w:pict>
                </mc:Fallback>
              </mc:AlternateContent>
            </w:r>
            <w:r>
              <w:rPr>
                <w:color w:val="auto"/>
                <w:highlight w:val="none"/>
              </w:rPr>
              <w:drawing>
                <wp:inline distT="0" distB="0" distL="114300" distR="114300">
                  <wp:extent cx="5379085" cy="3076575"/>
                  <wp:effectExtent l="0" t="0" r="12065" b="9525"/>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9"/>
                          <a:stretch>
                            <a:fillRect/>
                          </a:stretch>
                        </pic:blipFill>
                        <pic:spPr>
                          <a:xfrm>
                            <a:off x="0" y="0"/>
                            <a:ext cx="5379085" cy="3076575"/>
                          </a:xfrm>
                          <a:prstGeom prst="rect">
                            <a:avLst/>
                          </a:prstGeom>
                          <a:noFill/>
                          <a:ln>
                            <a:noFill/>
                          </a:ln>
                        </pic:spPr>
                      </pic:pic>
                    </a:graphicData>
                  </a:graphic>
                </wp:inline>
              </w:drawing>
            </w:r>
            <w:r>
              <w:rPr>
                <w:rFonts w:hint="default" w:ascii="Times New Roman" w:hAnsi="Times New Roman" w:cs="Times New Roman" w:eastAsiaTheme="minorEastAsia"/>
                <w:b/>
                <w:bCs w:val="0"/>
                <w:color w:val="auto"/>
                <w:kern w:val="2"/>
                <w:sz w:val="21"/>
                <w:szCs w:val="21"/>
                <w:highlight w:val="none"/>
                <w:lang w:val="en-US" w:eastAsia="zh-CN"/>
              </w:rPr>
              <w:t xml:space="preserve">图3-2 </w:t>
            </w:r>
            <w:r>
              <w:rPr>
                <w:rFonts w:hint="default" w:ascii="Times New Roman" w:hAnsi="Times New Roman" w:eastAsia="宋体" w:cs="Times New Roman"/>
                <w:b/>
                <w:bCs/>
                <w:color w:val="auto"/>
                <w:sz w:val="21"/>
                <w:szCs w:val="21"/>
                <w:highlight w:val="none"/>
                <w:lang w:val="en-US" w:eastAsia="zh-CN"/>
              </w:rPr>
              <w:t>引用项目与本项目位置关系</w:t>
            </w:r>
          </w:p>
          <w:p w14:paraId="60B4169B">
            <w:pPr>
              <w:spacing w:line="360" w:lineRule="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2、地表水环境</w:t>
            </w:r>
          </w:p>
          <w:p w14:paraId="10DB0BA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sz w:val="21"/>
                <w:szCs w:val="21"/>
                <w:highlight w:val="none"/>
                <w:lang w:val="zh-TW" w:eastAsia="zh-TW"/>
              </w:rPr>
            </w:pPr>
            <w:bookmarkStart w:id="27" w:name="_Toc218321831"/>
            <w:bookmarkStart w:id="28" w:name="_Toc318898968"/>
            <w:bookmarkStart w:id="29" w:name="_Toc207005094"/>
            <w:bookmarkStart w:id="30" w:name="_Toc301514512"/>
            <w:r>
              <w:rPr>
                <w:rFonts w:hint="eastAsia" w:ascii="Times New Roman" w:hAnsi="Times New Roman" w:eastAsia="宋体" w:cs="Times New Roman"/>
                <w:color w:val="auto"/>
                <w:kern w:val="0"/>
                <w:sz w:val="21"/>
                <w:szCs w:val="21"/>
                <w:highlight w:val="none"/>
                <w:lang w:val="en-US" w:eastAsia="zh-CN" w:bidi="ar-SA"/>
              </w:rPr>
              <w:t>本项目附近地表水体为黄泥河，</w:t>
            </w:r>
            <w:r>
              <w:rPr>
                <w:rFonts w:hint="eastAsia" w:cs="Times New Roman"/>
                <w:bCs/>
                <w:color w:val="auto"/>
                <w:spacing w:val="0"/>
                <w:sz w:val="21"/>
                <w:szCs w:val="21"/>
                <w:highlight w:val="none"/>
                <w:u w:val="none"/>
                <w:lang w:eastAsia="zh-CN"/>
              </w:rPr>
              <w:t>最终汇入穆棱河鸡古路西</w:t>
            </w:r>
            <w:r>
              <w:rPr>
                <w:rFonts w:hint="eastAsia" w:cs="Times New Roman"/>
                <w:bCs/>
                <w:color w:val="auto"/>
                <w:spacing w:val="0"/>
                <w:sz w:val="21"/>
                <w:szCs w:val="21"/>
                <w:highlight w:val="none"/>
                <w:u w:val="none"/>
                <w:lang w:val="en-US" w:eastAsia="zh-CN"/>
              </w:rPr>
              <w:t>100m</w:t>
            </w:r>
            <w:r>
              <w:rPr>
                <w:rFonts w:hint="eastAsia" w:cs="Times New Roman"/>
                <w:bCs/>
                <w:color w:val="auto"/>
                <w:spacing w:val="0"/>
                <w:sz w:val="21"/>
                <w:szCs w:val="21"/>
                <w:highlight w:val="none"/>
                <w:u w:val="none"/>
                <w:lang w:eastAsia="zh-CN"/>
              </w:rPr>
              <w:t>至凯北站段落，根据《全国重要江河湖泊水功能区划（2011-2030年）》水质目标</w:t>
            </w:r>
            <w:r>
              <w:rPr>
                <w:rFonts w:hint="default" w:ascii="Times New Roman" w:hAnsi="Times New Roman" w:cs="Times New Roman"/>
                <w:bCs/>
                <w:color w:val="auto"/>
                <w:spacing w:val="0"/>
                <w:sz w:val="21"/>
                <w:szCs w:val="21"/>
                <w:highlight w:val="none"/>
                <w:u w:val="none"/>
                <w:lang w:eastAsia="zh-CN"/>
              </w:rPr>
              <w:t>为Ⅲ</w:t>
            </w:r>
            <w:r>
              <w:rPr>
                <w:rFonts w:hint="eastAsia" w:cs="Times New Roman"/>
                <w:bCs/>
                <w:color w:val="auto"/>
                <w:spacing w:val="0"/>
                <w:sz w:val="21"/>
                <w:szCs w:val="21"/>
                <w:highlight w:val="none"/>
                <w:u w:val="none"/>
                <w:lang w:eastAsia="zh-CN"/>
              </w:rPr>
              <w:t>类，类型为农</w:t>
            </w:r>
            <w:r>
              <w:rPr>
                <w:rFonts w:hint="eastAsia" w:ascii="Times New Roman" w:hAnsi="Times New Roman" w:eastAsia="宋体" w:cs="Times New Roman"/>
                <w:bCs/>
                <w:color w:val="auto"/>
                <w:spacing w:val="0"/>
                <w:sz w:val="21"/>
                <w:szCs w:val="21"/>
                <w:highlight w:val="none"/>
                <w:u w:val="none"/>
                <w:lang w:eastAsia="zh-CN"/>
              </w:rPr>
              <w:t>业</w:t>
            </w:r>
            <w:r>
              <w:rPr>
                <w:rFonts w:hint="default" w:ascii="Times New Roman" w:hAnsi="Times New Roman" w:eastAsia="宋体" w:cs="Times New Roman"/>
                <w:color w:val="auto"/>
                <w:sz w:val="21"/>
                <w:szCs w:val="21"/>
                <w:highlight w:val="none"/>
                <w:lang w:val="en-US" w:eastAsia="zh-CN"/>
              </w:rPr>
              <w:t>。根据鸡西市人民政府发布的《202</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年1-12月地表水国控考核断面水质信息公开》，穆棱河达到</w:t>
            </w:r>
            <w:r>
              <w:rPr>
                <w:rFonts w:hint="default" w:ascii="Times New Roman" w:hAnsi="Times New Roman" w:cs="Times New Roman"/>
                <w:color w:val="auto"/>
                <w:sz w:val="21"/>
                <w:szCs w:val="21"/>
                <w:highlight w:val="none"/>
                <w:lang w:val="en-US" w:eastAsia="zh-CN"/>
              </w:rPr>
              <w:t>Ⅲ</w:t>
            </w:r>
            <w:r>
              <w:rPr>
                <w:rFonts w:hint="default" w:ascii="Times New Roman" w:hAnsi="Times New Roman" w:eastAsia="宋体" w:cs="Times New Roman"/>
                <w:color w:val="auto"/>
                <w:sz w:val="21"/>
                <w:szCs w:val="21"/>
                <w:highlight w:val="none"/>
                <w:lang w:val="en-US" w:eastAsia="zh-CN"/>
              </w:rPr>
              <w:t>类水质类别标准，因此，本项目所在河段符合《地表水环境质量标准》（GB3838-2002）Ⅲ类标准</w:t>
            </w:r>
            <w:r>
              <w:rPr>
                <w:rFonts w:hint="default" w:ascii="Times New Roman" w:hAnsi="Times New Roman" w:eastAsia="宋体" w:cs="Times New Roman"/>
                <w:color w:val="auto"/>
                <w:sz w:val="21"/>
                <w:szCs w:val="21"/>
                <w:highlight w:val="none"/>
                <w:lang w:eastAsia="zh-CN"/>
              </w:rPr>
              <w:t>。</w:t>
            </w:r>
          </w:p>
          <w:bookmarkEnd w:id="27"/>
          <w:bookmarkEnd w:id="28"/>
          <w:bookmarkEnd w:id="29"/>
          <w:bookmarkEnd w:id="30"/>
          <w:p w14:paraId="59C51403">
            <w:pPr>
              <w:spacing w:line="360" w:lineRule="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3、声环境</w:t>
            </w:r>
          </w:p>
          <w:p w14:paraId="5957E9C7">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w:t>
            </w:r>
            <w:r>
              <w:rPr>
                <w:rFonts w:hint="eastAsia" w:cs="Times New Roman"/>
                <w:color w:val="auto"/>
                <w:sz w:val="21"/>
                <w:szCs w:val="21"/>
                <w:highlight w:val="none"/>
                <w:lang w:val="en-US" w:eastAsia="zh-CN"/>
              </w:rPr>
              <w:t>《2025年黑龙江省生态环境质量状况》（2026年1月）</w:t>
            </w:r>
            <w:r>
              <w:rPr>
                <w:rFonts w:hint="eastAsia" w:ascii="Times New Roman" w:hAnsi="Times New Roman" w:eastAsia="宋体" w:cs="Times New Roman"/>
                <w:color w:val="auto"/>
                <w:sz w:val="21"/>
                <w:szCs w:val="21"/>
                <w:highlight w:val="none"/>
                <w:lang w:val="en-US" w:eastAsia="zh-CN"/>
              </w:rPr>
              <w:t>，鸡西市区域昼间声环境质量为二级，等效声级为53.</w:t>
            </w:r>
            <w:r>
              <w:rPr>
                <w:rFonts w:hint="eastAsia"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dB（A），道路交通昼间声环境质量为一级，等效声级为6</w:t>
            </w:r>
            <w:r>
              <w:rPr>
                <w:rFonts w:hint="eastAsia" w:cs="Times New Roman"/>
                <w:color w:val="auto"/>
                <w:sz w:val="21"/>
                <w:szCs w:val="21"/>
                <w:highlight w:val="none"/>
                <w:lang w:val="en-US" w:eastAsia="zh-CN"/>
              </w:rPr>
              <w:t>4.7</w:t>
            </w:r>
            <w:r>
              <w:rPr>
                <w:rFonts w:hint="eastAsia" w:ascii="Times New Roman" w:hAnsi="Times New Roman" w:eastAsia="宋体" w:cs="Times New Roman"/>
                <w:color w:val="auto"/>
                <w:sz w:val="21"/>
                <w:szCs w:val="21"/>
                <w:highlight w:val="none"/>
                <w:lang w:val="en-US" w:eastAsia="zh-CN"/>
              </w:rPr>
              <w:t>dB（A），功能区昼间达标率</w:t>
            </w:r>
            <w:r>
              <w:rPr>
                <w:rFonts w:hint="eastAsia" w:cs="Times New Roman"/>
                <w:color w:val="auto"/>
                <w:sz w:val="21"/>
                <w:szCs w:val="21"/>
                <w:highlight w:val="none"/>
                <w:lang w:val="en-US" w:eastAsia="zh-CN"/>
              </w:rPr>
              <w:t>87.7</w:t>
            </w:r>
            <w:r>
              <w:rPr>
                <w:rFonts w:hint="eastAsia" w:ascii="Times New Roman" w:hAnsi="Times New Roman" w:eastAsia="宋体" w:cs="Times New Roman"/>
                <w:color w:val="auto"/>
                <w:sz w:val="21"/>
                <w:szCs w:val="21"/>
                <w:highlight w:val="none"/>
                <w:lang w:val="en-US" w:eastAsia="zh-CN"/>
              </w:rPr>
              <w:t>%，功能区夜间达标率</w:t>
            </w:r>
            <w:r>
              <w:rPr>
                <w:rFonts w:hint="eastAsia" w:cs="Times New Roman"/>
                <w:color w:val="auto"/>
                <w:sz w:val="21"/>
                <w:szCs w:val="21"/>
                <w:highlight w:val="none"/>
                <w:lang w:val="en-US" w:eastAsia="zh-CN"/>
              </w:rPr>
              <w:t>97.6</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本项目厂界外50米范围无声环境保护目标，故未开展现状监测。</w:t>
            </w:r>
          </w:p>
          <w:p w14:paraId="6EA3B741">
            <w:pPr>
              <w:snapToGrid w:val="0"/>
              <w:spacing w:line="360" w:lineRule="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4、生态环境</w:t>
            </w:r>
          </w:p>
          <w:p w14:paraId="3393DA62">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bCs/>
                <w:color w:val="auto"/>
                <w:kern w:val="0"/>
                <w:sz w:val="21"/>
                <w:szCs w:val="21"/>
                <w:highlight w:val="none"/>
              </w:rPr>
              <w:t>本项目</w:t>
            </w:r>
            <w:r>
              <w:rPr>
                <w:rFonts w:hint="default" w:ascii="Times New Roman" w:hAnsi="Times New Roman" w:cs="Times New Roman"/>
                <w:color w:val="auto"/>
                <w:spacing w:val="4"/>
                <w:sz w:val="21"/>
                <w:szCs w:val="21"/>
                <w:highlight w:val="none"/>
              </w:rPr>
              <w:t>占地面积</w:t>
            </w:r>
            <w:r>
              <w:rPr>
                <w:rFonts w:hint="eastAsia" w:cs="Times New Roman"/>
                <w:color w:val="auto"/>
                <w:sz w:val="21"/>
                <w:szCs w:val="21"/>
                <w:highlight w:val="none"/>
                <w:lang w:val="en-US" w:eastAsia="zh-CN"/>
              </w:rPr>
              <w:t>10327.83</w:t>
            </w:r>
            <w:r>
              <w:rPr>
                <w:rFonts w:hint="default" w:ascii="Times New Roman" w:hAnsi="Times New Roman" w:cs="Times New Roman"/>
                <w:color w:val="auto"/>
                <w:spacing w:val="4"/>
                <w:sz w:val="21"/>
                <w:szCs w:val="21"/>
                <w:highlight w:val="none"/>
              </w:rPr>
              <w:t>m</w:t>
            </w:r>
            <w:r>
              <w:rPr>
                <w:rFonts w:hint="default" w:ascii="Times New Roman" w:hAnsi="Times New Roman" w:cs="Times New Roman"/>
                <w:color w:val="auto"/>
                <w:spacing w:val="4"/>
                <w:sz w:val="21"/>
                <w:szCs w:val="21"/>
                <w:highlight w:val="none"/>
                <w:vertAlign w:val="superscript"/>
              </w:rPr>
              <w:t>2</w:t>
            </w:r>
            <w:r>
              <w:rPr>
                <w:rFonts w:hint="default" w:ascii="Times New Roman" w:hAnsi="Times New Roman" w:cs="Times New Roman"/>
                <w:bCs/>
                <w:color w:val="auto"/>
                <w:kern w:val="0"/>
                <w:sz w:val="21"/>
                <w:szCs w:val="21"/>
                <w:highlight w:val="none"/>
              </w:rPr>
              <w:t>，用地类型</w:t>
            </w:r>
            <w:r>
              <w:rPr>
                <w:rFonts w:hint="default" w:ascii="Times New Roman" w:hAnsi="Times New Roman" w:cs="Times New Roman"/>
                <w:bCs/>
                <w:color w:val="auto"/>
                <w:sz w:val="21"/>
                <w:szCs w:val="21"/>
                <w:highlight w:val="none"/>
              </w:rPr>
              <w:t>为</w:t>
            </w:r>
            <w:r>
              <w:rPr>
                <w:rFonts w:hint="eastAsia" w:cs="Times New Roman"/>
                <w:bCs/>
                <w:color w:val="auto"/>
                <w:sz w:val="21"/>
                <w:szCs w:val="21"/>
                <w:highlight w:val="none"/>
                <w:lang w:val="en-US" w:eastAsia="zh-CN"/>
              </w:rPr>
              <w:t>采矿用地</w:t>
            </w:r>
            <w:r>
              <w:rPr>
                <w:rFonts w:hint="default" w:ascii="Times New Roman" w:hAnsi="Times New Roman" w:cs="Times New Roman"/>
                <w:bCs/>
                <w:color w:val="auto"/>
                <w:sz w:val="21"/>
                <w:szCs w:val="21"/>
                <w:highlight w:val="none"/>
              </w:rPr>
              <w:t>，</w:t>
            </w:r>
            <w:r>
              <w:rPr>
                <w:rFonts w:hint="eastAsia" w:cs="Times New Roman"/>
                <w:bCs/>
                <w:color w:val="auto"/>
                <w:kern w:val="0"/>
                <w:sz w:val="21"/>
                <w:szCs w:val="21"/>
                <w:highlight w:val="none"/>
                <w:lang w:eastAsia="zh-CN"/>
              </w:rPr>
              <w:t>厂区南侧、东侧约</w:t>
            </w:r>
            <w:r>
              <w:rPr>
                <w:rFonts w:hint="eastAsia" w:cs="Times New Roman"/>
                <w:bCs/>
                <w:color w:val="auto"/>
                <w:kern w:val="0"/>
                <w:sz w:val="21"/>
                <w:szCs w:val="21"/>
                <w:highlight w:val="none"/>
                <w:lang w:val="en-US" w:eastAsia="zh-CN"/>
              </w:rPr>
              <w:t>30米处为一般生态空间，本项目在采矿用地范围内建设，用地范围内无生态环境保护目标，</w:t>
            </w:r>
            <w:r>
              <w:rPr>
                <w:rFonts w:hint="default" w:ascii="Times New Roman" w:hAnsi="Times New Roman" w:cs="Times New Roman"/>
                <w:color w:val="auto"/>
                <w:sz w:val="21"/>
                <w:szCs w:val="21"/>
                <w:highlight w:val="none"/>
              </w:rPr>
              <w:t>故本项目不开展生态环境现状调查。</w:t>
            </w:r>
          </w:p>
          <w:p w14:paraId="21CF5D2C">
            <w:pPr>
              <w:snapToGrid w:val="0"/>
              <w:spacing w:line="360" w:lineRule="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5、地下水和土壤环境</w:t>
            </w:r>
          </w:p>
          <w:p w14:paraId="652C8148">
            <w:pPr>
              <w:pStyle w:val="2"/>
              <w:keepNext w:val="0"/>
              <w:keepLines w:val="0"/>
              <w:pageBreakBefore w:val="0"/>
              <w:widowControl/>
              <w:kinsoku/>
              <w:wordWrap/>
              <w:overflowPunct/>
              <w:topLinePunct w:val="0"/>
              <w:autoSpaceDE/>
              <w:autoSpaceDN/>
              <w:bidi w:val="0"/>
              <w:adjustRightInd/>
              <w:snapToGrid w:val="0"/>
              <w:spacing w:before="0" w:after="0" w:line="360" w:lineRule="auto"/>
              <w:ind w:right="0" w:firstLine="420" w:firstLineChars="20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kern w:val="0"/>
                <w:sz w:val="21"/>
                <w:szCs w:val="21"/>
                <w:highlight w:val="none"/>
              </w:rPr>
              <w:t>本项目属于</w:t>
            </w:r>
            <w:r>
              <w:rPr>
                <w:rFonts w:hint="default" w:ascii="Times New Roman" w:hAnsi="Times New Roman" w:cs="Times New Roman"/>
                <w:bCs/>
                <w:color w:val="auto"/>
                <w:kern w:val="0"/>
                <w:sz w:val="21"/>
                <w:szCs w:val="21"/>
                <w:highlight w:val="none"/>
              </w:rPr>
              <w:t>煤炭储存</w:t>
            </w:r>
            <w:r>
              <w:rPr>
                <w:rFonts w:hint="default" w:ascii="Times New Roman" w:hAnsi="Times New Roman" w:eastAsia="宋体" w:cs="Times New Roman"/>
                <w:bCs/>
                <w:color w:val="auto"/>
                <w:kern w:val="0"/>
                <w:sz w:val="21"/>
                <w:szCs w:val="21"/>
                <w:highlight w:val="none"/>
              </w:rPr>
              <w:t>、集运项目</w:t>
            </w:r>
            <w:r>
              <w:rPr>
                <w:rFonts w:hint="default" w:ascii="Times New Roman" w:hAnsi="Times New Roman" w:cs="Times New Roman"/>
                <w:color w:val="auto"/>
                <w:kern w:val="0"/>
                <w:sz w:val="21"/>
                <w:szCs w:val="21"/>
                <w:highlight w:val="none"/>
              </w:rPr>
              <w:t>，</w:t>
            </w:r>
            <w:r>
              <w:rPr>
                <w:rFonts w:hint="default" w:ascii="Times New Roman" w:hAnsi="Times New Roman" w:cs="Times New Roman"/>
                <w:color w:val="auto"/>
                <w:sz w:val="21"/>
                <w:szCs w:val="21"/>
                <w:highlight w:val="none"/>
                <w:lang w:val="en-US" w:eastAsia="zh-CN"/>
              </w:rPr>
              <w:t>煤炭堆场、初期雨水收集池</w:t>
            </w:r>
            <w:r>
              <w:rPr>
                <w:rFonts w:hint="default" w:ascii="Times New Roman" w:hAnsi="Times New Roman" w:eastAsia="宋体" w:cs="Times New Roman"/>
                <w:color w:val="auto"/>
                <w:sz w:val="21"/>
                <w:szCs w:val="21"/>
                <w:highlight w:val="none"/>
                <w:lang w:val="en-US" w:eastAsia="zh-CN"/>
              </w:rPr>
              <w:t>、旱厕进行一般防渗</w:t>
            </w:r>
            <w:r>
              <w:rPr>
                <w:rFonts w:hint="default" w:ascii="Times New Roman" w:hAnsi="Times New Roman" w:cs="Times New Roman"/>
                <w:color w:val="auto"/>
                <w:sz w:val="21"/>
                <w:szCs w:val="21"/>
                <w:highlight w:val="none"/>
                <w:lang w:val="en-US" w:eastAsia="zh-CN"/>
              </w:rPr>
              <w:t>，防渗层采用</w:t>
            </w:r>
            <w:r>
              <w:rPr>
                <w:rFonts w:hint="default" w:ascii="Times New Roman" w:hAnsi="Times New Roman" w:eastAsia="宋体" w:cs="Times New Roman"/>
                <w:color w:val="auto"/>
                <w:sz w:val="21"/>
                <w:szCs w:val="21"/>
                <w:highlight w:val="none"/>
                <w:lang w:val="en-US" w:eastAsia="zh-CN"/>
              </w:rPr>
              <w:t>高密度聚乙烯膜，厚度不小于2.0</w:t>
            </w:r>
            <w:r>
              <w:rPr>
                <w:rFonts w:hint="eastAsia" w:ascii="Times New Roman" w:hAnsi="Times New Roman" w:eastAsia="宋体" w:cs="Times New Roman"/>
                <w:color w:val="auto"/>
                <w:sz w:val="21"/>
                <w:szCs w:val="21"/>
                <w:highlight w:val="none"/>
                <w:lang w:val="en-US" w:eastAsia="zh-CN"/>
              </w:rPr>
              <w:t>mm</w:t>
            </w:r>
            <w:r>
              <w:rPr>
                <w:rFonts w:hint="default" w:ascii="Times New Roman" w:hAnsi="Times New Roman" w:eastAsia="宋体" w:cs="Times New Roman"/>
                <w:color w:val="auto"/>
                <w:sz w:val="21"/>
                <w:szCs w:val="21"/>
                <w:highlight w:val="none"/>
                <w:lang w:val="en-US" w:eastAsia="zh-CN"/>
              </w:rPr>
              <w:t>，防渗层下为厚度不小于0.75m的</w:t>
            </w:r>
            <w:r>
              <w:rPr>
                <w:rFonts w:hint="eastAsia" w:ascii="Times New Roman" w:hAnsi="Times New Roman" w:eastAsia="宋体" w:cs="Times New Roman"/>
                <w:color w:val="auto"/>
                <w:sz w:val="21"/>
                <w:szCs w:val="21"/>
                <w:highlight w:val="none"/>
                <w:lang w:val="en-US" w:eastAsia="zh-CN"/>
              </w:rPr>
              <w:t>天然粘土防渗衬层或</w:t>
            </w:r>
            <w:r>
              <w:rPr>
                <w:rFonts w:ascii="宋体" w:hAnsi="宋体" w:eastAsia="宋体" w:cs="宋体"/>
                <w:color w:val="auto"/>
                <w:sz w:val="21"/>
                <w:szCs w:val="21"/>
                <w:highlight w:val="none"/>
              </w:rPr>
              <w:t>改性粘土防渗衬层</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防渗技术要求达到</w:t>
            </w:r>
            <w:r>
              <w:rPr>
                <w:rFonts w:hint="default" w:ascii="Times New Roman" w:hAnsi="Times New Roman" w:cs="Times New Roman"/>
                <w:color w:val="auto"/>
                <w:sz w:val="21"/>
                <w:szCs w:val="21"/>
                <w:highlight w:val="none"/>
              </w:rPr>
              <w:t>等效黏土防渗层Mb≥1.5m</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渗透系数≤10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车辆进出口及主要通道使用水泥硬化</w:t>
            </w:r>
            <w:r>
              <w:rPr>
                <w:rFonts w:hint="eastAsia" w:cs="Times New Roman"/>
                <w:color w:val="auto"/>
                <w:sz w:val="21"/>
                <w:szCs w:val="21"/>
                <w:highlight w:val="none"/>
                <w:lang w:val="en-US" w:eastAsia="zh-CN"/>
              </w:rPr>
              <w:t>进行简单防渗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危险废物贮存点采取重点防渗，</w:t>
            </w:r>
            <w:r>
              <w:rPr>
                <w:rFonts w:hint="default" w:ascii="Times New Roman" w:hAnsi="Times New Roman" w:eastAsia="宋体" w:cs="Times New Roman"/>
                <w:color w:val="auto"/>
                <w:sz w:val="21"/>
                <w:szCs w:val="21"/>
                <w:highlight w:val="none"/>
                <w:lang w:val="en-US" w:eastAsia="zh-CN"/>
              </w:rPr>
              <w:t>防渗层</w:t>
            </w:r>
            <w:r>
              <w:rPr>
                <w:rFonts w:hint="eastAsia"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lang w:val="en-US" w:eastAsia="zh-CN"/>
              </w:rPr>
              <w:t>2mm厚的防渗人工材</w:t>
            </w:r>
            <w:r>
              <w:rPr>
                <w:rFonts w:hint="default" w:ascii="Times New Roman" w:hAnsi="Times New Roman" w:eastAsia="宋体" w:cs="Times New Roman"/>
                <w:color w:val="auto"/>
                <w:kern w:val="2"/>
                <w:sz w:val="21"/>
                <w:szCs w:val="21"/>
                <w:highlight w:val="none"/>
                <w:lang w:val="en-US" w:eastAsia="zh-CN" w:bidi="ar-SA"/>
              </w:rPr>
              <w:t>料，</w:t>
            </w:r>
            <w:r>
              <w:rPr>
                <w:rFonts w:hint="eastAsia" w:cs="Times New Roman"/>
                <w:color w:val="auto"/>
                <w:kern w:val="2"/>
                <w:sz w:val="21"/>
                <w:szCs w:val="21"/>
                <w:highlight w:val="none"/>
                <w:lang w:val="en-US" w:eastAsia="zh-CN" w:bidi="ar-SA"/>
              </w:rPr>
              <w:t>地面与裙脚使用水泥硬化防渗处理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防渗系数≤10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r>
              <w:rPr>
                <w:rFonts w:hint="default" w:ascii="Times New Roman" w:hAnsi="Times New Roman" w:cs="Times New Roman"/>
                <w:color w:val="auto"/>
                <w:kern w:val="0"/>
                <w:sz w:val="21"/>
                <w:szCs w:val="21"/>
                <w:highlight w:val="none"/>
              </w:rPr>
              <w:t>不会对地下水产生影响，因此，不进行地下水环境质量现状监测。本项目废气不涉及重金属、持久性有机污染物，</w:t>
            </w:r>
            <w:r>
              <w:rPr>
                <w:rFonts w:hint="eastAsia" w:cs="Times New Roman"/>
                <w:color w:val="auto"/>
                <w:kern w:val="0"/>
                <w:sz w:val="21"/>
                <w:szCs w:val="21"/>
                <w:highlight w:val="none"/>
                <w:lang w:eastAsia="zh-CN"/>
              </w:rPr>
              <w:t>在采取防渗措施后</w:t>
            </w:r>
            <w:r>
              <w:rPr>
                <w:rFonts w:hint="default" w:ascii="Times New Roman" w:hAnsi="Times New Roman" w:cs="Times New Roman"/>
                <w:color w:val="auto"/>
                <w:kern w:val="0"/>
                <w:sz w:val="21"/>
                <w:szCs w:val="21"/>
                <w:highlight w:val="none"/>
              </w:rPr>
              <w:t>无土壤污染途径</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sz w:val="21"/>
                <w:szCs w:val="21"/>
                <w:highlight w:val="none"/>
              </w:rPr>
              <w:t>根据《建设项目环境影响报告表编制技术指南（污染影响类）（试行）》中的相关要求，本项目不需开展环境质量现状调查。</w:t>
            </w:r>
          </w:p>
        </w:tc>
      </w:tr>
      <w:tr w14:paraId="380FB0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239" w:hRule="atLeast"/>
          <w:jc w:val="center"/>
        </w:trPr>
        <w:tc>
          <w:tcPr>
            <w:tcW w:w="634" w:type="dxa"/>
            <w:vAlign w:val="center"/>
          </w:tcPr>
          <w:p w14:paraId="3F4FC83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09F633D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278ACC0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8688" w:type="dxa"/>
            <w:vAlign w:val="center"/>
          </w:tcPr>
          <w:p w14:paraId="4938E7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color w:val="auto"/>
                <w:highlight w:val="none"/>
                <w:lang w:eastAsia="zh-CN"/>
              </w:rPr>
            </w:pPr>
            <w:bookmarkStart w:id="31" w:name="_Hlk72490597"/>
            <w:r>
              <w:rPr>
                <w:rFonts w:hint="eastAsia"/>
                <w:color w:val="auto"/>
                <w:kern w:val="0"/>
                <w:szCs w:val="21"/>
                <w:highlight w:val="none"/>
                <w:lang w:val="en-US" w:eastAsia="zh-CN"/>
              </w:rPr>
              <w:t>本项目位于黑龙江省鸡西市恒山区红旗乡义安村，义安村居民饮用水水源</w:t>
            </w:r>
            <w:r>
              <w:rPr>
                <w:rFonts w:hint="eastAsia" w:cs="Times New Roman"/>
                <w:bCs/>
                <w:color w:val="auto"/>
                <w:szCs w:val="21"/>
                <w:highlight w:val="none"/>
                <w:lang w:val="en-US" w:eastAsia="zh-CN"/>
              </w:rPr>
              <w:t>为自来水管网供水，</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default" w:ascii="Times New Roman" w:hAnsi="Times New Roman" w:eastAsia="宋体" w:cs="Times New Roman"/>
                <w:bCs/>
                <w:color w:val="auto"/>
                <w:szCs w:val="21"/>
                <w:highlight w:val="none"/>
              </w:rPr>
              <w:t>本项目</w:t>
            </w:r>
            <w:r>
              <w:rPr>
                <w:rFonts w:hint="eastAsia"/>
                <w:color w:val="auto"/>
                <w:highlight w:val="none"/>
                <w:lang w:val="en-US" w:eastAsia="zh-CN"/>
              </w:rPr>
              <w:t>厂界外</w:t>
            </w:r>
            <w:r>
              <w:rPr>
                <w:rFonts w:hint="default" w:ascii="Times New Roman" w:hAnsi="Times New Roman" w:eastAsia="宋体" w:cs="Times New Roman"/>
                <w:bCs/>
                <w:color w:val="auto"/>
                <w:szCs w:val="21"/>
                <w:highlight w:val="none"/>
              </w:rPr>
              <w:t>50米范围内</w:t>
            </w:r>
            <w:r>
              <w:rPr>
                <w:rFonts w:hint="eastAsia" w:cs="Times New Roman"/>
                <w:bCs/>
                <w:color w:val="auto"/>
                <w:szCs w:val="21"/>
                <w:highlight w:val="none"/>
                <w:lang w:val="en-US" w:eastAsia="zh-CN"/>
              </w:rPr>
              <w:t>无</w:t>
            </w:r>
            <w:r>
              <w:rPr>
                <w:rFonts w:hint="default" w:ascii="Times New Roman" w:hAnsi="Times New Roman" w:eastAsia="宋体" w:cs="Times New Roman"/>
                <w:bCs/>
                <w:color w:val="auto"/>
                <w:szCs w:val="21"/>
                <w:highlight w:val="none"/>
              </w:rPr>
              <w:t>声环境保护目标；500米范围内大气环境保护目标</w:t>
            </w:r>
            <w:r>
              <w:rPr>
                <w:rFonts w:hint="default"/>
                <w:color w:val="auto"/>
                <w:highlight w:val="none"/>
              </w:rPr>
              <w:t>，详见</w:t>
            </w:r>
            <w:r>
              <w:rPr>
                <w:rFonts w:hint="eastAsia"/>
                <w:color w:val="auto"/>
                <w:highlight w:val="none"/>
                <w:lang w:val="en-US" w:eastAsia="zh-CN"/>
              </w:rPr>
              <w:t>表3-2。</w:t>
            </w:r>
          </w:p>
          <w:p w14:paraId="3D824D32">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2大气</w:t>
            </w:r>
            <w:r>
              <w:rPr>
                <w:rFonts w:hint="default" w:ascii="Times New Roman" w:hAnsi="Times New Roman" w:cs="Times New Roman"/>
                <w:b/>
                <w:bCs/>
                <w:color w:val="auto"/>
                <w:szCs w:val="21"/>
                <w:highlight w:val="none"/>
              </w:rPr>
              <w:t>环境保护目标一览表</w:t>
            </w:r>
          </w:p>
          <w:tbl>
            <w:tblPr>
              <w:tblStyle w:val="24"/>
              <w:tblW w:w="857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770"/>
              <w:gridCol w:w="997"/>
              <w:gridCol w:w="971"/>
              <w:gridCol w:w="927"/>
              <w:gridCol w:w="595"/>
              <w:gridCol w:w="927"/>
              <w:gridCol w:w="1299"/>
              <w:gridCol w:w="753"/>
              <w:gridCol w:w="753"/>
            </w:tblGrid>
            <w:tr w14:paraId="234B04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40" w:type="pct"/>
                  <w:vMerge w:val="restart"/>
                  <w:tcBorders>
                    <w:top w:val="single" w:color="auto" w:sz="12" w:space="0"/>
                  </w:tcBorders>
                  <w:noWrap w:val="0"/>
                  <w:vAlign w:val="center"/>
                </w:tcPr>
                <w:p w14:paraId="03B1B7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448" w:type="pct"/>
                  <w:vMerge w:val="restart"/>
                  <w:tcBorders>
                    <w:top w:val="single" w:color="auto" w:sz="12" w:space="0"/>
                  </w:tcBorders>
                  <w:noWrap w:val="0"/>
                  <w:vAlign w:val="center"/>
                </w:tcPr>
                <w:p w14:paraId="7A555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4AC876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147" w:type="pct"/>
                  <w:gridSpan w:val="2"/>
                  <w:tcBorders>
                    <w:top w:val="single" w:color="auto" w:sz="12" w:space="0"/>
                  </w:tcBorders>
                  <w:noWrap w:val="0"/>
                  <w:vAlign w:val="center"/>
                </w:tcPr>
                <w:p w14:paraId="4766CC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540" w:type="pct"/>
                  <w:vMerge w:val="restart"/>
                  <w:tcBorders>
                    <w:top w:val="single" w:color="auto" w:sz="12" w:space="0"/>
                  </w:tcBorders>
                  <w:noWrap w:val="0"/>
                  <w:vAlign w:val="center"/>
                </w:tcPr>
                <w:p w14:paraId="4529D4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46" w:type="pct"/>
                  <w:vMerge w:val="restart"/>
                  <w:tcBorders>
                    <w:top w:val="single" w:color="auto" w:sz="12" w:space="0"/>
                  </w:tcBorders>
                  <w:noWrap w:val="0"/>
                  <w:vAlign w:val="center"/>
                </w:tcPr>
                <w:p w14:paraId="4B0A3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540" w:type="pct"/>
                  <w:vMerge w:val="restart"/>
                  <w:tcBorders>
                    <w:top w:val="single" w:color="auto" w:sz="12" w:space="0"/>
                  </w:tcBorders>
                  <w:noWrap w:val="0"/>
                  <w:vAlign w:val="center"/>
                </w:tcPr>
                <w:p w14:paraId="210B39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7CD2C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757" w:type="pct"/>
                  <w:vMerge w:val="restart"/>
                  <w:tcBorders>
                    <w:top w:val="single" w:color="auto" w:sz="12" w:space="0"/>
                  </w:tcBorders>
                  <w:noWrap w:val="0"/>
                  <w:vAlign w:val="center"/>
                </w:tcPr>
                <w:p w14:paraId="703C1B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439" w:type="pct"/>
                  <w:vMerge w:val="restart"/>
                  <w:tcBorders>
                    <w:top w:val="single" w:color="auto" w:sz="12" w:space="0"/>
                  </w:tcBorders>
                  <w:noWrap w:val="0"/>
                  <w:vAlign w:val="center"/>
                </w:tcPr>
                <w:p w14:paraId="687D2F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人数</w:t>
                  </w:r>
                </w:p>
              </w:tc>
              <w:tc>
                <w:tcPr>
                  <w:tcW w:w="753" w:type="dxa"/>
                  <w:vMerge w:val="restart"/>
                  <w:tcBorders>
                    <w:top w:val="single" w:color="auto" w:sz="12" w:space="0"/>
                  </w:tcBorders>
                  <w:noWrap w:val="0"/>
                  <w:vAlign w:val="center"/>
                </w:tcPr>
                <w:p w14:paraId="7BE568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04DF1C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40" w:type="pct"/>
                  <w:vMerge w:val="continue"/>
                  <w:noWrap w:val="0"/>
                  <w:vAlign w:val="center"/>
                </w:tcPr>
                <w:p w14:paraId="062671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448" w:type="pct"/>
                  <w:vMerge w:val="continue"/>
                  <w:noWrap w:val="0"/>
                  <w:vAlign w:val="center"/>
                </w:tcPr>
                <w:p w14:paraId="540A4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581" w:type="pct"/>
                  <w:noWrap w:val="0"/>
                  <w:vAlign w:val="center"/>
                </w:tcPr>
                <w:p w14:paraId="7380FB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566" w:type="pct"/>
                  <w:noWrap w:val="0"/>
                  <w:vAlign w:val="center"/>
                </w:tcPr>
                <w:p w14:paraId="6BD80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540" w:type="pct"/>
                  <w:vMerge w:val="continue"/>
                  <w:noWrap w:val="0"/>
                  <w:vAlign w:val="center"/>
                </w:tcPr>
                <w:p w14:paraId="51D6D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46" w:type="pct"/>
                  <w:vMerge w:val="continue"/>
                  <w:noWrap w:val="0"/>
                  <w:vAlign w:val="center"/>
                </w:tcPr>
                <w:p w14:paraId="3AD0C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540" w:type="pct"/>
                  <w:vMerge w:val="continue"/>
                  <w:noWrap w:val="0"/>
                  <w:vAlign w:val="center"/>
                </w:tcPr>
                <w:p w14:paraId="5A6A17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757" w:type="pct"/>
                  <w:vMerge w:val="continue"/>
                  <w:noWrap w:val="0"/>
                  <w:vAlign w:val="center"/>
                </w:tcPr>
                <w:p w14:paraId="39EAA3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39" w:type="pct"/>
                  <w:vMerge w:val="continue"/>
                  <w:noWrap w:val="0"/>
                  <w:vAlign w:val="center"/>
                </w:tcPr>
                <w:p w14:paraId="512DB1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39" w:type="pct"/>
                  <w:vMerge w:val="continue"/>
                  <w:noWrap w:val="0"/>
                  <w:vAlign w:val="center"/>
                </w:tcPr>
                <w:p w14:paraId="2495A1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5386E8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40" w:type="pct"/>
                  <w:vMerge w:val="restart"/>
                  <w:noWrap w:val="0"/>
                  <w:vAlign w:val="center"/>
                </w:tcPr>
                <w:p w14:paraId="66360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p w14:paraId="301AF5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448" w:type="pct"/>
                  <w:noWrap w:val="0"/>
                  <w:vAlign w:val="center"/>
                </w:tcPr>
                <w:p w14:paraId="007A6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义安村</w:t>
                  </w:r>
                </w:p>
              </w:tc>
              <w:tc>
                <w:tcPr>
                  <w:tcW w:w="581" w:type="pct"/>
                  <w:noWrap w:val="0"/>
                  <w:vAlign w:val="center"/>
                </w:tcPr>
                <w:p w14:paraId="5105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rPr>
                    <w:t>130.899927</w:t>
                  </w:r>
                </w:p>
              </w:tc>
              <w:tc>
                <w:tcPr>
                  <w:tcW w:w="566" w:type="pct"/>
                  <w:noWrap w:val="0"/>
                  <w:vAlign w:val="center"/>
                </w:tcPr>
                <w:p w14:paraId="7F504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rPr>
                    <w:t>45.187262</w:t>
                  </w:r>
                </w:p>
              </w:tc>
              <w:tc>
                <w:tcPr>
                  <w:tcW w:w="540" w:type="pct"/>
                  <w:noWrap w:val="0"/>
                  <w:vAlign w:val="center"/>
                </w:tcPr>
                <w:p w14:paraId="7AA5EC90">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46" w:type="pct"/>
                  <w:noWrap w:val="0"/>
                  <w:vAlign w:val="center"/>
                </w:tcPr>
                <w:p w14:paraId="4928A7D3">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540" w:type="pct"/>
                  <w:noWrap w:val="0"/>
                  <w:vAlign w:val="center"/>
                </w:tcPr>
                <w:p w14:paraId="6C771E53">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757" w:type="pct"/>
                  <w:noWrap w:val="0"/>
                  <w:vAlign w:val="center"/>
                </w:tcPr>
                <w:p w14:paraId="7D923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西南、西、北、东北</w:t>
                  </w:r>
                </w:p>
              </w:tc>
              <w:tc>
                <w:tcPr>
                  <w:tcW w:w="439" w:type="pct"/>
                  <w:noWrap w:val="0"/>
                  <w:vAlign w:val="center"/>
                </w:tcPr>
                <w:p w14:paraId="486795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约80人</w:t>
                  </w:r>
                </w:p>
              </w:tc>
              <w:tc>
                <w:tcPr>
                  <w:tcW w:w="753" w:type="dxa"/>
                  <w:noWrap w:val="0"/>
                  <w:vAlign w:val="center"/>
                </w:tcPr>
                <w:p w14:paraId="6B394D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55m</w:t>
                  </w:r>
                </w:p>
              </w:tc>
            </w:tr>
            <w:tr w14:paraId="55D211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40" w:type="pct"/>
                  <w:vMerge w:val="continue"/>
                  <w:tcBorders>
                    <w:bottom w:val="single" w:color="auto" w:sz="12" w:space="0"/>
                  </w:tcBorders>
                  <w:noWrap w:val="0"/>
                  <w:vAlign w:val="center"/>
                </w:tcPr>
                <w:p w14:paraId="2DE0F6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448" w:type="pct"/>
                  <w:tcBorders>
                    <w:bottom w:val="single" w:color="auto" w:sz="12" w:space="0"/>
                  </w:tcBorders>
                  <w:noWrap w:val="0"/>
                  <w:vAlign w:val="center"/>
                </w:tcPr>
                <w:p w14:paraId="6DC61A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大恒山街道</w:t>
                  </w:r>
                </w:p>
              </w:tc>
              <w:tc>
                <w:tcPr>
                  <w:tcW w:w="581" w:type="pct"/>
                  <w:tcBorders>
                    <w:bottom w:val="single" w:color="auto" w:sz="12" w:space="0"/>
                  </w:tcBorders>
                  <w:noWrap w:val="0"/>
                  <w:vAlign w:val="center"/>
                </w:tcPr>
                <w:p w14:paraId="72F96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rPr>
                    <w:t>130.895404</w:t>
                  </w:r>
                </w:p>
              </w:tc>
              <w:tc>
                <w:tcPr>
                  <w:tcW w:w="566" w:type="pct"/>
                  <w:tcBorders>
                    <w:bottom w:val="single" w:color="auto" w:sz="12" w:space="0"/>
                  </w:tcBorders>
                  <w:noWrap w:val="0"/>
                  <w:vAlign w:val="center"/>
                </w:tcPr>
                <w:p w14:paraId="20591C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rPr>
                    <w:t>45.187937</w:t>
                  </w:r>
                </w:p>
              </w:tc>
              <w:tc>
                <w:tcPr>
                  <w:tcW w:w="540" w:type="pct"/>
                  <w:tcBorders>
                    <w:bottom w:val="single" w:color="auto" w:sz="12" w:space="0"/>
                  </w:tcBorders>
                  <w:noWrap w:val="0"/>
                  <w:vAlign w:val="center"/>
                </w:tcPr>
                <w:p w14:paraId="3B617EB1">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居住区</w:t>
                  </w:r>
                </w:p>
              </w:tc>
              <w:tc>
                <w:tcPr>
                  <w:tcW w:w="346" w:type="pct"/>
                  <w:tcBorders>
                    <w:bottom w:val="single" w:color="auto" w:sz="12" w:space="0"/>
                  </w:tcBorders>
                  <w:noWrap w:val="0"/>
                  <w:vAlign w:val="center"/>
                </w:tcPr>
                <w:p w14:paraId="3B595CB1">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人群</w:t>
                  </w:r>
                </w:p>
              </w:tc>
              <w:tc>
                <w:tcPr>
                  <w:tcW w:w="540" w:type="pct"/>
                  <w:tcBorders>
                    <w:bottom w:val="single" w:color="auto" w:sz="12" w:space="0"/>
                  </w:tcBorders>
                  <w:noWrap w:val="0"/>
                  <w:vAlign w:val="center"/>
                </w:tcPr>
                <w:p w14:paraId="23CD420F">
                  <w:pPr>
                    <w:pStyle w:val="35"/>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环境空气二类区</w:t>
                  </w:r>
                </w:p>
              </w:tc>
              <w:tc>
                <w:tcPr>
                  <w:tcW w:w="757" w:type="pct"/>
                  <w:tcBorders>
                    <w:bottom w:val="single" w:color="auto" w:sz="12" w:space="0"/>
                  </w:tcBorders>
                  <w:noWrap w:val="0"/>
                  <w:vAlign w:val="center"/>
                </w:tcPr>
                <w:p w14:paraId="3C0E6A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w:t>
                  </w:r>
                </w:p>
              </w:tc>
              <w:tc>
                <w:tcPr>
                  <w:tcW w:w="439" w:type="pct"/>
                  <w:tcBorders>
                    <w:bottom w:val="single" w:color="auto" w:sz="12" w:space="0"/>
                  </w:tcBorders>
                  <w:noWrap w:val="0"/>
                  <w:vAlign w:val="center"/>
                </w:tcPr>
                <w:p w14:paraId="4ACB87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约50人</w:t>
                  </w:r>
                </w:p>
              </w:tc>
              <w:tc>
                <w:tcPr>
                  <w:tcW w:w="753" w:type="dxa"/>
                  <w:tcBorders>
                    <w:bottom w:val="single" w:color="auto" w:sz="12" w:space="0"/>
                  </w:tcBorders>
                  <w:noWrap w:val="0"/>
                  <w:vAlign w:val="center"/>
                </w:tcPr>
                <w:p w14:paraId="3C399F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370m</w:t>
                  </w:r>
                </w:p>
              </w:tc>
            </w:tr>
            <w:bookmarkEnd w:id="31"/>
          </w:tbl>
          <w:p w14:paraId="29751691">
            <w:pPr>
              <w:spacing w:line="360" w:lineRule="auto"/>
              <w:ind w:firstLine="480" w:firstLineChars="200"/>
              <w:rPr>
                <w:rFonts w:hint="default" w:ascii="Times New Roman" w:hAnsi="Times New Roman" w:cs="Times New Roman"/>
                <w:color w:val="auto"/>
                <w:kern w:val="0"/>
                <w:sz w:val="24"/>
                <w:szCs w:val="24"/>
                <w:highlight w:val="none"/>
                <w:lang w:val="en-US" w:eastAsia="zh-CN"/>
              </w:rPr>
            </w:pPr>
          </w:p>
        </w:tc>
      </w:tr>
      <w:tr w14:paraId="644B75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634" w:type="dxa"/>
            <w:tcMar>
              <w:left w:w="28" w:type="dxa"/>
              <w:right w:w="28" w:type="dxa"/>
            </w:tcMar>
            <w:vAlign w:val="center"/>
          </w:tcPr>
          <w:p w14:paraId="2E70AD6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42D3FE5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115DE9FF">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32FDEC7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制标</w:t>
            </w:r>
          </w:p>
          <w:p w14:paraId="7E07E13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688" w:type="dxa"/>
            <w:vAlign w:val="center"/>
          </w:tcPr>
          <w:p w14:paraId="5207A33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bidi="ar-SA"/>
              </w:rPr>
              <w:t>1、</w:t>
            </w:r>
            <w:r>
              <w:rPr>
                <w:rFonts w:hint="default" w:ascii="Times New Roman" w:hAnsi="Times New Roman" w:cs="Times New Roman"/>
                <w:b/>
                <w:bCs/>
                <w:color w:val="auto"/>
                <w:kern w:val="0"/>
                <w:sz w:val="21"/>
                <w:szCs w:val="21"/>
                <w:highlight w:val="none"/>
                <w:lang w:val="en-US" w:eastAsia="zh-CN"/>
              </w:rPr>
              <w:t>废气</w:t>
            </w:r>
          </w:p>
          <w:p w14:paraId="29C4862F">
            <w:pPr>
              <w:keepNext w:val="0"/>
              <w:keepLines w:val="0"/>
              <w:pageBreakBefore w:val="0"/>
              <w:widowControl w:val="0"/>
              <w:kinsoku/>
              <w:wordWrap w:val="0"/>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本项目</w:t>
            </w:r>
            <w:r>
              <w:rPr>
                <w:rFonts w:hint="default" w:ascii="Times New Roman" w:hAnsi="Times New Roman" w:cs="Times New Roman"/>
                <w:bCs/>
                <w:color w:val="auto"/>
                <w:sz w:val="21"/>
                <w:szCs w:val="21"/>
                <w:highlight w:val="none"/>
                <w:lang w:val="en-US" w:eastAsia="zh-CN"/>
              </w:rPr>
              <w:t>施工期无组织</w:t>
            </w:r>
            <w:r>
              <w:rPr>
                <w:rFonts w:hint="default" w:ascii="Times New Roman" w:hAnsi="Times New Roman" w:cs="Times New Roman"/>
                <w:bCs/>
                <w:color w:val="auto"/>
                <w:sz w:val="21"/>
                <w:szCs w:val="21"/>
                <w:highlight w:val="none"/>
              </w:rPr>
              <w:t>颗粒物执行《大气污染物综合排放标准》（GB16297-1996）表2中无组织排放监控浓度限值</w:t>
            </w:r>
            <w:r>
              <w:rPr>
                <w:rFonts w:hint="default" w:ascii="Times New Roman" w:hAnsi="Times New Roman" w:cs="Times New Roman"/>
                <w:color w:val="auto"/>
                <w:sz w:val="21"/>
                <w:szCs w:val="21"/>
                <w:highlight w:val="none"/>
              </w:rPr>
              <w:t>要求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运营期无组织颗粒物执行《煤炭工业污染物排放标准》（</w:t>
            </w:r>
            <w:r>
              <w:rPr>
                <w:rFonts w:hint="default" w:ascii="Times New Roman" w:hAnsi="Times New Roman" w:cs="Times New Roman"/>
                <w:bCs/>
                <w:color w:val="auto"/>
                <w:sz w:val="21"/>
                <w:szCs w:val="21"/>
                <w:highlight w:val="none"/>
              </w:rPr>
              <w:t>GB20426-2006</w:t>
            </w:r>
            <w:r>
              <w:rPr>
                <w:rFonts w:hint="default" w:ascii="Times New Roman" w:hAnsi="Times New Roman" w:cs="Times New Roman"/>
                <w:bCs/>
                <w:color w:val="auto"/>
                <w:sz w:val="21"/>
                <w:szCs w:val="21"/>
                <w:highlight w:val="none"/>
                <w:lang w:val="en-US" w:eastAsia="zh-CN"/>
              </w:rPr>
              <w:t>）表5煤炭工业无组织排放限值</w:t>
            </w:r>
            <w:r>
              <w:rPr>
                <w:rFonts w:hint="default" w:ascii="Times New Roman" w:hAnsi="Times New Roman" w:cs="Times New Roman"/>
                <w:color w:val="auto"/>
                <w:sz w:val="21"/>
                <w:szCs w:val="21"/>
                <w:highlight w:val="none"/>
              </w:rPr>
              <w:t>。</w:t>
            </w:r>
            <w:r>
              <w:rPr>
                <w:rFonts w:hint="default" w:ascii="Times New Roman" w:hAnsi="Times New Roman" w:cs="Times New Roman"/>
                <w:bCs/>
                <w:color w:val="auto"/>
                <w:sz w:val="21"/>
                <w:szCs w:val="21"/>
                <w:highlight w:val="none"/>
                <w:lang w:val="en-US" w:eastAsia="zh-CN"/>
              </w:rPr>
              <w:t>大气污染物综合排放标准</w:t>
            </w:r>
            <w:r>
              <w:rPr>
                <w:rFonts w:hint="default" w:ascii="Times New Roman" w:hAnsi="Times New Roman" w:cs="Times New Roman"/>
                <w:bCs/>
                <w:color w:val="auto"/>
                <w:sz w:val="21"/>
                <w:szCs w:val="21"/>
                <w:highlight w:val="none"/>
              </w:rPr>
              <w:t>见表3-</w:t>
            </w:r>
            <w:r>
              <w:rPr>
                <w:rFonts w:hint="eastAsia"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lang w:val="en-US" w:eastAsia="zh-CN"/>
              </w:rPr>
              <w:t>，煤炭工业污染物排放标准见表3-</w:t>
            </w:r>
            <w:r>
              <w:rPr>
                <w:rFonts w:hint="eastAsia"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rPr>
              <w:t>。</w:t>
            </w:r>
          </w:p>
          <w:p w14:paraId="11D3838D">
            <w:pPr>
              <w:pStyle w:val="61"/>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sz w:val="21"/>
                <w:szCs w:val="21"/>
                <w:highlight w:val="none"/>
              </w:rPr>
              <w:t>表3-</w:t>
            </w:r>
            <w:r>
              <w:rPr>
                <w:rFonts w:hint="eastAsia" w:ascii="Times New Roman" w:cs="Times New Roman"/>
                <w:bCs/>
                <w:color w:val="auto"/>
                <w:kern w:val="2"/>
                <w:sz w:val="21"/>
                <w:szCs w:val="21"/>
                <w:highlight w:val="none"/>
                <w:lang w:val="en-US" w:eastAsia="zh-CN"/>
              </w:rPr>
              <w:t>3</w:t>
            </w:r>
            <w:r>
              <w:rPr>
                <w:rFonts w:hint="default" w:ascii="Times New Roman" w:hAnsi="Times New Roman" w:cs="Times New Roman"/>
                <w:bCs/>
                <w:color w:val="auto"/>
                <w:kern w:val="2"/>
                <w:sz w:val="21"/>
                <w:szCs w:val="21"/>
                <w:highlight w:val="none"/>
              </w:rPr>
              <w:t xml:space="preserve"> 大气污染物综合排放标准</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1"/>
              <w:gridCol w:w="4068"/>
            </w:tblGrid>
            <w:tr w14:paraId="5E4417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598" w:type="pct"/>
                  <w:vAlign w:val="center"/>
                </w:tcPr>
                <w:p w14:paraId="25C69C8F">
                  <w:pPr>
                    <w:spacing w:line="240" w:lineRule="auto"/>
                    <w:jc w:val="center"/>
                    <w:rPr>
                      <w:rFonts w:hint="default" w:ascii="Times New Roman" w:hAnsi="Times New Roman" w:cs="Times New Roman"/>
                      <w:b/>
                      <w:bCs/>
                      <w:color w:val="auto"/>
                      <w:sz w:val="18"/>
                      <w:szCs w:val="18"/>
                      <w:highlight w:val="none"/>
                    </w:rPr>
                  </w:pPr>
                  <w:r>
                    <w:rPr>
                      <w:rFonts w:hint="default" w:ascii="Times New Roman" w:hAnsi="Times New Roman" w:cs="Times New Roman"/>
                      <w:color w:val="auto"/>
                      <w:sz w:val="18"/>
                      <w:szCs w:val="18"/>
                      <w:highlight w:val="none"/>
                    </w:rPr>
                    <w:t>二级</w:t>
                  </w:r>
                </w:p>
              </w:tc>
              <w:tc>
                <w:tcPr>
                  <w:tcW w:w="2401" w:type="pct"/>
                  <w:vMerge w:val="restart"/>
                  <w:vAlign w:val="center"/>
                </w:tcPr>
                <w:p w14:paraId="01888968">
                  <w:pPr>
                    <w:spacing w:line="240" w:lineRule="auto"/>
                    <w:jc w:val="center"/>
                    <w:rPr>
                      <w:rFonts w:hint="default" w:ascii="Times New Roman" w:hAnsi="Times New Roman" w:cs="Times New Roman"/>
                      <w:b/>
                      <w:bCs/>
                      <w:color w:val="auto"/>
                      <w:sz w:val="18"/>
                      <w:szCs w:val="18"/>
                      <w:highlight w:val="none"/>
                    </w:rPr>
                  </w:pPr>
                  <w:r>
                    <w:rPr>
                      <w:rFonts w:hint="default" w:ascii="Times New Roman" w:hAnsi="Times New Roman" w:cs="Times New Roman"/>
                      <w:color w:val="auto"/>
                      <w:sz w:val="18"/>
                      <w:szCs w:val="18"/>
                      <w:highlight w:val="none"/>
                    </w:rPr>
                    <w:t>无组织排放监控浓度限值（mg/m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p>
              </w:tc>
            </w:tr>
            <w:tr w14:paraId="2DFD9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598" w:type="pct"/>
                  <w:tcBorders>
                    <w:tl2br w:val="single" w:color="auto" w:sz="4" w:space="0"/>
                  </w:tcBorders>
                  <w:vAlign w:val="center"/>
                </w:tcPr>
                <w:p w14:paraId="23F98DE6">
                  <w:pPr>
                    <w:spacing w:line="240" w:lineRule="auto"/>
                    <w:jc w:val="righ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指标</w:t>
                  </w:r>
                </w:p>
                <w:p w14:paraId="60A1DD14">
                  <w:pPr>
                    <w:pStyle w:val="2"/>
                    <w:spacing w:line="240" w:lineRule="auto"/>
                    <w:jc w:val="left"/>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401" w:type="pct"/>
                  <w:vMerge w:val="continue"/>
                  <w:vAlign w:val="center"/>
                </w:tcPr>
                <w:p w14:paraId="5C423113">
                  <w:pPr>
                    <w:spacing w:line="240" w:lineRule="auto"/>
                    <w:jc w:val="center"/>
                    <w:rPr>
                      <w:rFonts w:hint="default" w:ascii="Times New Roman" w:hAnsi="Times New Roman" w:cs="Times New Roman"/>
                      <w:color w:val="auto"/>
                      <w:sz w:val="18"/>
                      <w:szCs w:val="18"/>
                      <w:highlight w:val="none"/>
                    </w:rPr>
                  </w:pPr>
                </w:p>
              </w:tc>
            </w:tr>
            <w:tr w14:paraId="167FE3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2598" w:type="pct"/>
                  <w:vAlign w:val="center"/>
                </w:tcPr>
                <w:p w14:paraId="4C44BED8">
                  <w:pPr>
                    <w:spacing w:line="240" w:lineRule="auto"/>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颗粒物</w:t>
                  </w:r>
                </w:p>
              </w:tc>
              <w:tc>
                <w:tcPr>
                  <w:tcW w:w="2401" w:type="pct"/>
                  <w:vAlign w:val="center"/>
                </w:tcPr>
                <w:p w14:paraId="242ABACA">
                  <w:pPr>
                    <w:spacing w:line="240" w:lineRule="auto"/>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1.0</w:t>
                  </w:r>
                </w:p>
              </w:tc>
            </w:tr>
          </w:tbl>
          <w:p w14:paraId="5C81EF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eastAsiaTheme="minorEastAsia"/>
                <w:b/>
                <w:bCs w:val="0"/>
                <w:color w:val="auto"/>
                <w:kern w:val="2"/>
                <w:sz w:val="21"/>
                <w:szCs w:val="21"/>
                <w:highlight w:val="none"/>
                <w:lang w:val="en-US" w:eastAsia="zh-CN" w:bidi="ar-SA"/>
              </w:rPr>
            </w:pPr>
            <w:r>
              <w:rPr>
                <w:rFonts w:hint="default" w:ascii="Times New Roman" w:hAnsi="Times New Roman" w:cs="Times New Roman" w:eastAsiaTheme="minorEastAsia"/>
                <w:b/>
                <w:bCs w:val="0"/>
                <w:color w:val="auto"/>
                <w:kern w:val="2"/>
                <w:sz w:val="21"/>
                <w:szCs w:val="21"/>
                <w:highlight w:val="none"/>
                <w:lang w:val="en-US" w:eastAsia="zh-CN" w:bidi="ar-SA"/>
              </w:rPr>
              <w:t>表3-</w:t>
            </w:r>
            <w:r>
              <w:rPr>
                <w:rFonts w:hint="eastAsia" w:cs="Times New Roman" w:eastAsiaTheme="minorEastAsia"/>
                <w:b/>
                <w:bCs w:val="0"/>
                <w:color w:val="auto"/>
                <w:kern w:val="2"/>
                <w:sz w:val="21"/>
                <w:szCs w:val="21"/>
                <w:highlight w:val="none"/>
                <w:lang w:val="en-US" w:eastAsia="zh-CN" w:bidi="ar-SA"/>
              </w:rPr>
              <w:t>4</w:t>
            </w:r>
            <w:r>
              <w:rPr>
                <w:rFonts w:hint="default" w:ascii="Times New Roman" w:hAnsi="Times New Roman" w:cs="Times New Roman" w:eastAsiaTheme="minorEastAsia"/>
                <w:b/>
                <w:bCs w:val="0"/>
                <w:color w:val="auto"/>
                <w:kern w:val="2"/>
                <w:sz w:val="21"/>
                <w:szCs w:val="21"/>
                <w:highlight w:val="none"/>
                <w:lang w:val="en-US" w:eastAsia="zh-CN" w:bidi="ar-SA"/>
              </w:rPr>
              <w:t xml:space="preserve"> </w:t>
            </w:r>
            <w:r>
              <w:rPr>
                <w:rFonts w:hint="eastAsia" w:ascii="宋体" w:hAnsi="宋体" w:eastAsia="宋体" w:cs="宋体"/>
                <w:b/>
                <w:bCs w:val="0"/>
                <w:color w:val="auto"/>
                <w:kern w:val="2"/>
                <w:sz w:val="21"/>
                <w:szCs w:val="21"/>
                <w:highlight w:val="none"/>
                <w:lang w:val="en-US" w:eastAsia="zh-CN" w:bidi="ar-SA"/>
              </w:rPr>
              <w:t>煤炭工业无组织排放限值</w:t>
            </w:r>
          </w:p>
          <w:tbl>
            <w:tblPr>
              <w:tblStyle w:val="24"/>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4"/>
              <w:gridCol w:w="3375"/>
              <w:gridCol w:w="3361"/>
            </w:tblGrid>
            <w:tr w14:paraId="06547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57" w:hRule="atLeast"/>
                <w:tblHeader/>
                <w:jc w:val="center"/>
              </w:trPr>
              <w:tc>
                <w:tcPr>
                  <w:tcW w:w="1023" w:type="pct"/>
                  <w:tcBorders>
                    <w:bottom w:val="single" w:color="000000" w:sz="8" w:space="0"/>
                    <w:right w:val="single" w:color="000000" w:sz="8" w:space="0"/>
                    <w:tl2br w:val="nil"/>
                    <w:tr2bl w:val="nil"/>
                  </w:tcBorders>
                  <w:shd w:val="clear" w:color="auto" w:fill="FFFFFF"/>
                  <w:vAlign w:val="center"/>
                </w:tcPr>
                <w:p w14:paraId="5DA5EBBB">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污染物</w:t>
                  </w:r>
                </w:p>
              </w:tc>
              <w:tc>
                <w:tcPr>
                  <w:tcW w:w="1992" w:type="pct"/>
                  <w:tcBorders>
                    <w:left w:val="single" w:color="000000" w:sz="8" w:space="0"/>
                    <w:bottom w:val="single" w:color="000000" w:sz="8" w:space="0"/>
                    <w:right w:val="single" w:color="000000" w:sz="8" w:space="0"/>
                    <w:tl2br w:val="nil"/>
                    <w:tr2bl w:val="nil"/>
                  </w:tcBorders>
                  <w:shd w:val="clear" w:color="auto" w:fill="FFFFFF"/>
                  <w:vAlign w:val="center"/>
                </w:tcPr>
                <w:p w14:paraId="5C69C654">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煤炭工业装卸场所无组织排放限值</w:t>
                  </w:r>
                  <w:r>
                    <w:rPr>
                      <w:rFonts w:hint="default" w:ascii="Times New Roman" w:hAnsi="Times New Roman" w:cs="Times New Roman"/>
                      <w:b w:val="0"/>
                      <w:bCs w:val="0"/>
                      <w:color w:val="auto"/>
                      <w:sz w:val="18"/>
                      <w:szCs w:val="18"/>
                      <w:highlight w:val="none"/>
                      <w:lang w:eastAsia="zh-CN"/>
                    </w:rPr>
                    <w:t>（</w:t>
                  </w:r>
                  <w:r>
                    <w:rPr>
                      <w:rFonts w:hint="default" w:ascii="Times New Roman" w:hAnsi="Times New Roman" w:eastAsia="宋体" w:cs="Times New Roman"/>
                      <w:b w:val="0"/>
                      <w:bCs w:val="0"/>
                      <w:color w:val="auto"/>
                      <w:sz w:val="18"/>
                      <w:szCs w:val="18"/>
                      <w:highlight w:val="none"/>
                    </w:rPr>
                    <w:t>mg/Nm</w:t>
                  </w:r>
                  <w:r>
                    <w:rPr>
                      <w:rFonts w:hint="default" w:ascii="Times New Roman" w:hAnsi="Times New Roman" w:eastAsia="宋体" w:cs="Times New Roman"/>
                      <w:b w:val="0"/>
                      <w:bCs w:val="0"/>
                      <w:color w:val="auto"/>
                      <w:sz w:val="18"/>
                      <w:szCs w:val="18"/>
                      <w:highlight w:val="none"/>
                      <w:vertAlign w:val="superscript"/>
                    </w:rPr>
                    <w:t>3</w:t>
                  </w:r>
                  <w:r>
                    <w:rPr>
                      <w:rFonts w:hint="default" w:ascii="Times New Roman" w:hAnsi="Times New Roman" w:cs="Times New Roman"/>
                      <w:b w:val="0"/>
                      <w:bCs w:val="0"/>
                      <w:color w:val="auto"/>
                      <w:sz w:val="18"/>
                      <w:szCs w:val="18"/>
                      <w:highlight w:val="none"/>
                      <w:vertAlign w:val="baseline"/>
                      <w:lang w:eastAsia="zh-CN"/>
                    </w:rPr>
                    <w:t>）</w:t>
                  </w:r>
                </w:p>
              </w:tc>
              <w:tc>
                <w:tcPr>
                  <w:tcW w:w="1984" w:type="pct"/>
                  <w:tcBorders>
                    <w:left w:val="single" w:color="000000" w:sz="8" w:space="0"/>
                    <w:bottom w:val="single" w:color="000000" w:sz="8" w:space="0"/>
                    <w:tl2br w:val="nil"/>
                    <w:tr2bl w:val="nil"/>
                  </w:tcBorders>
                  <w:shd w:val="clear" w:color="auto" w:fill="FFFFFF"/>
                  <w:vAlign w:val="center"/>
                </w:tcPr>
                <w:p w14:paraId="47AB3438">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煤炭贮存场所、煤矸石堆放场无组织排放限值</w:t>
                  </w:r>
                  <w:r>
                    <w:rPr>
                      <w:rFonts w:hint="default" w:ascii="Times New Roman" w:hAnsi="Times New Roman" w:cs="Times New Roman"/>
                      <w:b w:val="0"/>
                      <w:bCs w:val="0"/>
                      <w:color w:val="auto"/>
                      <w:sz w:val="18"/>
                      <w:szCs w:val="18"/>
                      <w:highlight w:val="none"/>
                      <w:lang w:eastAsia="zh-CN"/>
                    </w:rPr>
                    <w:t>（</w:t>
                  </w:r>
                  <w:r>
                    <w:rPr>
                      <w:rFonts w:hint="default" w:ascii="Times New Roman" w:hAnsi="Times New Roman" w:eastAsia="宋体" w:cs="Times New Roman"/>
                      <w:b w:val="0"/>
                      <w:bCs w:val="0"/>
                      <w:color w:val="auto"/>
                      <w:sz w:val="18"/>
                      <w:szCs w:val="18"/>
                      <w:highlight w:val="none"/>
                    </w:rPr>
                    <w:t>mg/Nm</w:t>
                  </w:r>
                  <w:r>
                    <w:rPr>
                      <w:rFonts w:hint="default" w:ascii="Times New Roman" w:hAnsi="Times New Roman" w:eastAsia="宋体" w:cs="Times New Roman"/>
                      <w:b w:val="0"/>
                      <w:bCs w:val="0"/>
                      <w:color w:val="auto"/>
                      <w:sz w:val="18"/>
                      <w:szCs w:val="18"/>
                      <w:highlight w:val="none"/>
                      <w:vertAlign w:val="superscript"/>
                    </w:rPr>
                    <w:t>3</w:t>
                  </w:r>
                  <w:r>
                    <w:rPr>
                      <w:rFonts w:hint="default" w:ascii="Times New Roman" w:hAnsi="Times New Roman" w:cs="Times New Roman"/>
                      <w:b w:val="0"/>
                      <w:bCs w:val="0"/>
                      <w:color w:val="auto"/>
                      <w:sz w:val="18"/>
                      <w:szCs w:val="18"/>
                      <w:highlight w:val="none"/>
                      <w:vertAlign w:val="baseline"/>
                      <w:lang w:eastAsia="zh-CN"/>
                    </w:rPr>
                    <w:t>）</w:t>
                  </w:r>
                </w:p>
              </w:tc>
            </w:tr>
            <w:tr w14:paraId="367FC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1023" w:type="pct"/>
                  <w:tcBorders>
                    <w:top w:val="single" w:color="000000" w:sz="8" w:space="0"/>
                    <w:right w:val="single" w:color="000000" w:sz="8" w:space="0"/>
                    <w:tl2br w:val="nil"/>
                    <w:tr2bl w:val="nil"/>
                  </w:tcBorders>
                  <w:shd w:val="clear" w:color="auto" w:fill="FFFFFF"/>
                  <w:vAlign w:val="center"/>
                </w:tcPr>
                <w:p w14:paraId="0C865D39">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颗粒物</w:t>
                  </w:r>
                </w:p>
              </w:tc>
              <w:tc>
                <w:tcPr>
                  <w:tcW w:w="1992" w:type="pct"/>
                  <w:tcBorders>
                    <w:top w:val="single" w:color="000000" w:sz="8" w:space="0"/>
                    <w:left w:val="single" w:color="000000" w:sz="8" w:space="0"/>
                    <w:right w:val="single" w:color="000000" w:sz="8" w:space="0"/>
                    <w:tl2br w:val="nil"/>
                    <w:tr2bl w:val="nil"/>
                  </w:tcBorders>
                  <w:shd w:val="clear" w:color="auto" w:fill="FFFFFF"/>
                  <w:vAlign w:val="center"/>
                </w:tcPr>
                <w:p w14:paraId="5F8E2D90">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1.0</w:t>
                  </w:r>
                </w:p>
              </w:tc>
              <w:tc>
                <w:tcPr>
                  <w:tcW w:w="1984" w:type="pct"/>
                  <w:tcBorders>
                    <w:top w:val="single" w:color="000000" w:sz="8" w:space="0"/>
                    <w:left w:val="single" w:color="000000" w:sz="8" w:space="0"/>
                    <w:tl2br w:val="nil"/>
                    <w:tr2bl w:val="nil"/>
                  </w:tcBorders>
                  <w:shd w:val="clear" w:color="auto" w:fill="FFFFFF"/>
                  <w:vAlign w:val="center"/>
                </w:tcPr>
                <w:p w14:paraId="29B623B5">
                  <w:pPr>
                    <w:pStyle w:val="44"/>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1.0</w:t>
                  </w:r>
                </w:p>
              </w:tc>
            </w:tr>
          </w:tbl>
          <w:p w14:paraId="1004284D">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lang w:val="en-US" w:eastAsia="zh-CN" w:bidi="ar-SA"/>
              </w:rPr>
              <w:t>2、</w:t>
            </w:r>
            <w:r>
              <w:rPr>
                <w:rFonts w:hint="default" w:ascii="Times New Roman" w:hAnsi="Times New Roman" w:cs="Times New Roman"/>
                <w:b/>
                <w:bCs/>
                <w:color w:val="auto"/>
                <w:kern w:val="0"/>
                <w:sz w:val="21"/>
                <w:szCs w:val="21"/>
                <w:highlight w:val="none"/>
              </w:rPr>
              <w:t>废水</w:t>
            </w:r>
          </w:p>
          <w:p w14:paraId="1A228B5E">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本项目无生产废水，生活污水排入防渗旱厕，定期清掏外运</w:t>
            </w:r>
            <w:r>
              <w:rPr>
                <w:rFonts w:hint="eastAsia" w:cs="Times New Roman"/>
                <w:color w:val="auto"/>
                <w:kern w:val="0"/>
                <w:sz w:val="21"/>
                <w:szCs w:val="21"/>
                <w:highlight w:val="none"/>
                <w:lang w:val="en-US" w:eastAsia="zh-CN" w:bidi="ar-SA"/>
              </w:rPr>
              <w:t>堆肥</w:t>
            </w:r>
            <w:r>
              <w:rPr>
                <w:rFonts w:hint="default" w:ascii="Times New Roman" w:hAnsi="Times New Roman" w:eastAsia="宋体" w:cs="Times New Roman"/>
                <w:color w:val="auto"/>
                <w:kern w:val="0"/>
                <w:sz w:val="21"/>
                <w:szCs w:val="21"/>
                <w:highlight w:val="none"/>
                <w:lang w:val="en-US" w:eastAsia="zh-CN" w:bidi="ar-SA"/>
              </w:rPr>
              <w:t>。</w:t>
            </w:r>
          </w:p>
          <w:p w14:paraId="2A659358">
            <w:pPr>
              <w:pStyle w:val="39"/>
              <w:autoSpaceDE w:val="0"/>
              <w:autoSpaceDN w:val="0"/>
              <w:spacing w:line="360" w:lineRule="auto"/>
              <w:jc w:val="both"/>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3、</w:t>
            </w:r>
            <w:r>
              <w:rPr>
                <w:rFonts w:hint="default" w:ascii="Times New Roman" w:hAnsi="Times New Roman" w:eastAsia="宋体" w:cs="Times New Roman"/>
                <w:b/>
                <w:bCs/>
                <w:color w:val="auto"/>
                <w:kern w:val="0"/>
                <w:sz w:val="21"/>
                <w:szCs w:val="21"/>
                <w:highlight w:val="none"/>
                <w:lang w:val="en-US" w:eastAsia="zh-CN" w:bidi="ar-SA"/>
              </w:rPr>
              <w:t>噪声</w:t>
            </w:r>
          </w:p>
          <w:p w14:paraId="3A0D213D">
            <w:pPr>
              <w:pStyle w:val="39"/>
              <w:autoSpaceDE w:val="0"/>
              <w:autoSpaceDN w:val="0"/>
              <w:spacing w:line="360" w:lineRule="auto"/>
              <w:ind w:firstLine="420" w:firstLineChars="200"/>
              <w:jc w:val="both"/>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施工期执行《</w:t>
            </w:r>
            <w:r>
              <w:rPr>
                <w:rFonts w:hint="eastAsia" w:ascii="Times New Roman" w:hAnsi="Times New Roman" w:eastAsia="宋体" w:cs="Times New Roman"/>
                <w:color w:val="auto"/>
                <w:kern w:val="0"/>
                <w:sz w:val="21"/>
                <w:szCs w:val="21"/>
                <w:highlight w:val="none"/>
                <w:lang w:val="en-US" w:eastAsia="zh-CN" w:bidi="ar-SA"/>
              </w:rPr>
              <w:t>建筑施工噪声排放标准</w:t>
            </w:r>
            <w:r>
              <w:rPr>
                <w:rFonts w:hint="default"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GB12523-2025</w:t>
            </w:r>
            <w:r>
              <w:rPr>
                <w:rFonts w:hint="default" w:ascii="Times New Roman" w:hAnsi="Times New Roman" w:eastAsia="宋体" w:cs="Times New Roman"/>
                <w:color w:val="auto"/>
                <w:kern w:val="0"/>
                <w:sz w:val="21"/>
                <w:szCs w:val="21"/>
                <w:highlight w:val="none"/>
                <w:lang w:val="en-US" w:eastAsia="zh-CN" w:bidi="ar-SA"/>
              </w:rPr>
              <w:t>）；项目厂界噪声执行《工业企业厂界环境噪声排放标准》（GB12348-2008）中的2类标准，标准值见表3-</w:t>
            </w:r>
            <w:r>
              <w:rPr>
                <w:rFonts w:hint="eastAsia" w:ascii="Times New Roman" w:hAnsi="Times New Roman" w:eastAsia="宋体" w:cs="Times New Roman"/>
                <w:color w:val="auto"/>
                <w:kern w:val="0"/>
                <w:sz w:val="21"/>
                <w:szCs w:val="21"/>
                <w:highlight w:val="none"/>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w:t>
            </w:r>
            <w:bookmarkStart w:id="32" w:name="_Ref196743448"/>
          </w:p>
          <w:p w14:paraId="041A39BF">
            <w:pPr>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eastAsia="宋体" w:cs="Times New Roman"/>
                <w:b/>
                <w:bCs/>
                <w:color w:val="auto"/>
                <w:kern w:val="2"/>
                <w:sz w:val="21"/>
                <w:szCs w:val="21"/>
                <w:highlight w:val="none"/>
                <w:lang w:val="en-US" w:eastAsia="zh-CN" w:bidi="ar-SA"/>
              </w:rPr>
              <w:t>表</w:t>
            </w:r>
            <w:bookmarkEnd w:id="32"/>
            <w:r>
              <w:rPr>
                <w:rFonts w:hint="default" w:ascii="Times New Roman" w:hAnsi="Times New Roman" w:eastAsia="宋体" w:cs="Times New Roman"/>
                <w:b/>
                <w:bCs/>
                <w:color w:val="auto"/>
                <w:kern w:val="2"/>
                <w:sz w:val="21"/>
                <w:szCs w:val="21"/>
                <w:highlight w:val="none"/>
                <w:lang w:val="en-US" w:eastAsia="zh-CN" w:bidi="ar-SA"/>
              </w:rPr>
              <w:t>3-</w:t>
            </w:r>
            <w:r>
              <w:rPr>
                <w:rFonts w:hint="eastAsia"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噪声排放标准</w:t>
            </w:r>
            <w:r>
              <w:rPr>
                <w:rFonts w:hint="default" w:ascii="Times New Roman" w:hAnsi="Times New Roman" w:cs="Times New Roman"/>
                <w:b/>
                <w:bCs/>
                <w:color w:val="auto"/>
                <w:kern w:val="0"/>
                <w:sz w:val="21"/>
                <w:szCs w:val="21"/>
                <w:highlight w:val="none"/>
              </w:rPr>
              <w:t xml:space="preserve">  单位：dB（A）</w:t>
            </w:r>
          </w:p>
          <w:tbl>
            <w:tblPr>
              <w:tblStyle w:val="24"/>
              <w:tblW w:w="5000" w:type="pct"/>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2118"/>
              <w:gridCol w:w="2118"/>
              <w:gridCol w:w="2118"/>
              <w:gridCol w:w="2119"/>
            </w:tblGrid>
            <w:tr w14:paraId="53A7B894">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09" w:hRule="atLeast"/>
                <w:jc w:val="center"/>
              </w:trPr>
              <w:tc>
                <w:tcPr>
                  <w:tcW w:w="1250" w:type="pct"/>
                  <w:vMerge w:val="restart"/>
                  <w:tcBorders>
                    <w:top w:val="single" w:color="auto" w:sz="12" w:space="0"/>
                  </w:tcBorders>
                  <w:noWrap w:val="0"/>
                  <w:tcMar>
                    <w:top w:w="17" w:type="dxa"/>
                    <w:left w:w="17" w:type="dxa"/>
                    <w:bottom w:w="0" w:type="dxa"/>
                    <w:right w:w="17" w:type="dxa"/>
                  </w:tcMar>
                  <w:vAlign w:val="center"/>
                </w:tcPr>
                <w:p w14:paraId="7574F733">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时段</w:t>
                  </w:r>
                </w:p>
              </w:tc>
              <w:tc>
                <w:tcPr>
                  <w:tcW w:w="1250" w:type="pct"/>
                  <w:vMerge w:val="restart"/>
                  <w:tcBorders>
                    <w:top w:val="single" w:color="auto" w:sz="12" w:space="0"/>
                  </w:tcBorders>
                  <w:noWrap w:val="0"/>
                  <w:tcMar>
                    <w:top w:w="17" w:type="dxa"/>
                    <w:left w:w="17" w:type="dxa"/>
                    <w:bottom w:w="0" w:type="dxa"/>
                    <w:right w:w="17" w:type="dxa"/>
                  </w:tcMar>
                  <w:vAlign w:val="center"/>
                </w:tcPr>
                <w:p w14:paraId="029777B7">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标准</w:t>
                  </w:r>
                </w:p>
              </w:tc>
              <w:tc>
                <w:tcPr>
                  <w:tcW w:w="2501" w:type="pct"/>
                  <w:gridSpan w:val="2"/>
                  <w:tcBorders>
                    <w:top w:val="single" w:color="auto" w:sz="12" w:space="0"/>
                  </w:tcBorders>
                  <w:noWrap w:val="0"/>
                  <w:tcMar>
                    <w:top w:w="17" w:type="dxa"/>
                    <w:left w:w="17" w:type="dxa"/>
                    <w:bottom w:w="0" w:type="dxa"/>
                    <w:right w:w="17" w:type="dxa"/>
                  </w:tcMar>
                  <w:vAlign w:val="center"/>
                </w:tcPr>
                <w:p w14:paraId="72C63057">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标准值</w:t>
                  </w:r>
                </w:p>
              </w:tc>
            </w:tr>
            <w:tr w14:paraId="22BAA78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64" w:hRule="atLeast"/>
                <w:jc w:val="center"/>
              </w:trPr>
              <w:tc>
                <w:tcPr>
                  <w:tcW w:w="1250" w:type="pct"/>
                  <w:vMerge w:val="continue"/>
                  <w:noWrap w:val="0"/>
                  <w:vAlign w:val="center"/>
                </w:tcPr>
                <w:p w14:paraId="76524B19">
                  <w:pPr>
                    <w:adjustRightInd w:val="0"/>
                    <w:snapToGrid w:val="0"/>
                    <w:jc w:val="center"/>
                    <w:rPr>
                      <w:rFonts w:hint="default" w:ascii="Times New Roman" w:hAnsi="Times New Roman" w:eastAsia="宋体" w:cs="Times New Roman"/>
                      <w:color w:val="auto"/>
                      <w:kern w:val="0"/>
                      <w:sz w:val="18"/>
                      <w:szCs w:val="18"/>
                      <w:highlight w:val="none"/>
                    </w:rPr>
                  </w:pPr>
                </w:p>
              </w:tc>
              <w:tc>
                <w:tcPr>
                  <w:tcW w:w="1250" w:type="pct"/>
                  <w:vMerge w:val="continue"/>
                  <w:noWrap w:val="0"/>
                  <w:vAlign w:val="center"/>
                </w:tcPr>
                <w:p w14:paraId="332B5DF9">
                  <w:pPr>
                    <w:adjustRightInd w:val="0"/>
                    <w:snapToGrid w:val="0"/>
                    <w:jc w:val="center"/>
                    <w:rPr>
                      <w:rFonts w:hint="default" w:ascii="Times New Roman" w:hAnsi="Times New Roman" w:eastAsia="宋体" w:cs="Times New Roman"/>
                      <w:color w:val="auto"/>
                      <w:kern w:val="0"/>
                      <w:sz w:val="18"/>
                      <w:szCs w:val="18"/>
                      <w:highlight w:val="none"/>
                    </w:rPr>
                  </w:pPr>
                </w:p>
              </w:tc>
              <w:tc>
                <w:tcPr>
                  <w:tcW w:w="1250" w:type="pct"/>
                  <w:noWrap w:val="0"/>
                  <w:tcMar>
                    <w:top w:w="17" w:type="dxa"/>
                    <w:left w:w="17" w:type="dxa"/>
                    <w:bottom w:w="0" w:type="dxa"/>
                    <w:right w:w="17" w:type="dxa"/>
                  </w:tcMar>
                  <w:vAlign w:val="center"/>
                </w:tcPr>
                <w:p w14:paraId="0A42A1CB">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昼间</w:t>
                  </w:r>
                </w:p>
              </w:tc>
              <w:tc>
                <w:tcPr>
                  <w:tcW w:w="1251" w:type="pct"/>
                  <w:noWrap w:val="0"/>
                  <w:tcMar>
                    <w:top w:w="17" w:type="dxa"/>
                    <w:left w:w="17" w:type="dxa"/>
                    <w:bottom w:w="0" w:type="dxa"/>
                    <w:right w:w="17" w:type="dxa"/>
                  </w:tcMar>
                  <w:vAlign w:val="center"/>
                </w:tcPr>
                <w:p w14:paraId="690EDBA7">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夜间</w:t>
                  </w:r>
                </w:p>
              </w:tc>
            </w:tr>
            <w:tr w14:paraId="2F0429A8">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noWrap w:val="0"/>
                  <w:vAlign w:val="center"/>
                </w:tcPr>
                <w:p w14:paraId="0C04737C">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施工期</w:t>
                  </w:r>
                </w:p>
              </w:tc>
              <w:tc>
                <w:tcPr>
                  <w:tcW w:w="1250" w:type="pct"/>
                  <w:noWrap w:val="0"/>
                  <w:vAlign w:val="center"/>
                </w:tcPr>
                <w:p w14:paraId="11101712">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rPr>
                    <w:t>GB12523-20</w:t>
                  </w:r>
                  <w:r>
                    <w:rPr>
                      <w:rFonts w:hint="eastAsia" w:cs="Times New Roman"/>
                      <w:color w:val="auto"/>
                      <w:kern w:val="0"/>
                      <w:sz w:val="18"/>
                      <w:szCs w:val="18"/>
                      <w:highlight w:val="none"/>
                      <w:lang w:val="en-US" w:eastAsia="zh-CN"/>
                    </w:rPr>
                    <w:t>25</w:t>
                  </w:r>
                </w:p>
              </w:tc>
              <w:tc>
                <w:tcPr>
                  <w:tcW w:w="1250" w:type="pct"/>
                  <w:noWrap w:val="0"/>
                  <w:tcMar>
                    <w:top w:w="17" w:type="dxa"/>
                    <w:left w:w="17" w:type="dxa"/>
                    <w:bottom w:w="0" w:type="dxa"/>
                    <w:right w:w="17" w:type="dxa"/>
                  </w:tcMar>
                  <w:vAlign w:val="center"/>
                </w:tcPr>
                <w:p w14:paraId="3B3EA0A7">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70</w:t>
                  </w:r>
                </w:p>
              </w:tc>
              <w:tc>
                <w:tcPr>
                  <w:tcW w:w="1251" w:type="pct"/>
                  <w:noWrap w:val="0"/>
                  <w:tcMar>
                    <w:top w:w="17" w:type="dxa"/>
                    <w:left w:w="17" w:type="dxa"/>
                    <w:bottom w:w="0" w:type="dxa"/>
                    <w:right w:w="17" w:type="dxa"/>
                  </w:tcMar>
                  <w:vAlign w:val="center"/>
                </w:tcPr>
                <w:p w14:paraId="5DB29D26">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55</w:t>
                  </w:r>
                </w:p>
              </w:tc>
            </w:tr>
            <w:tr w14:paraId="60C8AF81">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97" w:hRule="atLeast"/>
                <w:jc w:val="center"/>
              </w:trPr>
              <w:tc>
                <w:tcPr>
                  <w:tcW w:w="1250" w:type="pct"/>
                  <w:tcBorders>
                    <w:bottom w:val="single" w:color="auto" w:sz="12" w:space="0"/>
                  </w:tcBorders>
                  <w:noWrap w:val="0"/>
                  <w:vAlign w:val="center"/>
                </w:tcPr>
                <w:p w14:paraId="79E09E33">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运营期</w:t>
                  </w:r>
                </w:p>
              </w:tc>
              <w:tc>
                <w:tcPr>
                  <w:tcW w:w="1250" w:type="pct"/>
                  <w:tcBorders>
                    <w:bottom w:val="single" w:color="auto" w:sz="12" w:space="0"/>
                  </w:tcBorders>
                  <w:noWrap w:val="0"/>
                  <w:vAlign w:val="center"/>
                </w:tcPr>
                <w:p w14:paraId="035D85D5">
                  <w:pPr>
                    <w:adjustRightInd w:val="0"/>
                    <w:snapToGrid w:val="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 xml:space="preserve">GB12348-2008 </w:t>
                  </w:r>
                  <w:r>
                    <w:rPr>
                      <w:rFonts w:hint="default" w:ascii="Times New Roman" w:hAnsi="Times New Roman" w:eastAsia="宋体" w:cs="Times New Roman"/>
                      <w:color w:val="auto"/>
                      <w:kern w:val="0"/>
                      <w:sz w:val="18"/>
                      <w:szCs w:val="18"/>
                      <w:highlight w:val="none"/>
                      <w:lang w:val="en-US" w:eastAsia="zh-CN"/>
                    </w:rPr>
                    <w:t xml:space="preserve"> </w:t>
                  </w:r>
                  <w:r>
                    <w:rPr>
                      <w:rFonts w:hint="default" w:ascii="Times New Roman" w:hAnsi="Times New Roman" w:eastAsia="宋体" w:cs="Times New Roman"/>
                      <w:color w:val="auto"/>
                      <w:kern w:val="0"/>
                      <w:sz w:val="18"/>
                      <w:szCs w:val="18"/>
                      <w:highlight w:val="none"/>
                    </w:rPr>
                    <w:t>2类</w:t>
                  </w:r>
                </w:p>
              </w:tc>
              <w:tc>
                <w:tcPr>
                  <w:tcW w:w="1250" w:type="pct"/>
                  <w:tcBorders>
                    <w:bottom w:val="single" w:color="auto" w:sz="12" w:space="0"/>
                  </w:tcBorders>
                  <w:noWrap w:val="0"/>
                  <w:tcMar>
                    <w:top w:w="17" w:type="dxa"/>
                    <w:left w:w="17" w:type="dxa"/>
                    <w:bottom w:w="0" w:type="dxa"/>
                    <w:right w:w="17" w:type="dxa"/>
                  </w:tcMar>
                  <w:vAlign w:val="center"/>
                </w:tcPr>
                <w:p w14:paraId="7EE52B63">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rPr>
                    <w:t>6</w:t>
                  </w:r>
                  <w:r>
                    <w:rPr>
                      <w:rFonts w:hint="default" w:ascii="Times New Roman" w:hAnsi="Times New Roman" w:cs="Times New Roman"/>
                      <w:color w:val="auto"/>
                      <w:kern w:val="0"/>
                      <w:sz w:val="18"/>
                      <w:szCs w:val="18"/>
                      <w:highlight w:val="none"/>
                      <w:lang w:val="en-US" w:eastAsia="zh-CN"/>
                    </w:rPr>
                    <w:t>0</w:t>
                  </w:r>
                </w:p>
              </w:tc>
              <w:tc>
                <w:tcPr>
                  <w:tcW w:w="1251" w:type="pct"/>
                  <w:tcBorders>
                    <w:bottom w:val="single" w:color="auto" w:sz="12" w:space="0"/>
                  </w:tcBorders>
                  <w:noWrap w:val="0"/>
                  <w:tcMar>
                    <w:top w:w="17" w:type="dxa"/>
                    <w:left w:w="17" w:type="dxa"/>
                    <w:bottom w:w="0" w:type="dxa"/>
                    <w:right w:w="17" w:type="dxa"/>
                  </w:tcMar>
                  <w:vAlign w:val="center"/>
                </w:tcPr>
                <w:p w14:paraId="11FFA48A">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5</w:t>
                  </w:r>
                  <w:r>
                    <w:rPr>
                      <w:rFonts w:hint="default" w:ascii="Times New Roman" w:hAnsi="Times New Roman" w:cs="Times New Roman"/>
                      <w:color w:val="auto"/>
                      <w:kern w:val="0"/>
                      <w:sz w:val="18"/>
                      <w:szCs w:val="18"/>
                      <w:highlight w:val="none"/>
                      <w:lang w:val="en-US" w:eastAsia="zh-CN"/>
                    </w:rPr>
                    <w:t>0</w:t>
                  </w:r>
                </w:p>
              </w:tc>
            </w:tr>
          </w:tbl>
          <w:p w14:paraId="12BF4155">
            <w:pPr>
              <w:spacing w:line="360" w:lineRule="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cs="Times New Roman"/>
                <w:b/>
                <w:bCs/>
                <w:color w:val="auto"/>
                <w:kern w:val="0"/>
                <w:sz w:val="21"/>
                <w:szCs w:val="21"/>
                <w:highlight w:val="none"/>
                <w:lang w:val="en-US" w:eastAsia="zh-CN" w:bidi="ar-SA"/>
              </w:rPr>
              <w:t>4、</w:t>
            </w:r>
            <w:r>
              <w:rPr>
                <w:rFonts w:hint="default" w:ascii="Times New Roman" w:hAnsi="Times New Roman" w:eastAsia="宋体" w:cs="Times New Roman"/>
                <w:b/>
                <w:bCs/>
                <w:color w:val="auto"/>
                <w:kern w:val="0"/>
                <w:sz w:val="21"/>
                <w:szCs w:val="21"/>
                <w:highlight w:val="none"/>
                <w:lang w:val="en-US" w:eastAsia="zh-CN" w:bidi="ar-SA"/>
              </w:rPr>
              <w:t>固体废物</w:t>
            </w:r>
          </w:p>
          <w:p w14:paraId="2B4CE7F2">
            <w:pPr>
              <w:pStyle w:val="39"/>
              <w:autoSpaceDE w:val="0"/>
              <w:autoSpaceDN w:val="0"/>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SA"/>
              </w:rPr>
              <w:t>固体废物污染物控制标准：一般固废执行《一般工业固体废物贮存和填埋污染控制标准》（GB18599-2020）、《固体废物分类与代码目录》（公告2024年第4号）标准要求；危险废物贮存执行《危险废物贮存污染控制标准》（GB18597-2023）标准要求。</w:t>
            </w:r>
          </w:p>
        </w:tc>
      </w:tr>
      <w:tr w14:paraId="028AA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4" w:type="dxa"/>
            <w:vAlign w:val="center"/>
          </w:tcPr>
          <w:p w14:paraId="62720CE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5052F269">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57BFFCF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688" w:type="dxa"/>
            <w:vAlign w:val="center"/>
          </w:tcPr>
          <w:p w14:paraId="361AC555">
            <w:pPr>
              <w:pStyle w:val="39"/>
              <w:autoSpaceDE w:val="0"/>
              <w:autoSpaceDN w:val="0"/>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SA"/>
              </w:rPr>
              <w:t>根据《关于做</w:t>
            </w:r>
            <w:r>
              <w:rPr>
                <w:rFonts w:hint="eastAsia" w:ascii="宋体" w:hAnsi="宋体" w:eastAsia="宋体" w:cs="宋体"/>
                <w:color w:val="auto"/>
                <w:kern w:val="0"/>
                <w:sz w:val="21"/>
                <w:szCs w:val="21"/>
                <w:highlight w:val="none"/>
                <w:lang w:val="en-US" w:eastAsia="zh-CN" w:bidi="ar-SA"/>
              </w:rPr>
              <w:t>好“十四五”主要污</w:t>
            </w:r>
            <w:r>
              <w:rPr>
                <w:rFonts w:hint="default" w:ascii="Times New Roman" w:hAnsi="Times New Roman" w:eastAsia="宋体" w:cs="Times New Roman"/>
                <w:color w:val="auto"/>
                <w:kern w:val="0"/>
                <w:sz w:val="21"/>
                <w:szCs w:val="21"/>
                <w:highlight w:val="none"/>
                <w:lang w:val="en-US" w:eastAsia="zh-CN" w:bidi="ar-SA"/>
              </w:rPr>
              <w:t>染物总量减排工作的通知》</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环办综合函〔2021〕323号</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中污染物排放总量控制管理要求，十四五期间主要控制污染物为氮氧化物、挥发性有机物、化学需氧量、氨氮。</w:t>
            </w:r>
            <w:r>
              <w:rPr>
                <w:rFonts w:hint="default" w:ascii="Times New Roman" w:hAnsi="Times New Roman" w:eastAsia="宋体" w:cs="Times New Roman"/>
                <w:color w:val="auto"/>
                <w:kern w:val="0"/>
                <w:sz w:val="21"/>
                <w:szCs w:val="21"/>
                <w:highlight w:val="none"/>
                <w:lang w:val="en-US" w:eastAsia="zh-Hans" w:bidi="ar-SA"/>
              </w:rPr>
              <w:t>结合本项目实际污染物排放情况</w:t>
            </w:r>
            <w:r>
              <w:rPr>
                <w:rFonts w:hint="default" w:ascii="Times New Roman" w:hAnsi="Times New Roman" w:eastAsia="宋体" w:cs="Times New Roman"/>
                <w:color w:val="auto"/>
                <w:kern w:val="0"/>
                <w:sz w:val="21"/>
                <w:szCs w:val="21"/>
                <w:highlight w:val="none"/>
                <w:lang w:val="en-US" w:eastAsia="zh-CN" w:bidi="ar-SA"/>
              </w:rPr>
              <w:t>，主要污染物为颗粒物</w:t>
            </w:r>
            <w:r>
              <w:rPr>
                <w:rFonts w:hint="default" w:ascii="Times New Roman" w:hAnsi="Times New Roman" w:eastAsia="宋体" w:cs="Times New Roman"/>
                <w:color w:val="auto"/>
                <w:kern w:val="0"/>
                <w:sz w:val="21"/>
                <w:szCs w:val="21"/>
                <w:highlight w:val="none"/>
                <w:lang w:val="en-US" w:eastAsia="zh-Hans" w:bidi="ar-SA"/>
              </w:rPr>
              <w:t>，</w:t>
            </w:r>
            <w:r>
              <w:rPr>
                <w:rFonts w:hint="default" w:ascii="Times New Roman" w:hAnsi="Times New Roman" w:eastAsia="宋体" w:cs="Times New Roman"/>
                <w:color w:val="auto"/>
                <w:kern w:val="0"/>
                <w:sz w:val="21"/>
                <w:szCs w:val="21"/>
                <w:highlight w:val="none"/>
                <w:lang w:val="en-US" w:eastAsia="zh-CN" w:bidi="ar-SA"/>
              </w:rPr>
              <w:t>故</w:t>
            </w:r>
            <w:r>
              <w:rPr>
                <w:rFonts w:hint="default" w:ascii="Times New Roman" w:hAnsi="Times New Roman" w:eastAsia="宋体" w:cs="Times New Roman"/>
                <w:color w:val="auto"/>
                <w:kern w:val="0"/>
                <w:sz w:val="21"/>
                <w:szCs w:val="21"/>
                <w:highlight w:val="none"/>
                <w:lang w:val="en-US" w:eastAsia="zh-Hans" w:bidi="ar-SA"/>
              </w:rPr>
              <w:t>本项</w:t>
            </w:r>
            <w:r>
              <w:rPr>
                <w:rFonts w:hint="default" w:ascii="Times New Roman" w:hAnsi="Times New Roman" w:eastAsia="宋体" w:cs="Times New Roman"/>
                <w:color w:val="auto"/>
                <w:kern w:val="0"/>
                <w:sz w:val="21"/>
                <w:szCs w:val="21"/>
                <w:highlight w:val="none"/>
                <w:lang w:val="en-US" w:eastAsia="zh-CN" w:bidi="ar-SA"/>
              </w:rPr>
              <w:t>目无需申请</w:t>
            </w:r>
            <w:r>
              <w:rPr>
                <w:rFonts w:hint="default" w:ascii="Times New Roman" w:hAnsi="Times New Roman" w:eastAsia="宋体" w:cs="Times New Roman"/>
                <w:color w:val="auto"/>
                <w:kern w:val="0"/>
                <w:sz w:val="21"/>
                <w:szCs w:val="21"/>
                <w:highlight w:val="none"/>
                <w:lang w:val="en-US" w:eastAsia="zh-Hans" w:bidi="ar-SA"/>
              </w:rPr>
              <w:t>总量控制指标</w:t>
            </w:r>
            <w:r>
              <w:rPr>
                <w:rFonts w:hint="default" w:ascii="Times New Roman" w:hAnsi="Times New Roman" w:cs="Times New Roman"/>
                <w:color w:val="auto"/>
                <w:kern w:val="0"/>
                <w:sz w:val="21"/>
                <w:szCs w:val="21"/>
                <w:highlight w:val="none"/>
                <w:lang w:val="en-US" w:eastAsia="zh-CN"/>
              </w:rPr>
              <w:t>。</w:t>
            </w:r>
          </w:p>
        </w:tc>
      </w:tr>
    </w:tbl>
    <w:p w14:paraId="6F1DB251">
      <w:pPr>
        <w:pStyle w:val="20"/>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33" w:name="_Toc2802"/>
      <w:bookmarkStart w:id="34" w:name="_Toc11163"/>
      <w:bookmarkStart w:id="35" w:name="_Toc12897"/>
      <w:bookmarkStart w:id="36" w:name="_Toc17403"/>
      <w:r>
        <w:rPr>
          <w:rFonts w:hint="eastAsia" w:ascii="宋体" w:hAnsi="宋体" w:eastAsia="宋体" w:cs="宋体"/>
          <w:snapToGrid w:val="0"/>
          <w:color w:val="auto"/>
          <w:sz w:val="30"/>
          <w:szCs w:val="30"/>
          <w:highlight w:val="none"/>
        </w:rPr>
        <w:t>四、主要环境影响和保护措施</w:t>
      </w:r>
      <w:bookmarkEnd w:id="33"/>
      <w:bookmarkEnd w:id="34"/>
      <w:bookmarkEnd w:id="35"/>
      <w:bookmarkEnd w:id="36"/>
    </w:p>
    <w:tbl>
      <w:tblPr>
        <w:tblStyle w:val="24"/>
        <w:tblW w:w="934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2"/>
        <w:gridCol w:w="8899"/>
      </w:tblGrid>
      <w:tr w14:paraId="2EF087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3" w:hRule="atLeast"/>
          <w:jc w:val="center"/>
        </w:trPr>
        <w:tc>
          <w:tcPr>
            <w:tcW w:w="442" w:type="dxa"/>
            <w:tcMar>
              <w:left w:w="28" w:type="dxa"/>
              <w:right w:w="28" w:type="dxa"/>
            </w:tcMar>
            <w:vAlign w:val="center"/>
          </w:tcPr>
          <w:p w14:paraId="44C98A09">
            <w:pPr>
              <w:pStyle w:val="20"/>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27D59C08">
            <w:pPr>
              <w:pStyle w:val="20"/>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4A9CBEF1">
            <w:pPr>
              <w:pStyle w:val="20"/>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4089C4AE">
            <w:pPr>
              <w:pStyle w:val="20"/>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587FD021">
            <w:pPr>
              <w:pStyle w:val="20"/>
              <w:adjustRightInd w:val="0"/>
              <w:snapToGrid w:val="0"/>
              <w:spacing w:before="0" w:beforeAutospacing="0" w:after="0" w:afterAutospacing="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8899" w:type="dxa"/>
            <w:vAlign w:val="top"/>
          </w:tcPr>
          <w:p w14:paraId="022EBD62">
            <w:pPr>
              <w:numPr>
                <w:ilvl w:val="0"/>
                <w:numId w:val="0"/>
              </w:numPr>
              <w:adjustRightInd w:val="0"/>
              <w:snapToGrid w:val="0"/>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1、</w:t>
            </w:r>
            <w:r>
              <w:rPr>
                <w:rFonts w:hint="default" w:ascii="Times New Roman" w:hAnsi="Times New Roman" w:cs="Times New Roman"/>
                <w:b/>
                <w:color w:val="auto"/>
                <w:sz w:val="21"/>
                <w:szCs w:val="21"/>
                <w:highlight w:val="none"/>
              </w:rPr>
              <w:t>施工扬尘</w:t>
            </w:r>
          </w:p>
          <w:p w14:paraId="3F848B31">
            <w:pPr>
              <w:adjustRightInd w:val="0"/>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为了减少施工期的环境空气污染，施工现场周边应设置围挡，对施工现场内的施工道路进行硬质覆盖；</w:t>
            </w:r>
            <w:r>
              <w:rPr>
                <w:rFonts w:hint="default" w:ascii="Times New Roman" w:hAnsi="Times New Roman" w:cs="Times New Roman"/>
                <w:color w:val="auto"/>
                <w:sz w:val="21"/>
                <w:szCs w:val="21"/>
                <w:highlight w:val="none"/>
                <w:lang w:val="en-US" w:eastAsia="zh-CN"/>
              </w:rPr>
              <w:t>施工</w:t>
            </w:r>
            <w:r>
              <w:rPr>
                <w:rFonts w:hint="default" w:ascii="Times New Roman" w:hAnsi="Times New Roman" w:cs="Times New Roman"/>
                <w:color w:val="auto"/>
                <w:sz w:val="21"/>
                <w:szCs w:val="21"/>
                <w:highlight w:val="none"/>
              </w:rPr>
              <w:t>材料</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如砂石等</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default" w:ascii="Times New Roman" w:hAnsi="Times New Roman" w:cs="Times New Roman"/>
                <w:color w:val="auto"/>
                <w:sz w:val="21"/>
                <w:szCs w:val="21"/>
                <w:highlight w:val="none"/>
                <w:lang w:val="en-US" w:eastAsia="zh-CN"/>
              </w:rPr>
              <w:t>在落实以上措施后，施工期废气</w:t>
            </w:r>
            <w:r>
              <w:rPr>
                <w:rFonts w:hint="default" w:ascii="Times New Roman" w:hAnsi="Times New Roman" w:cs="Times New Roman"/>
                <w:bCs/>
                <w:color w:val="auto"/>
                <w:sz w:val="21"/>
                <w:szCs w:val="21"/>
                <w:highlight w:val="none"/>
              </w:rPr>
              <w:t>排放浓度</w:t>
            </w:r>
            <w:r>
              <w:rPr>
                <w:rFonts w:hint="default" w:ascii="Times New Roman" w:hAnsi="Times New Roman" w:cs="Times New Roman"/>
                <w:bCs/>
                <w:color w:val="auto"/>
                <w:sz w:val="21"/>
                <w:szCs w:val="21"/>
                <w:highlight w:val="none"/>
                <w:lang w:val="en-US" w:eastAsia="zh-CN"/>
              </w:rPr>
              <w:t>能够</w:t>
            </w:r>
            <w:r>
              <w:rPr>
                <w:rFonts w:hint="default" w:ascii="Times New Roman" w:hAnsi="Times New Roman" w:cs="Times New Roman"/>
                <w:bCs/>
                <w:color w:val="auto"/>
                <w:sz w:val="21"/>
                <w:szCs w:val="21"/>
                <w:highlight w:val="none"/>
              </w:rPr>
              <w:t>满足《大气污染物综合排放标准》（GB16297-1996）表2中的无组织排放限值，对周围环境影响较小</w:t>
            </w:r>
            <w:r>
              <w:rPr>
                <w:rFonts w:hint="default" w:ascii="Times New Roman" w:hAnsi="Times New Roman" w:cs="Times New Roman"/>
                <w:bCs/>
                <w:color w:val="auto"/>
                <w:sz w:val="21"/>
                <w:szCs w:val="21"/>
                <w:highlight w:val="none"/>
                <w:lang w:eastAsia="zh-CN"/>
              </w:rPr>
              <w:t>。</w:t>
            </w:r>
          </w:p>
          <w:p w14:paraId="23D841FE">
            <w:pPr>
              <w:numPr>
                <w:ilvl w:val="0"/>
                <w:numId w:val="0"/>
              </w:numPr>
              <w:adjustRightInd w:val="0"/>
              <w:snapToGrid w:val="0"/>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2、</w:t>
            </w:r>
            <w:r>
              <w:rPr>
                <w:rFonts w:hint="default" w:ascii="Times New Roman" w:hAnsi="Times New Roman" w:cs="Times New Roman"/>
                <w:b/>
                <w:color w:val="auto"/>
                <w:sz w:val="21"/>
                <w:szCs w:val="21"/>
                <w:highlight w:val="none"/>
              </w:rPr>
              <w:t>废水</w:t>
            </w:r>
          </w:p>
          <w:p w14:paraId="3C205400">
            <w:pPr>
              <w:spacing w:line="360" w:lineRule="auto"/>
              <w:ind w:firstLine="420" w:firstLineChars="200"/>
              <w:jc w:val="both"/>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沉淀后全部回用于混凝土养护、场地洒水降尘等环节，做到废水不外排，施工期所产生的废水均能妥善处理，不会对周边环境造成不良影响。</w:t>
            </w:r>
          </w:p>
          <w:p w14:paraId="2F11D542">
            <w:pPr>
              <w:numPr>
                <w:ilvl w:val="0"/>
                <w:numId w:val="0"/>
              </w:numPr>
              <w:adjustRightInd w:val="0"/>
              <w:snapToGrid w:val="0"/>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3、</w:t>
            </w:r>
            <w:r>
              <w:rPr>
                <w:rFonts w:hint="default" w:ascii="Times New Roman" w:hAnsi="Times New Roman" w:cs="Times New Roman"/>
                <w:b/>
                <w:color w:val="auto"/>
                <w:sz w:val="21"/>
                <w:szCs w:val="21"/>
                <w:highlight w:val="none"/>
              </w:rPr>
              <w:t>噪声</w:t>
            </w:r>
          </w:p>
          <w:p w14:paraId="7CC4AD14">
            <w:pPr>
              <w:adjustRightInd w:val="0"/>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w:t>
            </w:r>
            <w:r>
              <w:rPr>
                <w:rFonts w:hint="eastAsia" w:cs="Times New Roman"/>
                <w:color w:val="auto"/>
                <w:sz w:val="21"/>
                <w:szCs w:val="21"/>
                <w:highlight w:val="none"/>
                <w:lang w:eastAsia="zh-CN"/>
              </w:rPr>
              <w:t>建筑施工噪声排放标准</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GB12523-2025</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标准值，故施工期噪声对周围环境影响会减小。</w:t>
            </w:r>
          </w:p>
          <w:p w14:paraId="078E9B39">
            <w:pPr>
              <w:numPr>
                <w:ilvl w:val="0"/>
                <w:numId w:val="0"/>
              </w:numPr>
              <w:adjustRightInd w:val="0"/>
              <w:snapToGrid w:val="0"/>
              <w:spacing w:line="360" w:lineRule="auto"/>
              <w:jc w:val="both"/>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cs="Times New Roman"/>
                <w:b/>
                <w:color w:val="auto"/>
                <w:sz w:val="21"/>
                <w:szCs w:val="21"/>
                <w:highlight w:val="none"/>
              </w:rPr>
              <w:t>固废</w:t>
            </w:r>
          </w:p>
          <w:p w14:paraId="403E8320">
            <w:pPr>
              <w:adjustRightInd w:val="0"/>
              <w:snapToGrid w:val="0"/>
              <w:spacing w:line="360" w:lineRule="auto"/>
              <w:ind w:firstLine="420" w:firstLineChars="200"/>
              <w:jc w:val="both"/>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建筑垃圾及生活垃圾要随产随清，驶出施工现场的车辆，应清除轮胎上的泥土。将建筑垃圾运至市政指定地点倾倒，生活垃圾及时清运至指定地点</w:t>
            </w:r>
            <w:r>
              <w:rPr>
                <w:rFonts w:hint="default" w:ascii="Times New Roman" w:hAnsi="Times New Roman" w:cs="Times New Roman"/>
                <w:color w:val="auto"/>
                <w:sz w:val="21"/>
                <w:szCs w:val="21"/>
                <w:highlight w:val="none"/>
                <w:lang w:eastAsia="zh-CN"/>
              </w:rPr>
              <w:t>。</w:t>
            </w:r>
          </w:p>
          <w:p w14:paraId="2FEB248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jc w:val="both"/>
              <w:textAlignment w:val="auto"/>
              <w:rPr>
                <w:rFonts w:hint="eastAsia"/>
                <w:b/>
                <w:bCs/>
                <w:color w:val="auto"/>
                <w:sz w:val="21"/>
                <w:szCs w:val="21"/>
                <w:highlight w:val="none"/>
                <w:lang w:val="en-US" w:eastAsia="zh-CN"/>
              </w:rPr>
            </w:pPr>
            <w:r>
              <w:rPr>
                <w:rFonts w:hint="eastAsia" w:ascii="Times New Roman" w:hAnsi="Times New Roman" w:eastAsia="宋体" w:cs="Times New Roman"/>
                <w:b/>
                <w:bCs/>
                <w:color w:val="auto"/>
                <w:kern w:val="2"/>
                <w:sz w:val="21"/>
                <w:szCs w:val="21"/>
                <w:highlight w:val="none"/>
                <w:lang w:val="en-US" w:eastAsia="zh-CN" w:bidi="ar-SA"/>
              </w:rPr>
              <w:t>5、</w:t>
            </w:r>
            <w:r>
              <w:rPr>
                <w:b/>
                <w:bCs/>
                <w:color w:val="auto"/>
                <w:spacing w:val="-1"/>
                <w:highlight w:val="none"/>
              </w:rPr>
              <w:t>生态保护措施</w:t>
            </w:r>
          </w:p>
          <w:p w14:paraId="0822DFB4">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384"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highlight w:val="none"/>
              </w:rPr>
              <w:t>（</w:t>
            </w:r>
            <w:r>
              <w:rPr>
                <w:rFonts w:hint="default" w:ascii="Times New Roman" w:hAnsi="Times New Roman" w:eastAsia="宋体" w:cs="Times New Roman"/>
                <w:color w:val="auto"/>
                <w:spacing w:val="-65"/>
                <w:sz w:val="21"/>
                <w:szCs w:val="21"/>
                <w:highlight w:val="none"/>
              </w:rPr>
              <w:t xml:space="preserve"> </w:t>
            </w:r>
            <w:r>
              <w:rPr>
                <w:rFonts w:hint="default" w:ascii="Times New Roman" w:hAnsi="Times New Roman" w:eastAsia="宋体" w:cs="Times New Roman"/>
                <w:color w:val="auto"/>
                <w:spacing w:val="-9"/>
                <w:sz w:val="21"/>
                <w:szCs w:val="21"/>
                <w:highlight w:val="none"/>
              </w:rPr>
              <w:t>1）生态保护与恢复措施</w:t>
            </w:r>
          </w:p>
          <w:p w14:paraId="756FFA89">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32"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①施工中应执行分层开挖的操作规范。在回填时也应分层回填，尽可能恢复表土以保护土壤结构和肥力，保持作物原有的生</w:t>
            </w:r>
            <w:r>
              <w:rPr>
                <w:rFonts w:hint="default" w:ascii="Times New Roman" w:hAnsi="Times New Roman" w:eastAsia="宋体" w:cs="Times New Roman"/>
                <w:color w:val="auto"/>
                <w:spacing w:val="-13"/>
                <w:sz w:val="21"/>
                <w:szCs w:val="21"/>
                <w:highlight w:val="none"/>
              </w:rPr>
              <w:t>态环境。</w:t>
            </w:r>
          </w:p>
          <w:p w14:paraId="000ABC50">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②土石方运输要严格遵守作业制度，采用车况良好的车辆，</w:t>
            </w:r>
            <w:r>
              <w:rPr>
                <w:rFonts w:hint="default" w:ascii="Times New Roman" w:hAnsi="Times New Roman" w:eastAsia="宋体" w:cs="Times New Roman"/>
                <w:color w:val="auto"/>
                <w:spacing w:val="-1"/>
                <w:sz w:val="21"/>
                <w:szCs w:val="21"/>
                <w:highlight w:val="none"/>
              </w:rPr>
              <w:t>避免过量装料，防止松散土石料的散落，减少水土流失。</w:t>
            </w:r>
          </w:p>
          <w:p w14:paraId="2EB8C37C">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（2）水土流失的防治对策措施</w:t>
            </w:r>
          </w:p>
          <w:p w14:paraId="0EE40B97">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①在地面施工过程中，应避免在大风季节以及暴雨时节作业。</w:t>
            </w:r>
            <w:r>
              <w:rPr>
                <w:rFonts w:hint="default" w:ascii="Times New Roman" w:hAnsi="Times New Roman" w:eastAsia="宋体" w:cs="Times New Roman"/>
                <w:color w:val="auto"/>
                <w:spacing w:val="-4"/>
                <w:sz w:val="21"/>
                <w:szCs w:val="21"/>
                <w:highlight w:val="none"/>
              </w:rPr>
              <w:t>对施工破坏区，施工完毕，要及时平整土地；</w:t>
            </w:r>
          </w:p>
          <w:p w14:paraId="71E0E484">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②建筑垃圾应在指定的堆放点存放，钢筋等材料可回收利用，</w:t>
            </w:r>
            <w:r>
              <w:rPr>
                <w:rFonts w:hint="default" w:ascii="Times New Roman" w:hAnsi="Times New Roman" w:eastAsia="宋体" w:cs="Times New Roman"/>
                <w:color w:val="auto"/>
                <w:spacing w:val="3"/>
                <w:sz w:val="21"/>
                <w:szCs w:val="21"/>
                <w:highlight w:val="none"/>
              </w:rPr>
              <w:t>不可利用部分采用封闭式废土运输车及时清运至当地环卫部门指</w:t>
            </w:r>
            <w:r>
              <w:rPr>
                <w:rFonts w:hint="default" w:ascii="Times New Roman" w:hAnsi="Times New Roman" w:eastAsia="宋体" w:cs="Times New Roman"/>
                <w:color w:val="auto"/>
                <w:spacing w:val="-2"/>
                <w:sz w:val="21"/>
                <w:szCs w:val="21"/>
                <w:highlight w:val="none"/>
              </w:rPr>
              <w:t>定地点；生活垃圾集中收集，按照当地环卫</w:t>
            </w:r>
            <w:r>
              <w:rPr>
                <w:rFonts w:hint="default" w:ascii="Times New Roman" w:hAnsi="Times New Roman" w:eastAsia="宋体" w:cs="Times New Roman"/>
                <w:color w:val="auto"/>
                <w:spacing w:val="-3"/>
                <w:sz w:val="21"/>
                <w:szCs w:val="21"/>
                <w:highlight w:val="none"/>
              </w:rPr>
              <w:t>部门要求统一处理；</w:t>
            </w:r>
          </w:p>
          <w:p w14:paraId="4FD121C3">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③加强施工人员的各类卫生管理，避免生活污水的直接排放，</w:t>
            </w:r>
            <w:r>
              <w:rPr>
                <w:rFonts w:hint="default" w:ascii="Times New Roman" w:hAnsi="Times New Roman" w:eastAsia="宋体" w:cs="Times New Roman"/>
                <w:color w:val="auto"/>
                <w:spacing w:val="-3"/>
                <w:sz w:val="21"/>
                <w:szCs w:val="21"/>
                <w:highlight w:val="none"/>
              </w:rPr>
              <w:t>减少水体污染，最大限度保护动物生境；</w:t>
            </w:r>
          </w:p>
          <w:p w14:paraId="430BDBE3">
            <w:pPr>
              <w:pStyle w:val="67"/>
              <w:keepNext w:val="0"/>
              <w:keepLines w:val="0"/>
              <w:pageBreakBefore w:val="0"/>
              <w:widowControl w:val="0"/>
              <w:kinsoku/>
              <w:wordWrap/>
              <w:overflowPunct/>
              <w:topLinePunct w:val="0"/>
              <w:autoSpaceDE/>
              <w:autoSpaceDN/>
              <w:bidi w:val="0"/>
              <w:adjustRightInd w:val="0"/>
              <w:snapToGrid w:val="0"/>
              <w:spacing w:line="360" w:lineRule="auto"/>
              <w:ind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④禁止在工程征地范围外、植被良好的地区进行取土石活动，</w:t>
            </w:r>
            <w:r>
              <w:rPr>
                <w:rFonts w:hint="default" w:ascii="Times New Roman" w:hAnsi="Times New Roman" w:eastAsia="宋体" w:cs="Times New Roman"/>
                <w:color w:val="auto"/>
                <w:spacing w:val="-8"/>
                <w:sz w:val="21"/>
                <w:szCs w:val="21"/>
                <w:highlight w:val="none"/>
              </w:rPr>
              <w:t>以减少水土流失损坏面积。</w:t>
            </w:r>
          </w:p>
          <w:p w14:paraId="327214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firstLine="432" w:firstLineChars="200"/>
              <w:jc w:val="both"/>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3"/>
                <w:sz w:val="21"/>
                <w:szCs w:val="21"/>
                <w:highlight w:val="none"/>
              </w:rPr>
              <w:t>采取上述措施后可显著减轻施工期对生态环境的影响，措施</w:t>
            </w:r>
            <w:r>
              <w:rPr>
                <w:rFonts w:hint="default" w:ascii="Times New Roman" w:hAnsi="Times New Roman" w:eastAsia="宋体" w:cs="Times New Roman"/>
                <w:color w:val="auto"/>
                <w:spacing w:val="-18"/>
                <w:sz w:val="21"/>
                <w:szCs w:val="21"/>
                <w:highlight w:val="none"/>
              </w:rPr>
              <w:t>可行。</w:t>
            </w:r>
          </w:p>
        </w:tc>
      </w:tr>
      <w:tr w14:paraId="0972A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6" w:hRule="atLeast"/>
          <w:jc w:val="center"/>
        </w:trPr>
        <w:tc>
          <w:tcPr>
            <w:tcW w:w="442" w:type="dxa"/>
            <w:tcMar>
              <w:left w:w="28" w:type="dxa"/>
              <w:right w:w="28" w:type="dxa"/>
            </w:tcMar>
            <w:vAlign w:val="center"/>
          </w:tcPr>
          <w:p w14:paraId="251F5204">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w:t>
            </w:r>
          </w:p>
          <w:p w14:paraId="3DFC282C">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期环</w:t>
            </w:r>
          </w:p>
          <w:p w14:paraId="1D676A0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境影</w:t>
            </w:r>
          </w:p>
          <w:p w14:paraId="3215D68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响和</w:t>
            </w:r>
          </w:p>
          <w:p w14:paraId="28554E6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保护</w:t>
            </w:r>
          </w:p>
          <w:p w14:paraId="0F4E940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措施</w:t>
            </w:r>
          </w:p>
        </w:tc>
        <w:tc>
          <w:tcPr>
            <w:tcW w:w="8899" w:type="dxa"/>
          </w:tcPr>
          <w:p w14:paraId="7DA3ECC0">
            <w:pPr>
              <w:adjustRightInd w:val="0"/>
              <w:snapToGrid w:val="0"/>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rPr>
              <w:t>1、废气</w:t>
            </w:r>
          </w:p>
          <w:p w14:paraId="6034F60F">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）项目废气污染源</w:t>
            </w:r>
          </w:p>
          <w:p w14:paraId="502F2C0D">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rPr>
              <w:t>①</w:t>
            </w:r>
            <w:r>
              <w:rPr>
                <w:rFonts w:hint="default" w:ascii="Times New Roman" w:hAnsi="Times New Roman" w:cs="Times New Roman"/>
                <w:bCs/>
                <w:color w:val="auto"/>
                <w:sz w:val="21"/>
                <w:szCs w:val="21"/>
                <w:highlight w:val="none"/>
                <w:lang w:val="en-US" w:eastAsia="zh-CN"/>
              </w:rPr>
              <w:t>储煤场装卸、堆存扬尘。</w:t>
            </w:r>
          </w:p>
          <w:p w14:paraId="285AB2B5">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本项目原料及产品堆存和装卸时会产生无组织颗粒物，根据</w:t>
            </w:r>
            <w:r>
              <w:rPr>
                <w:rFonts w:hint="default" w:ascii="Times New Roman" w:hAnsi="Times New Roman" w:eastAsia="宋体" w:cs="Times New Roman"/>
                <w:color w:val="auto"/>
                <w:sz w:val="21"/>
                <w:szCs w:val="21"/>
                <w:highlight w:val="none"/>
              </w:rPr>
              <w:t>《排放源统计调查产排污核算方法和系数手册》</w:t>
            </w:r>
            <w:r>
              <w:rPr>
                <w:rFonts w:hint="default" w:ascii="Times New Roman" w:hAnsi="Times New Roman" w:eastAsia="宋体" w:cs="Times New Roman"/>
                <w:color w:val="auto"/>
                <w:sz w:val="21"/>
                <w:szCs w:val="21"/>
                <w:highlight w:val="none"/>
                <w:lang w:eastAsia="zh-CN"/>
              </w:rPr>
              <w:t>附表</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kern w:val="0"/>
                <w:sz w:val="21"/>
                <w:szCs w:val="21"/>
                <w:highlight w:val="none"/>
              </w:rPr>
              <w:t>《工业源固体物料堆场颗粒物核算系数手册》，工业企业固体物料堆存颗粒物包括装卸扬尘和风蚀扬尘，颗粒物产生量核算公式如下：</w:t>
            </w:r>
          </w:p>
          <w:p w14:paraId="0E5D4030">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4019550" cy="447675"/>
                  <wp:effectExtent l="0" t="0" r="0" b="9525"/>
                  <wp:docPr id="35" name="图片 35" descr="167937711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679377115864"/>
                          <pic:cNvPicPr>
                            <a:picLocks noChangeAspect="1"/>
                          </pic:cNvPicPr>
                        </pic:nvPicPr>
                        <pic:blipFill>
                          <a:blip r:embed="rId20"/>
                          <a:stretch>
                            <a:fillRect/>
                          </a:stretch>
                        </pic:blipFill>
                        <pic:spPr>
                          <a:xfrm>
                            <a:off x="0" y="0"/>
                            <a:ext cx="4019550" cy="447675"/>
                          </a:xfrm>
                          <a:prstGeom prst="rect">
                            <a:avLst/>
                          </a:prstGeom>
                        </pic:spPr>
                      </pic:pic>
                    </a:graphicData>
                  </a:graphic>
                </wp:inline>
              </w:drawing>
            </w:r>
          </w:p>
          <w:p w14:paraId="7D7FE44E">
            <w:pPr>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式中：P指颗粒物产生量（单位：吨）；</w:t>
            </w:r>
          </w:p>
          <w:p w14:paraId="0967B293">
            <w:pPr>
              <w:keepNext w:val="0"/>
              <w:keepLines w:val="0"/>
              <w:pageBreakBefore w:val="0"/>
              <w:kinsoku/>
              <w:wordWrap/>
              <w:overflowPunct/>
              <w:topLinePunct w:val="0"/>
              <w:autoSpaceDE/>
              <w:autoSpaceDN/>
              <w:bidi w:val="0"/>
              <w:spacing w:line="360" w:lineRule="auto"/>
              <w:ind w:firstLine="630" w:firstLineChars="3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ZC</w:t>
            </w:r>
            <w:r>
              <w:rPr>
                <w:rFonts w:hint="default" w:ascii="Times New Roman" w:hAnsi="Times New Roman" w:eastAsia="宋体" w:cs="Times New Roman"/>
                <w:color w:val="auto"/>
                <w:kern w:val="0"/>
                <w:sz w:val="21"/>
                <w:szCs w:val="21"/>
                <w:highlight w:val="none"/>
                <w:vertAlign w:val="subscript"/>
              </w:rPr>
              <w:t>y</w:t>
            </w:r>
            <w:r>
              <w:rPr>
                <w:rFonts w:hint="default" w:ascii="Times New Roman" w:hAnsi="Times New Roman" w:eastAsia="宋体" w:cs="Times New Roman"/>
                <w:color w:val="auto"/>
                <w:kern w:val="0"/>
                <w:sz w:val="21"/>
                <w:szCs w:val="21"/>
                <w:highlight w:val="none"/>
              </w:rPr>
              <w:t>指装卸扬尘产生量（单位：吨）；</w:t>
            </w:r>
          </w:p>
          <w:p w14:paraId="1B7D3BB6">
            <w:pPr>
              <w:keepNext w:val="0"/>
              <w:keepLines w:val="0"/>
              <w:pageBreakBefore w:val="0"/>
              <w:kinsoku/>
              <w:wordWrap/>
              <w:overflowPunct/>
              <w:topLinePunct w:val="0"/>
              <w:autoSpaceDE/>
              <w:autoSpaceDN/>
              <w:bidi w:val="0"/>
              <w:spacing w:line="360" w:lineRule="auto"/>
              <w:ind w:firstLine="630" w:firstLineChars="3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FC</w:t>
            </w:r>
            <w:r>
              <w:rPr>
                <w:rFonts w:hint="default" w:ascii="Times New Roman" w:hAnsi="Times New Roman" w:eastAsia="宋体" w:cs="Times New Roman"/>
                <w:color w:val="auto"/>
                <w:kern w:val="0"/>
                <w:sz w:val="21"/>
                <w:szCs w:val="21"/>
                <w:highlight w:val="none"/>
                <w:vertAlign w:val="subscript"/>
              </w:rPr>
              <w:t>y</w:t>
            </w:r>
            <w:r>
              <w:rPr>
                <w:rFonts w:hint="default" w:ascii="Times New Roman" w:hAnsi="Times New Roman" w:eastAsia="宋体" w:cs="Times New Roman"/>
                <w:color w:val="auto"/>
                <w:kern w:val="0"/>
                <w:sz w:val="21"/>
                <w:szCs w:val="21"/>
                <w:highlight w:val="none"/>
              </w:rPr>
              <w:t>指风蚀扬尘产生量（单位：吨）；</w:t>
            </w:r>
          </w:p>
          <w:p w14:paraId="2D414848">
            <w:pPr>
              <w:keepNext w:val="0"/>
              <w:keepLines w:val="0"/>
              <w:pageBreakBefore w:val="0"/>
              <w:kinsoku/>
              <w:wordWrap/>
              <w:overflowPunct/>
              <w:topLinePunct w:val="0"/>
              <w:autoSpaceDE/>
              <w:autoSpaceDN/>
              <w:bidi w:val="0"/>
              <w:spacing w:line="360" w:lineRule="auto"/>
              <w:ind w:firstLine="630" w:firstLineChars="3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N</w:t>
            </w:r>
            <w:r>
              <w:rPr>
                <w:rFonts w:hint="default" w:ascii="Times New Roman" w:hAnsi="Times New Roman" w:eastAsia="宋体" w:cs="Times New Roman"/>
                <w:color w:val="auto"/>
                <w:kern w:val="0"/>
                <w:sz w:val="21"/>
                <w:szCs w:val="21"/>
                <w:highlight w:val="none"/>
                <w:vertAlign w:val="subscript"/>
              </w:rPr>
              <w:t>c</w:t>
            </w:r>
            <w:r>
              <w:rPr>
                <w:rFonts w:hint="default" w:ascii="Times New Roman" w:hAnsi="Times New Roman" w:eastAsia="宋体" w:cs="Times New Roman"/>
                <w:color w:val="auto"/>
                <w:kern w:val="0"/>
                <w:sz w:val="21"/>
                <w:szCs w:val="21"/>
                <w:highlight w:val="none"/>
              </w:rPr>
              <w:t>指年物料运载车次（单位：车）；</w:t>
            </w:r>
          </w:p>
          <w:p w14:paraId="7BF8C5E4">
            <w:pPr>
              <w:keepNext w:val="0"/>
              <w:keepLines w:val="0"/>
              <w:pageBreakBefore w:val="0"/>
              <w:kinsoku/>
              <w:wordWrap/>
              <w:overflowPunct/>
              <w:topLinePunct w:val="0"/>
              <w:autoSpaceDE/>
              <w:autoSpaceDN/>
              <w:bidi w:val="0"/>
              <w:spacing w:line="360" w:lineRule="auto"/>
              <w:ind w:firstLine="630" w:firstLineChars="3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D指单车平均运载量（单位：吨/车）；</w:t>
            </w:r>
          </w:p>
          <w:p w14:paraId="4DD035C2">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（a/b）指装卸扬尘概化系数</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单位：千克/吨</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，a指各省风速概化系数，见附录1，b指物料含水率概化系数，见附录2；</w:t>
            </w:r>
          </w:p>
          <w:p w14:paraId="44EA0168">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E</w:t>
            </w:r>
            <w:r>
              <w:rPr>
                <w:rFonts w:hint="default" w:ascii="Times New Roman" w:hAnsi="Times New Roman" w:eastAsia="宋体" w:cs="Times New Roman"/>
                <w:color w:val="auto"/>
                <w:kern w:val="0"/>
                <w:sz w:val="21"/>
                <w:szCs w:val="21"/>
                <w:highlight w:val="none"/>
                <w:vertAlign w:val="subscript"/>
              </w:rPr>
              <w:t>f</w:t>
            </w:r>
            <w:r>
              <w:rPr>
                <w:rFonts w:hint="default" w:ascii="Times New Roman" w:hAnsi="Times New Roman" w:eastAsia="宋体" w:cs="Times New Roman"/>
                <w:color w:val="auto"/>
                <w:kern w:val="0"/>
                <w:sz w:val="21"/>
                <w:szCs w:val="21"/>
                <w:highlight w:val="none"/>
              </w:rPr>
              <w:t>指堆场风蚀扬尘概化系数，见附录3</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单位：千克/平方米</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p>
          <w:p w14:paraId="148BCB85">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S指堆场占地面积</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单位：平方米</w:t>
            </w:r>
            <w:r>
              <w:rPr>
                <w:rFonts w:hint="default" w:ascii="Times New Roman" w:hAnsi="Times New Roman"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p>
          <w:p w14:paraId="4099263C">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本项目D煤炭装载车单车平均运载量为</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吨/车，</w:t>
            </w:r>
            <w:r>
              <w:rPr>
                <w:rFonts w:hint="default" w:ascii="Times New Roman" w:hAnsi="Times New Roman" w:eastAsia="宋体" w:cs="Times New Roman"/>
                <w:color w:val="auto"/>
                <w:kern w:val="0"/>
                <w:sz w:val="21"/>
                <w:szCs w:val="21"/>
                <w:highlight w:val="none"/>
              </w:rPr>
              <w:t>N</w:t>
            </w:r>
            <w:r>
              <w:rPr>
                <w:rFonts w:hint="default" w:ascii="Times New Roman" w:hAnsi="Times New Roman" w:eastAsia="宋体" w:cs="Times New Roman"/>
                <w:color w:val="auto"/>
                <w:kern w:val="0"/>
                <w:sz w:val="21"/>
                <w:szCs w:val="21"/>
                <w:highlight w:val="none"/>
                <w:vertAlign w:val="subscript"/>
              </w:rPr>
              <w:t>c</w:t>
            </w:r>
            <w:r>
              <w:rPr>
                <w:rFonts w:hint="default" w:ascii="Times New Roman" w:hAnsi="Times New Roman" w:eastAsia="宋体" w:cs="Times New Roman"/>
                <w:color w:val="auto"/>
                <w:sz w:val="21"/>
                <w:szCs w:val="21"/>
                <w:highlight w:val="none"/>
              </w:rPr>
              <w:t>年物料运载车次</w:t>
            </w:r>
            <w:r>
              <w:rPr>
                <w:rFonts w:hint="eastAsia" w:cs="Times New Roman"/>
                <w:color w:val="auto"/>
                <w:sz w:val="21"/>
                <w:szCs w:val="21"/>
                <w:highlight w:val="none"/>
                <w:lang w:val="en-US" w:eastAsia="zh-CN"/>
              </w:rPr>
              <w:t>约</w:t>
            </w:r>
            <w:r>
              <w:rPr>
                <w:rFonts w:hint="default" w:ascii="Times New Roman" w:hAnsi="Times New Roman" w:eastAsia="宋体" w:cs="Times New Roman"/>
                <w:color w:val="auto"/>
                <w:sz w:val="21"/>
                <w:szCs w:val="21"/>
                <w:highlight w:val="none"/>
              </w:rPr>
              <w:t>为</w:t>
            </w:r>
            <w:r>
              <w:rPr>
                <w:rFonts w:hint="eastAsia" w:cs="Times New Roman"/>
                <w:color w:val="auto"/>
                <w:sz w:val="21"/>
                <w:szCs w:val="21"/>
                <w:highlight w:val="none"/>
                <w:lang w:val="en-US" w:eastAsia="zh-CN"/>
              </w:rPr>
              <w:t>8000</w:t>
            </w:r>
            <w:r>
              <w:rPr>
                <w:rFonts w:hint="default" w:ascii="Times New Roman" w:hAnsi="Times New Roman" w:eastAsia="宋体" w:cs="Times New Roman"/>
                <w:color w:val="auto"/>
                <w:sz w:val="21"/>
                <w:szCs w:val="21"/>
                <w:highlight w:val="none"/>
              </w:rPr>
              <w:t>车，根据附录1，黑龙江省a取0.0015；本项目堆场物料为煤炭，参考附录2煤炭，b取0.0054；根据附录3，</w:t>
            </w:r>
            <w:r>
              <w:rPr>
                <w:rFonts w:hint="default" w:ascii="Times New Roman" w:hAnsi="Times New Roman" w:eastAsia="宋体" w:cs="Times New Roman"/>
                <w:color w:val="auto"/>
                <w:kern w:val="0"/>
                <w:sz w:val="21"/>
                <w:szCs w:val="21"/>
                <w:highlight w:val="none"/>
              </w:rPr>
              <w:t>E</w:t>
            </w:r>
            <w:r>
              <w:rPr>
                <w:rFonts w:hint="default" w:ascii="Times New Roman" w:hAnsi="Times New Roman" w:eastAsia="宋体" w:cs="Times New Roman"/>
                <w:color w:val="auto"/>
                <w:kern w:val="0"/>
                <w:sz w:val="21"/>
                <w:szCs w:val="21"/>
                <w:highlight w:val="none"/>
                <w:vertAlign w:val="subscript"/>
              </w:rPr>
              <w:t>f</w:t>
            </w:r>
            <w:r>
              <w:rPr>
                <w:rFonts w:hint="default" w:ascii="Times New Roman" w:hAnsi="Times New Roman" w:eastAsia="宋体" w:cs="Times New Roman"/>
                <w:color w:val="auto"/>
                <w:sz w:val="21"/>
                <w:szCs w:val="21"/>
                <w:highlight w:val="none"/>
              </w:rPr>
              <w:t>风蚀概化系数取31.1418，</w:t>
            </w:r>
            <w:r>
              <w:rPr>
                <w:rFonts w:hint="default" w:ascii="Times New Roman" w:hAnsi="Times New Roman" w:eastAsia="宋体" w:cs="Times New Roman"/>
                <w:color w:val="auto"/>
                <w:kern w:val="0"/>
                <w:sz w:val="21"/>
                <w:szCs w:val="21"/>
                <w:highlight w:val="none"/>
              </w:rPr>
              <w:t>S</w:t>
            </w:r>
            <w:r>
              <w:rPr>
                <w:rFonts w:hint="default" w:ascii="Times New Roman" w:hAnsi="Times New Roman" w:eastAsia="宋体" w:cs="Times New Roman"/>
                <w:color w:val="auto"/>
                <w:sz w:val="21"/>
                <w:szCs w:val="21"/>
                <w:highlight w:val="none"/>
              </w:rPr>
              <w:t>堆场占地面积取</w:t>
            </w:r>
            <w:r>
              <w:rPr>
                <w:rFonts w:hint="eastAsia" w:cs="Times New Roman"/>
                <w:color w:val="auto"/>
                <w:sz w:val="21"/>
                <w:szCs w:val="21"/>
                <w:highlight w:val="none"/>
                <w:lang w:val="en-US" w:eastAsia="zh-CN"/>
              </w:rPr>
              <w:t>6000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，经计算，</w:t>
            </w:r>
            <w:r>
              <w:rPr>
                <w:rFonts w:hint="default" w:ascii="Times New Roman" w:hAnsi="Times New Roman" w:cs="Times New Roman"/>
                <w:color w:val="auto"/>
                <w:sz w:val="21"/>
                <w:szCs w:val="21"/>
                <w:highlight w:val="none"/>
                <w:lang w:val="en-US" w:eastAsia="zh-CN"/>
              </w:rPr>
              <w:t>装卸扬尘产生量为</w:t>
            </w:r>
            <w:r>
              <w:rPr>
                <w:rFonts w:hint="eastAsia" w:cs="Times New Roman"/>
                <w:color w:val="auto"/>
                <w:sz w:val="21"/>
                <w:szCs w:val="21"/>
                <w:highlight w:val="none"/>
                <w:lang w:val="en-US" w:eastAsia="zh-CN"/>
              </w:rPr>
              <w:t>55.556</w:t>
            </w:r>
            <w:r>
              <w:rPr>
                <w:rFonts w:hint="default" w:ascii="Times New Roman" w:hAnsi="Times New Roman" w:cs="Times New Roman"/>
                <w:color w:val="auto"/>
                <w:sz w:val="21"/>
                <w:szCs w:val="21"/>
                <w:highlight w:val="none"/>
                <w:lang w:val="en-US" w:eastAsia="zh-CN"/>
              </w:rPr>
              <w:t>t/a，风蚀扬尘产生量为</w:t>
            </w:r>
            <w:r>
              <w:rPr>
                <w:rFonts w:hint="eastAsia" w:cs="Times New Roman"/>
                <w:color w:val="auto"/>
                <w:sz w:val="21"/>
                <w:szCs w:val="21"/>
                <w:highlight w:val="none"/>
                <w:lang w:val="en-US" w:eastAsia="zh-CN"/>
              </w:rPr>
              <w:t>373.7</w:t>
            </w:r>
            <w:r>
              <w:rPr>
                <w:rFonts w:hint="default" w:ascii="Times New Roman" w:hAnsi="Times New Roman"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rPr>
              <w:t>堆场颗粒物产生</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量P为</w:t>
            </w:r>
            <w:r>
              <w:rPr>
                <w:rFonts w:hint="eastAsia" w:cs="Times New Roman"/>
                <w:color w:val="auto"/>
                <w:sz w:val="21"/>
                <w:szCs w:val="21"/>
                <w:highlight w:val="none"/>
                <w:lang w:val="en-US" w:eastAsia="zh-CN"/>
              </w:rPr>
              <w:t>429.256</w:t>
            </w:r>
            <w:r>
              <w:rPr>
                <w:rFonts w:hint="default" w:ascii="Times New Roman" w:hAnsi="Times New Roman" w:eastAsia="宋体" w:cs="Times New Roman"/>
                <w:color w:val="auto"/>
                <w:sz w:val="21"/>
                <w:szCs w:val="21"/>
                <w:highlight w:val="none"/>
              </w:rPr>
              <w:t>t/a。</w:t>
            </w:r>
          </w:p>
          <w:p w14:paraId="47294398">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工业企业固体物料堆场颗粒物排放量核算公式如下：</w:t>
            </w:r>
          </w:p>
          <w:p w14:paraId="0936D2CF">
            <w:pPr>
              <w:pStyle w:val="2"/>
              <w:keepNext w:val="0"/>
              <w:keepLines w:val="0"/>
              <w:pageBreakBefore w:val="0"/>
              <w:kinsoku/>
              <w:wordWrap/>
              <w:overflowPunct/>
              <w:topLinePunct w:val="0"/>
              <w:autoSpaceDE/>
              <w:autoSpaceDN/>
              <w:bidi w:val="0"/>
              <w:spacing w:before="0" w:after="0" w:line="360" w:lineRule="auto"/>
              <w:ind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2676525" cy="485775"/>
                  <wp:effectExtent l="0" t="0" r="9525" b="9525"/>
                  <wp:docPr id="115" name="图片 115" descr="167937825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679378255988"/>
                          <pic:cNvPicPr>
                            <a:picLocks noChangeAspect="1"/>
                          </pic:cNvPicPr>
                        </pic:nvPicPr>
                        <pic:blipFill>
                          <a:blip r:embed="rId21"/>
                          <a:stretch>
                            <a:fillRect/>
                          </a:stretch>
                        </pic:blipFill>
                        <pic:spPr>
                          <a:xfrm>
                            <a:off x="0" y="0"/>
                            <a:ext cx="2676525" cy="485775"/>
                          </a:xfrm>
                          <a:prstGeom prst="rect">
                            <a:avLst/>
                          </a:prstGeom>
                        </pic:spPr>
                      </pic:pic>
                    </a:graphicData>
                  </a:graphic>
                </wp:inline>
              </w:drawing>
            </w:r>
          </w:p>
          <w:p w14:paraId="577451E1">
            <w:pPr>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式中：P指颗粒物产生量（单位：吨）；</w:t>
            </w:r>
          </w:p>
          <w:p w14:paraId="5DD711FB">
            <w:pPr>
              <w:keepNext w:val="0"/>
              <w:keepLines w:val="0"/>
              <w:pageBreakBefore w:val="0"/>
              <w:kinsoku/>
              <w:wordWrap/>
              <w:overflowPunct/>
              <w:topLinePunct w:val="0"/>
              <w:autoSpaceDE/>
              <w:autoSpaceDN/>
              <w:bidi w:val="0"/>
              <w:adjustRightInd w:val="0"/>
              <w:snapToGrid w:val="0"/>
              <w:spacing w:line="360" w:lineRule="auto"/>
              <w:ind w:firstLine="630" w:firstLineChars="3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U</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指颗粒物排放量（单位：吨）；</w:t>
            </w:r>
          </w:p>
          <w:p w14:paraId="7C4C5D61">
            <w:pPr>
              <w:keepNext w:val="0"/>
              <w:keepLines w:val="0"/>
              <w:pageBreakBefore w:val="0"/>
              <w:kinsoku/>
              <w:wordWrap/>
              <w:overflowPunct/>
              <w:topLinePunct w:val="0"/>
              <w:autoSpaceDE/>
              <w:autoSpaceDN/>
              <w:bidi w:val="0"/>
              <w:adjustRightInd w:val="0"/>
              <w:snapToGrid w:val="0"/>
              <w:spacing w:line="360" w:lineRule="auto"/>
              <w:ind w:firstLine="630" w:firstLineChars="3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m</w:t>
            </w:r>
            <w:r>
              <w:rPr>
                <w:rFonts w:hint="default" w:ascii="Times New Roman" w:hAnsi="Times New Roman" w:eastAsia="宋体" w:cs="Times New Roman"/>
                <w:color w:val="auto"/>
                <w:sz w:val="21"/>
                <w:szCs w:val="21"/>
                <w:highlight w:val="none"/>
              </w:rPr>
              <w:t>指颗粒物控制措施控制效率（单位：%），见附录4；</w:t>
            </w:r>
          </w:p>
          <w:p w14:paraId="40683435">
            <w:pPr>
              <w:keepNext w:val="0"/>
              <w:keepLines w:val="0"/>
              <w:pageBreakBefore w:val="0"/>
              <w:kinsoku/>
              <w:wordWrap/>
              <w:overflowPunct/>
              <w:topLinePunct w:val="0"/>
              <w:autoSpaceDE/>
              <w:autoSpaceDN/>
              <w:bidi w:val="0"/>
              <w:adjustRightInd w:val="0"/>
              <w:snapToGrid w:val="0"/>
              <w:spacing w:line="360" w:lineRule="auto"/>
              <w:ind w:firstLine="630" w:firstLineChars="3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t>
            </w:r>
            <w:r>
              <w:rPr>
                <w:rFonts w:hint="default" w:ascii="Times New Roman" w:hAnsi="Times New Roman" w:eastAsia="宋体" w:cs="Times New Roman"/>
                <w:color w:val="auto"/>
                <w:sz w:val="21"/>
                <w:szCs w:val="21"/>
                <w:highlight w:val="none"/>
                <w:vertAlign w:val="subscript"/>
              </w:rPr>
              <w:t>m</w:t>
            </w:r>
            <w:r>
              <w:rPr>
                <w:rFonts w:hint="default" w:ascii="Times New Roman" w:hAnsi="Times New Roman" w:eastAsia="宋体" w:cs="Times New Roman"/>
                <w:color w:val="auto"/>
                <w:sz w:val="21"/>
                <w:szCs w:val="21"/>
                <w:highlight w:val="none"/>
              </w:rPr>
              <w:t>指堆场类型控制效率（单位：%），见附录5。</w:t>
            </w:r>
          </w:p>
          <w:p w14:paraId="4E59828A">
            <w:pPr>
              <w:pStyle w:val="34"/>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本项目粉尘控制措施控制效率依据《固体物料堆存颗粒物产排污核算系数手册》</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附录4：粉尘控制措施控制效率</w:t>
            </w:r>
            <w:r>
              <w:rPr>
                <w:rFonts w:hint="eastAsia" w:ascii="宋体" w:hAnsi="宋体" w:eastAsia="宋体" w:cs="宋体"/>
                <w:color w:val="auto"/>
                <w:sz w:val="21"/>
                <w:szCs w:val="21"/>
                <w:highlight w:val="none"/>
              </w:rPr>
              <w:t>”</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eastAsia="zh-CN"/>
              </w:rPr>
              <w:t>采用</w:t>
            </w:r>
            <w:r>
              <w:rPr>
                <w:rFonts w:hint="eastAsia" w:cs="Times New Roman"/>
                <w:color w:val="auto"/>
                <w:sz w:val="21"/>
                <w:szCs w:val="21"/>
                <w:highlight w:val="none"/>
                <w:lang w:val="en-US" w:eastAsia="zh-CN"/>
              </w:rPr>
              <w:t>高压水枪喷淋</w:t>
            </w:r>
            <w:r>
              <w:rPr>
                <w:rFonts w:hint="default" w:ascii="Times New Roman" w:hAnsi="Times New Roman" w:cs="Times New Roman"/>
                <w:color w:val="auto"/>
                <w:sz w:val="21"/>
                <w:szCs w:val="21"/>
                <w:highlight w:val="none"/>
                <w:lang w:eastAsia="zh-CN"/>
              </w:rPr>
              <w:t>降尘</w:t>
            </w:r>
            <w:r>
              <w:rPr>
                <w:rFonts w:hint="default" w:ascii="Times New Roman" w:hAnsi="Times New Roman" w:eastAsia="宋体" w:cs="Times New Roman"/>
                <w:color w:val="auto"/>
                <w:sz w:val="21"/>
                <w:szCs w:val="21"/>
                <w:highlight w:val="none"/>
              </w:rPr>
              <w:t>，Cm取7</w:t>
            </w: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%，厂区采用围挡（防风抑尘网），围挡Cm取60%，堆场采用苫布遮盖（防尘网）方式降尘，苫布遮盖Cm取86%，堆场为敞开式，Tm取0%，</w:t>
            </w:r>
            <w:r>
              <w:rPr>
                <w:rFonts w:hint="default" w:ascii="Times New Roman" w:hAnsi="Times New Roman" w:cs="Times New Roman"/>
                <w:color w:val="auto"/>
                <w:sz w:val="21"/>
                <w:szCs w:val="21"/>
                <w:highlight w:val="none"/>
                <w:lang w:val="en-US" w:eastAsia="zh-CN"/>
              </w:rPr>
              <w:t>则堆场综合除尘效率为98.5%。装卸过程采取</w:t>
            </w:r>
            <w:r>
              <w:rPr>
                <w:rFonts w:hint="eastAsia" w:cs="Times New Roman"/>
                <w:color w:val="auto"/>
                <w:sz w:val="21"/>
                <w:szCs w:val="21"/>
                <w:highlight w:val="none"/>
                <w:lang w:val="en-US" w:eastAsia="zh-CN"/>
              </w:rPr>
              <w:t>喷雾</w:t>
            </w:r>
            <w:r>
              <w:rPr>
                <w:rFonts w:hint="default" w:ascii="Times New Roman" w:hAnsi="Times New Roman" w:cs="Times New Roman"/>
                <w:color w:val="auto"/>
                <w:sz w:val="21"/>
                <w:szCs w:val="21"/>
                <w:highlight w:val="none"/>
                <w:lang w:val="en-US" w:eastAsia="zh-CN"/>
              </w:rPr>
              <w:t>降尘，Cm取74%、围挡（防风抑尘网），Cm取60%，则装卸过程综合除尘效率为90%，</w:t>
            </w:r>
            <w:r>
              <w:rPr>
                <w:rFonts w:hint="default" w:ascii="Times New Roman" w:hAnsi="Times New Roman" w:eastAsia="宋体" w:cs="Times New Roman"/>
                <w:color w:val="auto"/>
                <w:sz w:val="21"/>
                <w:szCs w:val="21"/>
                <w:highlight w:val="none"/>
              </w:rPr>
              <w:t>经计算</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堆场风蚀扬尘</w:t>
            </w:r>
            <w:r>
              <w:rPr>
                <w:rFonts w:hint="default" w:ascii="Times New Roman" w:hAnsi="Times New Roman" w:eastAsia="宋体" w:cs="Times New Roman"/>
                <w:color w:val="auto"/>
                <w:sz w:val="21"/>
                <w:szCs w:val="21"/>
                <w:highlight w:val="none"/>
              </w:rPr>
              <w:t>颗粒物排放量为</w:t>
            </w:r>
            <w:r>
              <w:rPr>
                <w:rFonts w:hint="eastAsia" w:cs="Times New Roman"/>
                <w:color w:val="auto"/>
                <w:sz w:val="21"/>
                <w:szCs w:val="21"/>
                <w:highlight w:val="none"/>
                <w:lang w:val="en-US" w:eastAsia="zh-CN"/>
              </w:rPr>
              <w:t>5.605</w:t>
            </w:r>
            <w:r>
              <w:rPr>
                <w:rFonts w:hint="default" w:ascii="Times New Roman" w:hAnsi="Times New Roman" w:eastAsia="宋体" w:cs="Times New Roman"/>
                <w:color w:val="auto"/>
                <w:sz w:val="21"/>
                <w:szCs w:val="21"/>
                <w:highlight w:val="none"/>
              </w:rPr>
              <w:t>t/a，排放速率为</w:t>
            </w:r>
            <w:r>
              <w:rPr>
                <w:rFonts w:hint="eastAsia" w:cs="Times New Roman"/>
                <w:color w:val="auto"/>
                <w:sz w:val="21"/>
                <w:szCs w:val="21"/>
                <w:highlight w:val="none"/>
                <w:lang w:val="en-US" w:eastAsia="zh-CN"/>
              </w:rPr>
              <w:t>0.667</w:t>
            </w:r>
            <w:r>
              <w:rPr>
                <w:rFonts w:hint="default" w:ascii="Times New Roman" w:hAnsi="Times New Roman" w:eastAsia="宋体" w:cs="Times New Roman"/>
                <w:color w:val="auto"/>
                <w:sz w:val="21"/>
                <w:szCs w:val="21"/>
                <w:highlight w:val="none"/>
              </w:rPr>
              <w:t>kg/h，</w:t>
            </w:r>
            <w:r>
              <w:rPr>
                <w:rFonts w:hint="default" w:ascii="Times New Roman" w:hAnsi="Times New Roman" w:cs="Times New Roman"/>
                <w:color w:val="auto"/>
                <w:sz w:val="21"/>
                <w:szCs w:val="21"/>
                <w:highlight w:val="none"/>
                <w:lang w:val="en-US" w:eastAsia="zh-CN"/>
              </w:rPr>
              <w:t>装卸扬尘排放量为</w:t>
            </w:r>
            <w:r>
              <w:rPr>
                <w:rFonts w:hint="eastAsia" w:cs="Times New Roman"/>
                <w:color w:val="auto"/>
                <w:sz w:val="21"/>
                <w:szCs w:val="21"/>
                <w:highlight w:val="none"/>
                <w:lang w:val="en-US" w:eastAsia="zh-CN"/>
              </w:rPr>
              <w:t>5.556t</w:t>
            </w:r>
            <w:r>
              <w:rPr>
                <w:rFonts w:hint="default" w:ascii="Times New Roman" w:hAnsi="Times New Roman" w:cs="Times New Roman"/>
                <w:color w:val="auto"/>
                <w:sz w:val="21"/>
                <w:szCs w:val="21"/>
                <w:highlight w:val="none"/>
                <w:lang w:val="en-US" w:eastAsia="zh-CN"/>
              </w:rPr>
              <w:t>/a，排放速率为</w:t>
            </w:r>
            <w:r>
              <w:rPr>
                <w:rFonts w:hint="eastAsia" w:cs="Times New Roman"/>
                <w:color w:val="auto"/>
                <w:sz w:val="21"/>
                <w:szCs w:val="21"/>
                <w:highlight w:val="none"/>
                <w:lang w:val="en-US" w:eastAsia="zh-CN"/>
              </w:rPr>
              <w:t>1.984</w:t>
            </w:r>
            <w:r>
              <w:rPr>
                <w:rFonts w:hint="default" w:ascii="Times New Roman" w:hAnsi="Times New Roman" w:eastAsia="宋体" w:cs="Times New Roman"/>
                <w:color w:val="auto"/>
                <w:sz w:val="21"/>
                <w:szCs w:val="21"/>
                <w:highlight w:val="none"/>
              </w:rPr>
              <w:t>kg/h</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处理后颗粒物以无组织方式排放。</w:t>
            </w:r>
          </w:p>
          <w:p w14:paraId="0EC47D5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②运输车辆过程扬尘</w:t>
            </w:r>
          </w:p>
          <w:p w14:paraId="49A80E32">
            <w:pPr>
              <w:pStyle w:val="34"/>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本项目产品由厂区自有运输车运输。运输产生的颗粒物主要是沿途抛洒及道路行驶引起的扬尘，属于无组织排放源。根据《逸散性工业粉尘粉尘控制技术》</w:t>
            </w:r>
            <w:r>
              <w:rPr>
                <w:rFonts w:hint="eastAsia" w:ascii="宋体" w:hAnsi="宋体" w:eastAsia="宋体" w:cs="宋体"/>
                <w:color w:val="auto"/>
                <w:sz w:val="21"/>
                <w:szCs w:val="21"/>
                <w:highlight w:val="none"/>
              </w:rPr>
              <w:t>“工厂道路和停车场”</w:t>
            </w:r>
            <w:r>
              <w:rPr>
                <w:rFonts w:hint="default" w:ascii="Times New Roman" w:hAnsi="Times New Roman" w:cs="Times New Roman"/>
                <w:color w:val="auto"/>
                <w:sz w:val="21"/>
                <w:szCs w:val="21"/>
                <w:highlight w:val="none"/>
              </w:rPr>
              <w:t>，铺砌路面的车辆的特定排放因子计算方法如下：</w:t>
            </w:r>
          </w:p>
          <w:p w14:paraId="6A1C8361">
            <w:pPr>
              <w:pStyle w:val="34"/>
              <w:keepNext w:val="0"/>
              <w:keepLines w:val="0"/>
              <w:pageBreakBefore w:val="0"/>
              <w:widowControl w:val="0"/>
              <w:kinsoku/>
              <w:wordWrap/>
              <w:overflowPunct/>
              <w:topLinePunct w:val="0"/>
              <w:autoSpaceDE/>
              <w:autoSpaceDN/>
              <w:bidi w:val="0"/>
              <w:spacing w:line="360" w:lineRule="auto"/>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3286125" cy="285750"/>
                  <wp:effectExtent l="0" t="0" r="9525" b="0"/>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22"/>
                          <a:stretch>
                            <a:fillRect/>
                          </a:stretch>
                        </pic:blipFill>
                        <pic:spPr>
                          <a:xfrm>
                            <a:off x="0" y="0"/>
                            <a:ext cx="3286125" cy="285750"/>
                          </a:xfrm>
                          <a:prstGeom prst="rect">
                            <a:avLst/>
                          </a:prstGeom>
                          <a:noFill/>
                          <a:ln>
                            <a:noFill/>
                          </a:ln>
                        </pic:spPr>
                      </pic:pic>
                    </a:graphicData>
                  </a:graphic>
                </wp:inline>
              </w:drawing>
            </w:r>
          </w:p>
          <w:p w14:paraId="26608F4A">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式中：EF—排放因子，车辆里程（单位：g/km）；</w:t>
            </w:r>
          </w:p>
          <w:p w14:paraId="502858CD">
            <w:pPr>
              <w:keepNext w:val="0"/>
              <w:keepLines w:val="0"/>
              <w:pageBreakBefore w:val="0"/>
              <w:widowControl w:val="0"/>
              <w:kinsoku/>
              <w:wordWrap/>
              <w:overflowPunct/>
              <w:topLinePunct w:val="0"/>
              <w:autoSpaceDE/>
              <w:autoSpaceDN/>
              <w:bidi w:val="0"/>
              <w:spacing w:line="360" w:lineRule="auto"/>
              <w:ind w:firstLine="630" w:firstLineChars="3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P—来自铺砌路面并保持悬浮状态的颗粒物（直径小于30μm）的分数，0.90；</w:t>
            </w:r>
          </w:p>
          <w:p w14:paraId="52E58238">
            <w:pPr>
              <w:keepNext w:val="0"/>
              <w:keepLines w:val="0"/>
              <w:pageBreakBefore w:val="0"/>
              <w:widowControl w:val="0"/>
              <w:kinsoku/>
              <w:wordWrap/>
              <w:overflowPunct/>
              <w:topLinePunct w:val="0"/>
              <w:autoSpaceDE/>
              <w:autoSpaceDN/>
              <w:bidi w:val="0"/>
              <w:spacing w:line="360" w:lineRule="auto"/>
              <w:ind w:firstLine="630" w:firstLineChars="3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E—来源于汽车尾气的颗粒物；</w:t>
            </w:r>
          </w:p>
          <w:p w14:paraId="2DFD293D">
            <w:pPr>
              <w:keepNext w:val="0"/>
              <w:keepLines w:val="0"/>
              <w:pageBreakBefore w:val="0"/>
              <w:widowControl w:val="0"/>
              <w:kinsoku/>
              <w:wordWrap/>
              <w:overflowPunct/>
              <w:topLinePunct w:val="0"/>
              <w:autoSpaceDE/>
              <w:autoSpaceDN/>
              <w:bidi w:val="0"/>
              <w:spacing w:line="360" w:lineRule="auto"/>
              <w:ind w:firstLine="630" w:firstLineChars="3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T—平均每辆车的轮胎数。</w:t>
            </w:r>
          </w:p>
          <w:p w14:paraId="172A3398">
            <w:pPr>
              <w:keepNext w:val="0"/>
              <w:keepLines w:val="0"/>
              <w:pageBreakBefore w:val="0"/>
              <w:widowControl w:val="0"/>
              <w:kinsoku/>
              <w:wordWrap/>
              <w:overflowPunct/>
              <w:topLinePunct w:val="0"/>
              <w:autoSpaceDE/>
              <w:autoSpaceDN/>
              <w:bidi w:val="0"/>
              <w:spacing w:line="360" w:lineRule="auto"/>
              <w:ind w:firstLine="630" w:firstLineChars="300"/>
              <w:textAlignment w:val="auto"/>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本项目P来自铺砌路面并保持悬浮状态的颗粒物（直径小于30μm）的分数，取0.90；E来源于汽车尾气的颗粒物，根据《逸散性工业粉尘粉尘控制技术》</w:t>
            </w:r>
            <w:r>
              <w:rPr>
                <w:rFonts w:hint="eastAsia" w:ascii="宋体" w:hAnsi="宋体" w:eastAsia="宋体" w:cs="宋体"/>
                <w:color w:val="auto"/>
                <w:kern w:val="0"/>
                <w:sz w:val="21"/>
                <w:szCs w:val="21"/>
                <w:highlight w:val="none"/>
              </w:rPr>
              <w:t>“工厂道路和停车场”</w:t>
            </w:r>
            <w:r>
              <w:rPr>
                <w:rFonts w:hint="default" w:ascii="Times New Roman" w:hAnsi="Times New Roman" w:cs="Times New Roman"/>
                <w:color w:val="auto"/>
                <w:kern w:val="0"/>
                <w:sz w:val="21"/>
                <w:szCs w:val="21"/>
                <w:highlight w:val="none"/>
              </w:rPr>
              <w:t>表1-1</w:t>
            </w:r>
            <w:r>
              <w:rPr>
                <w:rFonts w:hint="default" w:ascii="Times New Roman" w:hAnsi="Times New Roman" w:cs="Times New Roman"/>
                <w:color w:val="auto"/>
                <w:kern w:val="0"/>
                <w:sz w:val="21"/>
                <w:szCs w:val="21"/>
                <w:highlight w:val="none"/>
                <w:lang w:eastAsia="zh-CN"/>
              </w:rPr>
              <w:t>铺砌</w:t>
            </w:r>
            <w:r>
              <w:rPr>
                <w:rFonts w:hint="default" w:ascii="Times New Roman" w:hAnsi="Times New Roman" w:cs="Times New Roman"/>
                <w:color w:val="auto"/>
                <w:kern w:val="0"/>
                <w:sz w:val="21"/>
                <w:szCs w:val="21"/>
                <w:highlight w:val="none"/>
              </w:rPr>
              <w:t>路面来往车辆的排放因子，重载汽油车（10轮），取0.57g/km；T平均每辆车的轮胎数，取10。经计算EF排放因子为7.87g/km。本项目运输车次为</w:t>
            </w:r>
            <w:r>
              <w:rPr>
                <w:rFonts w:hint="eastAsia" w:cs="Times New Roman"/>
                <w:color w:val="auto"/>
                <w:kern w:val="0"/>
                <w:sz w:val="21"/>
                <w:szCs w:val="21"/>
                <w:highlight w:val="none"/>
                <w:lang w:val="en-US" w:eastAsia="zh-CN"/>
              </w:rPr>
              <w:t>8000</w:t>
            </w:r>
            <w:r>
              <w:rPr>
                <w:rFonts w:hint="default" w:ascii="Times New Roman" w:hAnsi="Times New Roman" w:cs="Times New Roman"/>
                <w:color w:val="auto"/>
                <w:kern w:val="0"/>
                <w:sz w:val="21"/>
                <w:szCs w:val="21"/>
                <w:highlight w:val="none"/>
              </w:rPr>
              <w:t>车次，</w:t>
            </w:r>
            <w:r>
              <w:rPr>
                <w:rFonts w:hint="default" w:ascii="Times New Roman" w:hAnsi="Times New Roman" w:cs="Times New Roman"/>
                <w:color w:val="auto"/>
                <w:kern w:val="0"/>
                <w:sz w:val="21"/>
                <w:szCs w:val="21"/>
                <w:highlight w:val="none"/>
                <w:lang w:val="en-US" w:eastAsia="zh-CN"/>
              </w:rPr>
              <w:t>项目厂区内道路约为0.</w:t>
            </w:r>
            <w:r>
              <w:rPr>
                <w:rFonts w:hint="eastAsia" w:cs="Times New Roman"/>
                <w:color w:val="auto"/>
                <w:kern w:val="0"/>
                <w:sz w:val="21"/>
                <w:szCs w:val="21"/>
                <w:highlight w:val="none"/>
                <w:lang w:val="en-US" w:eastAsia="zh-CN"/>
              </w:rPr>
              <w:t>15</w:t>
            </w:r>
            <w:r>
              <w:rPr>
                <w:rFonts w:hint="default" w:ascii="Times New Roman" w:hAnsi="Times New Roman" w:cs="Times New Roman"/>
                <w:color w:val="auto"/>
                <w:kern w:val="0"/>
                <w:sz w:val="21"/>
                <w:szCs w:val="21"/>
                <w:highlight w:val="none"/>
                <w:lang w:val="en-US" w:eastAsia="zh-CN"/>
              </w:rPr>
              <w:t>km，</w:t>
            </w:r>
            <w:r>
              <w:rPr>
                <w:rFonts w:hint="default" w:ascii="Times New Roman" w:hAnsi="Times New Roman" w:cs="Times New Roman"/>
                <w:color w:val="auto"/>
                <w:kern w:val="0"/>
                <w:sz w:val="21"/>
                <w:szCs w:val="21"/>
                <w:highlight w:val="none"/>
              </w:rPr>
              <w:t>则本项目产品运输产生的颗粒物产生量为0.</w:t>
            </w:r>
            <w:r>
              <w:rPr>
                <w:rFonts w:hint="default" w:ascii="Times New Roman" w:hAnsi="Times New Roman" w:cs="Times New Roman"/>
                <w:color w:val="auto"/>
                <w:kern w:val="0"/>
                <w:sz w:val="21"/>
                <w:szCs w:val="21"/>
                <w:highlight w:val="none"/>
                <w:lang w:val="en-US" w:eastAsia="zh-CN"/>
              </w:rPr>
              <w:t>00</w:t>
            </w:r>
            <w:r>
              <w:rPr>
                <w:rFonts w:hint="eastAsia" w:cs="Times New Roman"/>
                <w:color w:val="auto"/>
                <w:kern w:val="0"/>
                <w:sz w:val="21"/>
                <w:szCs w:val="21"/>
                <w:highlight w:val="none"/>
                <w:lang w:val="en-US" w:eastAsia="zh-CN"/>
              </w:rPr>
              <w:t>9</w:t>
            </w:r>
            <w:r>
              <w:rPr>
                <w:rFonts w:hint="default" w:ascii="Times New Roman" w:hAnsi="Times New Roman" w:cs="Times New Roman"/>
                <w:color w:val="auto"/>
                <w:kern w:val="0"/>
                <w:sz w:val="21"/>
                <w:szCs w:val="21"/>
                <w:highlight w:val="none"/>
              </w:rPr>
              <w:t>t/a，排放速率为0.</w:t>
            </w:r>
            <w:r>
              <w:rPr>
                <w:rFonts w:hint="default" w:ascii="Times New Roman" w:hAnsi="Times New Roman"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13</w:t>
            </w:r>
            <w:r>
              <w:rPr>
                <w:rFonts w:hint="default" w:ascii="Times New Roman" w:hAnsi="Times New Roman" w:cs="Times New Roman"/>
                <w:color w:val="auto"/>
                <w:kern w:val="0"/>
                <w:sz w:val="21"/>
                <w:szCs w:val="21"/>
                <w:highlight w:val="none"/>
              </w:rPr>
              <w:t>kg/h。本项目要求原料及产品运输过程中采用苫布覆盖，防止物料洒落，</w:t>
            </w:r>
            <w:r>
              <w:rPr>
                <w:rFonts w:hint="default" w:ascii="Times New Roman" w:hAnsi="Times New Roman" w:cs="Times New Roman"/>
                <w:color w:val="auto"/>
                <w:kern w:val="0"/>
                <w:sz w:val="21"/>
                <w:szCs w:val="21"/>
                <w:highlight w:val="none"/>
                <w:lang w:eastAsia="zh-CN"/>
              </w:rPr>
              <w:t>厂区道路洒水降尘，</w:t>
            </w:r>
            <w:r>
              <w:rPr>
                <w:rFonts w:hint="default" w:ascii="Times New Roman" w:hAnsi="Times New Roman" w:cs="Times New Roman"/>
                <w:color w:val="auto"/>
                <w:kern w:val="0"/>
                <w:sz w:val="21"/>
                <w:szCs w:val="21"/>
                <w:highlight w:val="none"/>
              </w:rPr>
              <w:t>减少运输过程中粉尘排放量。则本项目综合去除效率为80%，则无组织颗粒物排放量为0.0</w:t>
            </w:r>
            <w:r>
              <w:rPr>
                <w:rFonts w:hint="default" w:ascii="Times New Roman" w:hAnsi="Times New Roman"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rPr>
              <w:t>t/a，排放速率为0.0</w:t>
            </w:r>
            <w:r>
              <w:rPr>
                <w:rFonts w:hint="eastAsia" w:cs="Times New Roman"/>
                <w:color w:val="auto"/>
                <w:kern w:val="0"/>
                <w:sz w:val="21"/>
                <w:szCs w:val="21"/>
                <w:highlight w:val="none"/>
                <w:lang w:val="en-US" w:eastAsia="zh-CN"/>
              </w:rPr>
              <w:t>03</w:t>
            </w:r>
            <w:r>
              <w:rPr>
                <w:rFonts w:hint="default" w:ascii="Times New Roman" w:hAnsi="Times New Roman" w:cs="Times New Roman"/>
                <w:color w:val="auto"/>
                <w:kern w:val="0"/>
                <w:sz w:val="21"/>
                <w:szCs w:val="21"/>
                <w:highlight w:val="none"/>
              </w:rPr>
              <w:t>kg/h。</w:t>
            </w:r>
          </w:p>
          <w:p w14:paraId="014A0328">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表4-1  废气源强核算表</w:t>
            </w:r>
          </w:p>
          <w:tbl>
            <w:tblPr>
              <w:tblStyle w:val="24"/>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6"/>
              <w:gridCol w:w="492"/>
              <w:gridCol w:w="702"/>
              <w:gridCol w:w="645"/>
              <w:gridCol w:w="825"/>
              <w:gridCol w:w="900"/>
              <w:gridCol w:w="1168"/>
              <w:gridCol w:w="607"/>
              <w:gridCol w:w="652"/>
              <w:gridCol w:w="698"/>
              <w:gridCol w:w="778"/>
              <w:gridCol w:w="794"/>
            </w:tblGrid>
            <w:tr w14:paraId="637B94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6" w:type="dxa"/>
                  <w:vMerge w:val="restart"/>
                  <w:tcBorders>
                    <w:top w:val="single" w:color="auto" w:sz="12" w:space="0"/>
                  </w:tcBorders>
                  <w:noWrap w:val="0"/>
                  <w:vAlign w:val="center"/>
                </w:tcPr>
                <w:p w14:paraId="39F00271">
                  <w:pPr>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排放源</w:t>
                  </w:r>
                </w:p>
              </w:tc>
              <w:tc>
                <w:tcPr>
                  <w:tcW w:w="492" w:type="dxa"/>
                  <w:vMerge w:val="restart"/>
                  <w:tcBorders>
                    <w:top w:val="single" w:color="auto" w:sz="12" w:space="0"/>
                  </w:tcBorders>
                  <w:noWrap w:val="0"/>
                  <w:vAlign w:val="center"/>
                </w:tcPr>
                <w:p w14:paraId="15B4405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w:t>
                  </w:r>
                </w:p>
              </w:tc>
              <w:tc>
                <w:tcPr>
                  <w:tcW w:w="3072" w:type="dxa"/>
                  <w:gridSpan w:val="4"/>
                  <w:tcBorders>
                    <w:top w:val="single" w:color="auto" w:sz="12" w:space="0"/>
                  </w:tcBorders>
                  <w:noWrap w:val="0"/>
                  <w:vAlign w:val="center"/>
                </w:tcPr>
                <w:p w14:paraId="6F78144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污染物产生</w:t>
                  </w:r>
                </w:p>
              </w:tc>
              <w:tc>
                <w:tcPr>
                  <w:tcW w:w="1775" w:type="dxa"/>
                  <w:gridSpan w:val="2"/>
                  <w:tcBorders>
                    <w:top w:val="single" w:color="auto" w:sz="12" w:space="0"/>
                  </w:tcBorders>
                  <w:noWrap w:val="0"/>
                  <w:vAlign w:val="center"/>
                </w:tcPr>
                <w:p w14:paraId="7D1EAB9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治理措施</w:t>
                  </w:r>
                </w:p>
              </w:tc>
              <w:tc>
                <w:tcPr>
                  <w:tcW w:w="2922" w:type="dxa"/>
                  <w:gridSpan w:val="4"/>
                  <w:tcBorders>
                    <w:top w:val="single" w:color="auto" w:sz="12" w:space="0"/>
                  </w:tcBorders>
                  <w:noWrap w:val="0"/>
                  <w:vAlign w:val="center"/>
                </w:tcPr>
                <w:p w14:paraId="339FD7E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污染物排放</w:t>
                  </w:r>
                </w:p>
              </w:tc>
            </w:tr>
            <w:tr w14:paraId="16692C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526" w:type="dxa"/>
                  <w:vMerge w:val="continue"/>
                  <w:noWrap w:val="0"/>
                  <w:vAlign w:val="center"/>
                </w:tcPr>
                <w:p w14:paraId="18E4729B">
                  <w:pPr>
                    <w:jc w:val="center"/>
                    <w:rPr>
                      <w:rFonts w:hint="default" w:ascii="Times New Roman" w:hAnsi="Times New Roman" w:cs="Times New Roman"/>
                      <w:color w:val="auto"/>
                      <w:sz w:val="18"/>
                      <w:szCs w:val="18"/>
                      <w:highlight w:val="none"/>
                    </w:rPr>
                  </w:pPr>
                </w:p>
              </w:tc>
              <w:tc>
                <w:tcPr>
                  <w:tcW w:w="492" w:type="dxa"/>
                  <w:vMerge w:val="continue"/>
                  <w:noWrap w:val="0"/>
                  <w:vAlign w:val="center"/>
                </w:tcPr>
                <w:p w14:paraId="50EAA081">
                  <w:pPr>
                    <w:jc w:val="center"/>
                    <w:rPr>
                      <w:rFonts w:hint="default" w:ascii="Times New Roman" w:hAnsi="Times New Roman" w:cs="Times New Roman"/>
                      <w:color w:val="auto"/>
                      <w:sz w:val="18"/>
                      <w:szCs w:val="18"/>
                      <w:highlight w:val="none"/>
                    </w:rPr>
                  </w:pPr>
                </w:p>
              </w:tc>
              <w:tc>
                <w:tcPr>
                  <w:tcW w:w="702" w:type="dxa"/>
                  <w:noWrap w:val="0"/>
                  <w:vAlign w:val="center"/>
                </w:tcPr>
                <w:p w14:paraId="0D6A544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核算方法</w:t>
                  </w:r>
                </w:p>
              </w:tc>
              <w:tc>
                <w:tcPr>
                  <w:tcW w:w="645" w:type="dxa"/>
                  <w:noWrap w:val="0"/>
                  <w:vAlign w:val="center"/>
                </w:tcPr>
                <w:p w14:paraId="1AFE088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废气量m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/h</w:t>
                  </w:r>
                </w:p>
              </w:tc>
              <w:tc>
                <w:tcPr>
                  <w:tcW w:w="825" w:type="dxa"/>
                  <w:noWrap w:val="0"/>
                  <w:vAlign w:val="center"/>
                </w:tcPr>
                <w:p w14:paraId="686DE4E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产生浓度mg/m</w:t>
                  </w:r>
                  <w:r>
                    <w:rPr>
                      <w:rFonts w:hint="default" w:ascii="Times New Roman" w:hAnsi="Times New Roman" w:cs="Times New Roman"/>
                      <w:color w:val="auto"/>
                      <w:kern w:val="0"/>
                      <w:sz w:val="18"/>
                      <w:szCs w:val="18"/>
                      <w:highlight w:val="none"/>
                      <w:vertAlign w:val="superscript"/>
                    </w:rPr>
                    <w:t>3</w:t>
                  </w:r>
                </w:p>
              </w:tc>
              <w:tc>
                <w:tcPr>
                  <w:tcW w:w="900" w:type="dxa"/>
                  <w:noWrap w:val="0"/>
                  <w:vAlign w:val="center"/>
                </w:tcPr>
                <w:p w14:paraId="0C54B77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产生量t/a</w:t>
                  </w:r>
                </w:p>
              </w:tc>
              <w:tc>
                <w:tcPr>
                  <w:tcW w:w="1168" w:type="dxa"/>
                  <w:noWrap w:val="0"/>
                  <w:vAlign w:val="center"/>
                </w:tcPr>
                <w:p w14:paraId="01F5D72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工艺</w:t>
                  </w:r>
                </w:p>
              </w:tc>
              <w:tc>
                <w:tcPr>
                  <w:tcW w:w="607" w:type="dxa"/>
                  <w:noWrap w:val="0"/>
                  <w:vAlign w:val="center"/>
                </w:tcPr>
                <w:p w14:paraId="2709834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效率</w:t>
                  </w:r>
                </w:p>
              </w:tc>
              <w:tc>
                <w:tcPr>
                  <w:tcW w:w="652" w:type="dxa"/>
                  <w:noWrap w:val="0"/>
                  <w:vAlign w:val="center"/>
                </w:tcPr>
                <w:p w14:paraId="1602545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核算方法</w:t>
                  </w:r>
                </w:p>
              </w:tc>
              <w:tc>
                <w:tcPr>
                  <w:tcW w:w="698" w:type="dxa"/>
                  <w:noWrap w:val="0"/>
                  <w:vAlign w:val="center"/>
                </w:tcPr>
                <w:p w14:paraId="5FF4B65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废气量m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rPr>
                    <w:t>/h</w:t>
                  </w:r>
                </w:p>
              </w:tc>
              <w:tc>
                <w:tcPr>
                  <w:tcW w:w="778" w:type="dxa"/>
                  <w:noWrap w:val="0"/>
                  <w:vAlign w:val="center"/>
                </w:tcPr>
                <w:p w14:paraId="75F98F2F">
                  <w:pPr>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排放</w:t>
                  </w:r>
                </w:p>
                <w:p w14:paraId="141782F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浓度mg/m</w:t>
                  </w:r>
                  <w:r>
                    <w:rPr>
                      <w:rFonts w:hint="default" w:ascii="Times New Roman" w:hAnsi="Times New Roman" w:cs="Times New Roman"/>
                      <w:color w:val="auto"/>
                      <w:kern w:val="0"/>
                      <w:sz w:val="18"/>
                      <w:szCs w:val="18"/>
                      <w:highlight w:val="none"/>
                      <w:vertAlign w:val="superscript"/>
                    </w:rPr>
                    <w:t>3</w:t>
                  </w:r>
                </w:p>
              </w:tc>
              <w:tc>
                <w:tcPr>
                  <w:tcW w:w="794" w:type="dxa"/>
                  <w:noWrap w:val="0"/>
                  <w:vAlign w:val="center"/>
                </w:tcPr>
                <w:p w14:paraId="5033356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rPr>
                    <w:t>排放量t/a</w:t>
                  </w:r>
                </w:p>
              </w:tc>
            </w:tr>
            <w:tr w14:paraId="6F60A29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noWrap w:val="0"/>
                  <w:vAlign w:val="center"/>
                </w:tcPr>
                <w:p w14:paraId="09F5F10E">
                  <w:pPr>
                    <w:pStyle w:val="38"/>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堆场扬尘</w:t>
                  </w:r>
                </w:p>
              </w:tc>
              <w:tc>
                <w:tcPr>
                  <w:tcW w:w="492" w:type="dxa"/>
                  <w:noWrap w:val="0"/>
                  <w:vAlign w:val="center"/>
                </w:tcPr>
                <w:p w14:paraId="54FDB05A">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702" w:type="dxa"/>
                  <w:noWrap w:val="0"/>
                  <w:vAlign w:val="center"/>
                </w:tcPr>
                <w:p w14:paraId="0D79825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系数法</w:t>
                  </w:r>
                </w:p>
              </w:tc>
              <w:tc>
                <w:tcPr>
                  <w:tcW w:w="645" w:type="dxa"/>
                  <w:noWrap w:val="0"/>
                  <w:vAlign w:val="center"/>
                </w:tcPr>
                <w:p w14:paraId="52BA846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5" w:type="dxa"/>
                  <w:noWrap w:val="0"/>
                  <w:vAlign w:val="center"/>
                </w:tcPr>
                <w:p w14:paraId="0AD6FF5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00" w:type="dxa"/>
                  <w:noWrap w:val="0"/>
                  <w:vAlign w:val="center"/>
                </w:tcPr>
                <w:p w14:paraId="47743A04">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373.7</w:t>
                  </w:r>
                </w:p>
              </w:tc>
              <w:tc>
                <w:tcPr>
                  <w:tcW w:w="1168" w:type="dxa"/>
                  <w:noWrap w:val="0"/>
                  <w:vAlign w:val="center"/>
                </w:tcPr>
                <w:p w14:paraId="1B8139BC">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储煤场四周设置防风抑尘网，定期洒水降尘效率</w:t>
                  </w:r>
                </w:p>
              </w:tc>
              <w:tc>
                <w:tcPr>
                  <w:tcW w:w="607" w:type="dxa"/>
                  <w:noWrap w:val="0"/>
                  <w:vAlign w:val="center"/>
                </w:tcPr>
                <w:p w14:paraId="67D7EC14">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98.5%</w:t>
                  </w:r>
                </w:p>
              </w:tc>
              <w:tc>
                <w:tcPr>
                  <w:tcW w:w="652" w:type="dxa"/>
                  <w:noWrap w:val="0"/>
                  <w:vAlign w:val="center"/>
                </w:tcPr>
                <w:p w14:paraId="3ADC9294">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系数法</w:t>
                  </w:r>
                </w:p>
              </w:tc>
              <w:tc>
                <w:tcPr>
                  <w:tcW w:w="698" w:type="dxa"/>
                  <w:noWrap w:val="0"/>
                  <w:vAlign w:val="center"/>
                </w:tcPr>
                <w:p w14:paraId="4F1D1A56">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778" w:type="dxa"/>
                  <w:noWrap w:val="0"/>
                  <w:vAlign w:val="center"/>
                </w:tcPr>
                <w:p w14:paraId="5D6EA2D3">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794" w:type="dxa"/>
                  <w:noWrap w:val="0"/>
                  <w:vAlign w:val="center"/>
                </w:tcPr>
                <w:p w14:paraId="4B39E955">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5.605</w:t>
                  </w:r>
                </w:p>
              </w:tc>
            </w:tr>
            <w:tr w14:paraId="601AC2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6" w:type="dxa"/>
                  <w:shd w:val="clear" w:color="auto" w:fill="auto"/>
                  <w:noWrap w:val="0"/>
                  <w:vAlign w:val="center"/>
                </w:tcPr>
                <w:p w14:paraId="78779C51">
                  <w:pPr>
                    <w:pStyle w:val="38"/>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装卸扬尘</w:t>
                  </w:r>
                </w:p>
              </w:tc>
              <w:tc>
                <w:tcPr>
                  <w:tcW w:w="492" w:type="dxa"/>
                  <w:shd w:val="clear" w:color="auto" w:fill="auto"/>
                  <w:noWrap w:val="0"/>
                  <w:vAlign w:val="center"/>
                </w:tcPr>
                <w:p w14:paraId="25607870">
                  <w:pP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颗粒物</w:t>
                  </w:r>
                </w:p>
              </w:tc>
              <w:tc>
                <w:tcPr>
                  <w:tcW w:w="702" w:type="dxa"/>
                  <w:shd w:val="clear" w:color="auto" w:fill="auto"/>
                  <w:noWrap w:val="0"/>
                  <w:vAlign w:val="center"/>
                </w:tcPr>
                <w:p w14:paraId="04A7035E">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eastAsia="zh-CN"/>
                    </w:rPr>
                    <w:t>系数法</w:t>
                  </w:r>
                </w:p>
              </w:tc>
              <w:tc>
                <w:tcPr>
                  <w:tcW w:w="645" w:type="dxa"/>
                  <w:shd w:val="clear" w:color="auto" w:fill="auto"/>
                  <w:noWrap w:val="0"/>
                  <w:vAlign w:val="center"/>
                </w:tcPr>
                <w:p w14:paraId="340B7F01">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825" w:type="dxa"/>
                  <w:shd w:val="clear" w:color="auto" w:fill="auto"/>
                  <w:noWrap w:val="0"/>
                  <w:vAlign w:val="center"/>
                </w:tcPr>
                <w:p w14:paraId="479E63D6">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900" w:type="dxa"/>
                  <w:shd w:val="clear" w:color="auto" w:fill="auto"/>
                  <w:noWrap w:val="0"/>
                  <w:vAlign w:val="center"/>
                </w:tcPr>
                <w:p w14:paraId="0D53B59D">
                  <w:pPr>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55.556</w:t>
                  </w:r>
                </w:p>
              </w:tc>
              <w:tc>
                <w:tcPr>
                  <w:tcW w:w="1168" w:type="dxa"/>
                  <w:shd w:val="clear" w:color="auto" w:fill="auto"/>
                  <w:noWrap w:val="0"/>
                  <w:vAlign w:val="center"/>
                </w:tcPr>
                <w:p w14:paraId="35B7F455">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储煤场四周设置防风抑尘网，洒水降尘</w:t>
                  </w:r>
                </w:p>
              </w:tc>
              <w:tc>
                <w:tcPr>
                  <w:tcW w:w="607" w:type="dxa"/>
                  <w:shd w:val="clear" w:color="auto" w:fill="auto"/>
                  <w:noWrap w:val="0"/>
                  <w:vAlign w:val="center"/>
                </w:tcPr>
                <w:p w14:paraId="6CE4C103">
                  <w:pPr>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90%</w:t>
                  </w:r>
                </w:p>
              </w:tc>
              <w:tc>
                <w:tcPr>
                  <w:tcW w:w="652" w:type="dxa"/>
                  <w:shd w:val="clear" w:color="auto" w:fill="auto"/>
                  <w:noWrap w:val="0"/>
                  <w:vAlign w:val="center"/>
                </w:tcPr>
                <w:p w14:paraId="34D65664">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系数法</w:t>
                  </w:r>
                </w:p>
              </w:tc>
              <w:tc>
                <w:tcPr>
                  <w:tcW w:w="698" w:type="dxa"/>
                  <w:shd w:val="clear" w:color="auto" w:fill="auto"/>
                  <w:noWrap w:val="0"/>
                  <w:vAlign w:val="center"/>
                </w:tcPr>
                <w:p w14:paraId="2F79BD80">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778" w:type="dxa"/>
                  <w:shd w:val="clear" w:color="auto" w:fill="auto"/>
                  <w:noWrap w:val="0"/>
                  <w:vAlign w:val="center"/>
                </w:tcPr>
                <w:p w14:paraId="2748FFF0">
                  <w:pPr>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794" w:type="dxa"/>
                  <w:shd w:val="clear" w:color="auto" w:fill="auto"/>
                  <w:noWrap w:val="0"/>
                  <w:vAlign w:val="center"/>
                </w:tcPr>
                <w:p w14:paraId="1B602BE3">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5.556</w:t>
                  </w:r>
                </w:p>
              </w:tc>
            </w:tr>
            <w:tr w14:paraId="331A1E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526" w:type="dxa"/>
                  <w:tcBorders>
                    <w:bottom w:val="single" w:color="auto" w:sz="12" w:space="0"/>
                  </w:tcBorders>
                  <w:noWrap w:val="0"/>
                  <w:vAlign w:val="center"/>
                </w:tcPr>
                <w:p w14:paraId="7D4BA75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运输扬尘</w:t>
                  </w:r>
                </w:p>
              </w:tc>
              <w:tc>
                <w:tcPr>
                  <w:tcW w:w="492" w:type="dxa"/>
                  <w:tcBorders>
                    <w:bottom w:val="single" w:color="auto" w:sz="12" w:space="0"/>
                  </w:tcBorders>
                  <w:noWrap w:val="0"/>
                  <w:vAlign w:val="center"/>
                </w:tcPr>
                <w:p w14:paraId="7C3AFDB3">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702" w:type="dxa"/>
                  <w:tcBorders>
                    <w:bottom w:val="single" w:color="auto" w:sz="12" w:space="0"/>
                  </w:tcBorders>
                  <w:noWrap w:val="0"/>
                  <w:vAlign w:val="center"/>
                </w:tcPr>
                <w:p w14:paraId="45BA23F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系数法</w:t>
                  </w:r>
                </w:p>
              </w:tc>
              <w:tc>
                <w:tcPr>
                  <w:tcW w:w="645" w:type="dxa"/>
                  <w:tcBorders>
                    <w:bottom w:val="single" w:color="auto" w:sz="12" w:space="0"/>
                  </w:tcBorders>
                  <w:noWrap w:val="0"/>
                  <w:vAlign w:val="center"/>
                </w:tcPr>
                <w:p w14:paraId="6F6AC75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825" w:type="dxa"/>
                  <w:tcBorders>
                    <w:bottom w:val="single" w:color="auto" w:sz="12" w:space="0"/>
                  </w:tcBorders>
                  <w:noWrap w:val="0"/>
                  <w:vAlign w:val="center"/>
                </w:tcPr>
                <w:p w14:paraId="2D245DC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00" w:type="dxa"/>
                  <w:tcBorders>
                    <w:bottom w:val="single" w:color="auto" w:sz="12" w:space="0"/>
                  </w:tcBorders>
                  <w:noWrap w:val="0"/>
                  <w:vAlign w:val="center"/>
                </w:tcPr>
                <w:p w14:paraId="3D5E698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rPr>
                    <w:t>0.</w:t>
                  </w:r>
                  <w:r>
                    <w:rPr>
                      <w:rFonts w:hint="default" w:ascii="Times New Roman" w:hAnsi="Times New Roman" w:cs="Times New Roman"/>
                      <w:color w:val="auto"/>
                      <w:kern w:val="0"/>
                      <w:sz w:val="18"/>
                      <w:szCs w:val="18"/>
                      <w:highlight w:val="none"/>
                      <w:lang w:val="en-US" w:eastAsia="zh-CN"/>
                    </w:rPr>
                    <w:t>00</w:t>
                  </w:r>
                  <w:r>
                    <w:rPr>
                      <w:rFonts w:hint="eastAsia" w:cs="Times New Roman"/>
                      <w:color w:val="auto"/>
                      <w:kern w:val="0"/>
                      <w:sz w:val="18"/>
                      <w:szCs w:val="18"/>
                      <w:highlight w:val="none"/>
                      <w:lang w:val="en-US" w:eastAsia="zh-CN"/>
                    </w:rPr>
                    <w:t>9</w:t>
                  </w:r>
                </w:p>
              </w:tc>
              <w:tc>
                <w:tcPr>
                  <w:tcW w:w="1168" w:type="dxa"/>
                  <w:tcBorders>
                    <w:bottom w:val="single" w:color="auto" w:sz="12" w:space="0"/>
                  </w:tcBorders>
                  <w:noWrap w:val="0"/>
                  <w:vAlign w:val="center"/>
                </w:tcPr>
                <w:p w14:paraId="25C3F87C">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加盖苫布、控制车速、道路洒水抑尘</w:t>
                  </w:r>
                </w:p>
              </w:tc>
              <w:tc>
                <w:tcPr>
                  <w:tcW w:w="607" w:type="dxa"/>
                  <w:tcBorders>
                    <w:bottom w:val="single" w:color="auto" w:sz="12" w:space="0"/>
                  </w:tcBorders>
                  <w:noWrap w:val="0"/>
                  <w:vAlign w:val="center"/>
                </w:tcPr>
                <w:p w14:paraId="06567CA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80</w:t>
                  </w:r>
                  <w:r>
                    <w:rPr>
                      <w:rFonts w:hint="default" w:ascii="Times New Roman" w:hAnsi="Times New Roman" w:cs="Times New Roman"/>
                      <w:color w:val="auto"/>
                      <w:sz w:val="18"/>
                      <w:szCs w:val="18"/>
                      <w:highlight w:val="none"/>
                    </w:rPr>
                    <w:t>%</w:t>
                  </w:r>
                </w:p>
              </w:tc>
              <w:tc>
                <w:tcPr>
                  <w:tcW w:w="652" w:type="dxa"/>
                  <w:tcBorders>
                    <w:bottom w:val="single" w:color="auto" w:sz="12" w:space="0"/>
                  </w:tcBorders>
                  <w:noWrap w:val="0"/>
                  <w:vAlign w:val="center"/>
                </w:tcPr>
                <w:p w14:paraId="08CCA71C">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系数法</w:t>
                  </w:r>
                </w:p>
              </w:tc>
              <w:tc>
                <w:tcPr>
                  <w:tcW w:w="698" w:type="dxa"/>
                  <w:tcBorders>
                    <w:bottom w:val="single" w:color="auto" w:sz="12" w:space="0"/>
                  </w:tcBorders>
                  <w:noWrap w:val="0"/>
                  <w:vAlign w:val="center"/>
                </w:tcPr>
                <w:p w14:paraId="38ACEBD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778" w:type="dxa"/>
                  <w:tcBorders>
                    <w:bottom w:val="single" w:color="auto" w:sz="12" w:space="0"/>
                  </w:tcBorders>
                  <w:noWrap w:val="0"/>
                  <w:vAlign w:val="center"/>
                </w:tcPr>
                <w:p w14:paraId="59F18B9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794" w:type="dxa"/>
                  <w:tcBorders>
                    <w:bottom w:val="single" w:color="auto" w:sz="12" w:space="0"/>
                  </w:tcBorders>
                  <w:noWrap w:val="0"/>
                  <w:vAlign w:val="center"/>
                </w:tcPr>
                <w:p w14:paraId="751091A4">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kern w:val="0"/>
                      <w:sz w:val="18"/>
                      <w:szCs w:val="18"/>
                      <w:highlight w:val="none"/>
                    </w:rPr>
                    <w:t>0.0</w:t>
                  </w:r>
                  <w:r>
                    <w:rPr>
                      <w:rFonts w:hint="default" w:ascii="Times New Roman" w:hAnsi="Times New Roman"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2</w:t>
                  </w:r>
                </w:p>
              </w:tc>
            </w:tr>
          </w:tbl>
          <w:p w14:paraId="0789C306">
            <w:pPr>
              <w:numPr>
                <w:ilvl w:val="0"/>
                <w:numId w:val="0"/>
              </w:num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大气环境影响分析</w:t>
            </w:r>
          </w:p>
          <w:p w14:paraId="56D92636">
            <w:pPr>
              <w:numPr>
                <w:ilvl w:val="0"/>
                <w:numId w:val="0"/>
              </w:num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本项目所在区域为环境质量达标区，本项目</w:t>
            </w:r>
            <w:r>
              <w:rPr>
                <w:rFonts w:hint="default" w:ascii="Times New Roman" w:hAnsi="Times New Roman" w:cs="Times New Roman"/>
                <w:bCs/>
                <w:color w:val="auto"/>
                <w:sz w:val="21"/>
                <w:szCs w:val="21"/>
                <w:highlight w:val="none"/>
                <w:lang w:val="en-US" w:eastAsia="zh-CN"/>
              </w:rPr>
              <w:t>仅用于煤炭储存和转运</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项目仅在</w:t>
            </w:r>
            <w:r>
              <w:rPr>
                <w:rFonts w:hint="default" w:ascii="Times New Roman" w:hAnsi="Times New Roman" w:cs="Times New Roman"/>
                <w:bCs/>
                <w:color w:val="auto"/>
                <w:sz w:val="21"/>
                <w:szCs w:val="21"/>
                <w:highlight w:val="none"/>
              </w:rPr>
              <w:t>物料装卸、堆存</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运输过程中产生粉尘，储煤场四周均设有防风抑尘网，储煤场地面硬化，定期对</w:t>
            </w:r>
            <w:r>
              <w:rPr>
                <w:rFonts w:hint="eastAsia" w:cs="Times New Roman"/>
                <w:bCs/>
                <w:color w:val="auto"/>
                <w:sz w:val="21"/>
                <w:szCs w:val="21"/>
                <w:highlight w:val="none"/>
                <w:lang w:val="en-US" w:eastAsia="zh-CN"/>
              </w:rPr>
              <w:t>厂区</w:t>
            </w:r>
            <w:r>
              <w:rPr>
                <w:rFonts w:hint="default" w:ascii="Times New Roman" w:hAnsi="Times New Roman" w:cs="Times New Roman"/>
                <w:bCs/>
                <w:color w:val="auto"/>
                <w:sz w:val="21"/>
                <w:szCs w:val="21"/>
                <w:highlight w:val="none"/>
              </w:rPr>
              <w:t>进行洒水</w:t>
            </w:r>
            <w:r>
              <w:rPr>
                <w:rFonts w:hint="default" w:ascii="Times New Roman" w:hAnsi="Times New Roman" w:cs="Times New Roman"/>
                <w:bCs/>
                <w:color w:val="auto"/>
                <w:sz w:val="21"/>
                <w:szCs w:val="21"/>
                <w:highlight w:val="none"/>
                <w:lang w:val="en-US" w:eastAsia="zh-CN"/>
              </w:rPr>
              <w:t>降尘防燃</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储存煤炭使用</w:t>
            </w:r>
            <w:r>
              <w:rPr>
                <w:rFonts w:hint="eastAsia" w:cs="Times New Roman"/>
                <w:bCs/>
                <w:color w:val="auto"/>
                <w:sz w:val="21"/>
                <w:szCs w:val="21"/>
                <w:highlight w:val="none"/>
                <w:lang w:val="en-US" w:eastAsia="zh-CN"/>
              </w:rPr>
              <w:t>苫布</w:t>
            </w:r>
            <w:r>
              <w:rPr>
                <w:rFonts w:hint="default" w:ascii="Times New Roman" w:hAnsi="Times New Roman" w:cs="Times New Roman"/>
                <w:bCs/>
                <w:color w:val="auto"/>
                <w:sz w:val="21"/>
                <w:szCs w:val="21"/>
                <w:highlight w:val="none"/>
                <w:lang w:val="en-US" w:eastAsia="zh-CN"/>
              </w:rPr>
              <w:t>进行苫盖，并</w:t>
            </w:r>
            <w:r>
              <w:rPr>
                <w:rFonts w:hint="default" w:ascii="Times New Roman" w:hAnsi="Times New Roman" w:cs="Times New Roman"/>
                <w:bCs/>
                <w:color w:val="auto"/>
                <w:sz w:val="21"/>
                <w:szCs w:val="21"/>
                <w:highlight w:val="none"/>
              </w:rPr>
              <w:t>保持地面清洁</w:t>
            </w:r>
            <w:r>
              <w:rPr>
                <w:rFonts w:hint="eastAsia" w:cs="Times New Roman"/>
                <w:bCs/>
                <w:color w:val="auto"/>
                <w:sz w:val="21"/>
                <w:szCs w:val="21"/>
                <w:highlight w:val="none"/>
                <w:lang w:eastAsia="zh-CN"/>
              </w:rPr>
              <w:t>，装卸过程采取喷雾装置降尘</w:t>
            </w:r>
            <w:r>
              <w:rPr>
                <w:rFonts w:hint="default" w:ascii="Times New Roman" w:hAnsi="Times New Roman" w:cs="Times New Roman"/>
                <w:bCs/>
                <w:color w:val="auto"/>
                <w:sz w:val="21"/>
                <w:szCs w:val="21"/>
                <w:highlight w:val="none"/>
              </w:rPr>
              <w:t>，对运输车辆进行苫盖</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定期去外部指定洗车点对运输车辆进行清洗，保持车辆清洁</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本项目严禁在</w:t>
            </w:r>
            <w:r>
              <w:rPr>
                <w:rFonts w:hint="default" w:ascii="Times New Roman" w:hAnsi="Times New Roman" w:cs="Times New Roman"/>
                <w:color w:val="auto"/>
                <w:sz w:val="21"/>
                <w:szCs w:val="21"/>
                <w:highlight w:val="none"/>
              </w:rPr>
              <w:t>污染天气期间、大风天气时生产作业</w:t>
            </w:r>
            <w:r>
              <w:rPr>
                <w:rFonts w:hint="eastAsia" w:cs="Times New Roman"/>
                <w:color w:val="auto"/>
                <w:sz w:val="21"/>
                <w:szCs w:val="21"/>
                <w:highlight w:val="none"/>
                <w:lang w:eastAsia="zh-CN"/>
              </w:rPr>
              <w:t>。距离厂区最近的环境保护目标位于厂区北侧</w:t>
            </w:r>
            <w:r>
              <w:rPr>
                <w:rFonts w:hint="eastAsia" w:cs="Times New Roman"/>
                <w:color w:val="auto"/>
                <w:sz w:val="21"/>
                <w:szCs w:val="21"/>
                <w:highlight w:val="none"/>
                <w:lang w:val="en-US" w:eastAsia="zh-CN"/>
              </w:rPr>
              <w:t>55m处</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，处于厂区侧风向，在采取上述措施后，厂界</w:t>
            </w:r>
            <w:r>
              <w:rPr>
                <w:rFonts w:hint="default" w:ascii="Times New Roman" w:hAnsi="Times New Roman" w:cs="Times New Roman"/>
                <w:bCs/>
                <w:color w:val="auto"/>
                <w:sz w:val="21"/>
                <w:szCs w:val="21"/>
                <w:highlight w:val="none"/>
              </w:rPr>
              <w:t>无组织颗粒物排放满足</w:t>
            </w:r>
            <w:r>
              <w:rPr>
                <w:rFonts w:hint="default" w:ascii="Times New Roman" w:hAnsi="Times New Roman" w:cs="Times New Roman"/>
                <w:bCs/>
                <w:color w:val="auto"/>
                <w:sz w:val="21"/>
                <w:szCs w:val="21"/>
                <w:highlight w:val="none"/>
                <w:lang w:val="en-US" w:eastAsia="zh-CN"/>
              </w:rPr>
              <w:t>《煤炭工业污染物排放标准》（</w:t>
            </w:r>
            <w:r>
              <w:rPr>
                <w:rFonts w:hint="default" w:ascii="Times New Roman" w:hAnsi="Times New Roman" w:cs="Times New Roman"/>
                <w:bCs/>
                <w:color w:val="auto"/>
                <w:sz w:val="21"/>
                <w:szCs w:val="21"/>
                <w:highlight w:val="none"/>
              </w:rPr>
              <w:t>GB20426-2006</w:t>
            </w:r>
            <w:r>
              <w:rPr>
                <w:rFonts w:hint="default" w:ascii="Times New Roman" w:hAnsi="Times New Roman" w:cs="Times New Roman"/>
                <w:bCs/>
                <w:color w:val="auto"/>
                <w:sz w:val="21"/>
                <w:szCs w:val="21"/>
                <w:highlight w:val="none"/>
                <w:lang w:val="en-US" w:eastAsia="zh-CN"/>
              </w:rPr>
              <w:t>）表5煤炭工业无组织排放限值</w:t>
            </w:r>
            <w:r>
              <w:rPr>
                <w:rFonts w:hint="default" w:ascii="Times New Roman" w:hAnsi="Times New Roman" w:cs="Times New Roman"/>
                <w:bCs/>
                <w:color w:val="auto"/>
                <w:sz w:val="21"/>
                <w:szCs w:val="21"/>
                <w:highlight w:val="none"/>
              </w:rPr>
              <w:t>要求。对</w:t>
            </w:r>
            <w:r>
              <w:rPr>
                <w:rFonts w:hint="eastAsia" w:cs="Times New Roman"/>
                <w:bCs/>
                <w:color w:val="auto"/>
                <w:sz w:val="21"/>
                <w:szCs w:val="21"/>
                <w:highlight w:val="none"/>
                <w:lang w:eastAsia="zh-CN"/>
              </w:rPr>
              <w:t>保护目标以及</w:t>
            </w:r>
            <w:r>
              <w:rPr>
                <w:rFonts w:hint="default" w:ascii="Times New Roman" w:hAnsi="Times New Roman" w:cs="Times New Roman"/>
                <w:bCs/>
                <w:color w:val="auto"/>
                <w:sz w:val="21"/>
                <w:szCs w:val="21"/>
                <w:highlight w:val="none"/>
              </w:rPr>
              <w:t>区域环境空气影响较小。</w:t>
            </w:r>
          </w:p>
          <w:p w14:paraId="55DD007C">
            <w:pPr>
              <w:numPr>
                <w:ilvl w:val="0"/>
                <w:numId w:val="0"/>
              </w:numPr>
              <w:tabs>
                <w:tab w:val="left" w:pos="1291"/>
              </w:tabs>
              <w:spacing w:line="360" w:lineRule="auto"/>
              <w:ind w:firstLine="420" w:firstLineChars="20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bCs/>
                <w:color w:val="auto"/>
                <w:sz w:val="21"/>
                <w:szCs w:val="21"/>
                <w:highlight w:val="none"/>
              </w:rPr>
              <w:t>综上所述，从环境空气的角度，本项目的建设是可行的。</w:t>
            </w:r>
          </w:p>
          <w:p w14:paraId="3797CE11">
            <w:pPr>
              <w:numPr>
                <w:ilvl w:val="0"/>
                <w:numId w:val="0"/>
              </w:numPr>
              <w:adjustRightInd w:val="0"/>
              <w:snapToGrid w:val="0"/>
              <w:spacing w:line="360" w:lineRule="auto"/>
              <w:ind w:firstLine="420" w:firstLineChars="200"/>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环保措施可行性分析</w:t>
            </w:r>
          </w:p>
          <w:p w14:paraId="3D16DCE9">
            <w:pPr>
              <w:keepNext w:val="0"/>
              <w:keepLines w:val="0"/>
              <w:pageBreakBefore w:val="0"/>
              <w:widowControl w:val="0"/>
              <w:numPr>
                <w:ilvl w:val="0"/>
                <w:numId w:val="0"/>
              </w:numPr>
              <w:tabs>
                <w:tab w:val="left" w:pos="1291"/>
              </w:tabs>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本项目</w:t>
            </w:r>
            <w:r>
              <w:rPr>
                <w:rFonts w:hint="eastAsia" w:ascii="Times New Roman" w:hAnsi="Times New Roman" w:cs="Times New Roman"/>
                <w:bCs/>
                <w:color w:val="auto"/>
                <w:sz w:val="21"/>
                <w:szCs w:val="21"/>
                <w:highlight w:val="none"/>
                <w:lang w:val="en-US" w:eastAsia="zh-CN"/>
              </w:rPr>
              <w:t>厂区</w:t>
            </w:r>
            <w:r>
              <w:rPr>
                <w:rFonts w:hint="default" w:ascii="Times New Roman" w:hAnsi="Times New Roman" w:cs="Times New Roman"/>
                <w:bCs/>
                <w:color w:val="auto"/>
                <w:sz w:val="21"/>
                <w:szCs w:val="21"/>
                <w:highlight w:val="none"/>
                <w:lang w:val="en-US" w:eastAsia="zh-CN"/>
              </w:rPr>
              <w:t>四周</w:t>
            </w:r>
            <w:r>
              <w:rPr>
                <w:rFonts w:hint="eastAsia" w:ascii="Times New Roman" w:hAnsi="Times New Roman" w:cs="Times New Roman"/>
                <w:bCs/>
                <w:color w:val="auto"/>
                <w:sz w:val="21"/>
                <w:szCs w:val="21"/>
                <w:highlight w:val="none"/>
                <w:lang w:val="en-US" w:eastAsia="zh-CN"/>
              </w:rPr>
              <w:t>设置</w:t>
            </w:r>
            <w:r>
              <w:rPr>
                <w:rFonts w:hint="default" w:ascii="Times New Roman" w:hAnsi="Times New Roman" w:cs="Times New Roman"/>
                <w:bCs/>
                <w:color w:val="auto"/>
                <w:sz w:val="21"/>
                <w:szCs w:val="21"/>
                <w:highlight w:val="none"/>
                <w:lang w:val="en-US" w:eastAsia="zh-CN"/>
              </w:rPr>
              <w:t>闭合的防风抑尘网，防风抑尘网高度</w:t>
            </w:r>
            <w:r>
              <w:rPr>
                <w:rFonts w:hint="eastAsia" w:ascii="Times New Roman" w:hAnsi="Times New Roman"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lang w:val="en-US" w:eastAsia="zh-CN"/>
              </w:rPr>
              <w:t>m，贮存的煤炭使用</w:t>
            </w:r>
            <w:r>
              <w:rPr>
                <w:rFonts w:hint="eastAsia" w:ascii="Times New Roman" w:hAnsi="Times New Roman" w:cs="Times New Roman"/>
                <w:bCs/>
                <w:color w:val="auto"/>
                <w:sz w:val="21"/>
                <w:szCs w:val="21"/>
                <w:highlight w:val="none"/>
                <w:lang w:val="en-US" w:eastAsia="zh-CN"/>
              </w:rPr>
              <w:t>苫布</w:t>
            </w:r>
            <w:r>
              <w:rPr>
                <w:rFonts w:hint="default" w:ascii="Times New Roman" w:hAnsi="Times New Roman" w:cs="Times New Roman"/>
                <w:bCs/>
                <w:color w:val="auto"/>
                <w:sz w:val="21"/>
                <w:szCs w:val="21"/>
                <w:highlight w:val="none"/>
                <w:lang w:val="en-US" w:eastAsia="zh-CN"/>
              </w:rPr>
              <w:t>进行苫盖，定期对</w:t>
            </w:r>
            <w:r>
              <w:rPr>
                <w:rFonts w:hint="eastAsia" w:ascii="Times New Roman" w:hAnsi="Times New Roman" w:cs="Times New Roman"/>
                <w:bCs/>
                <w:color w:val="auto"/>
                <w:sz w:val="21"/>
                <w:szCs w:val="21"/>
                <w:highlight w:val="none"/>
                <w:lang w:val="en-US" w:eastAsia="zh-CN"/>
              </w:rPr>
              <w:t>储煤场及厂区道路</w:t>
            </w:r>
            <w:r>
              <w:rPr>
                <w:rFonts w:hint="default" w:ascii="Times New Roman" w:hAnsi="Times New Roman" w:cs="Times New Roman"/>
                <w:bCs/>
                <w:color w:val="auto"/>
                <w:sz w:val="21"/>
                <w:szCs w:val="21"/>
                <w:highlight w:val="none"/>
                <w:lang w:val="en-US" w:eastAsia="zh-CN"/>
              </w:rPr>
              <w:t>进行洒水降尘，对进出储煤场运输车辆进行苫盖，运输车辆装卸煤炭过程中尽量减少煤炭落料过程中高差，</w:t>
            </w:r>
            <w:r>
              <w:rPr>
                <w:rFonts w:hint="eastAsia" w:cs="Times New Roman"/>
                <w:bCs/>
                <w:color w:val="auto"/>
                <w:sz w:val="21"/>
                <w:szCs w:val="21"/>
                <w:highlight w:val="none"/>
                <w:lang w:val="en-US" w:eastAsia="zh-CN"/>
              </w:rPr>
              <w:t>并且</w:t>
            </w:r>
            <w:r>
              <w:rPr>
                <w:rFonts w:hint="default" w:ascii="Times New Roman" w:hAnsi="Times New Roman" w:cs="Times New Roman"/>
                <w:bCs/>
                <w:color w:val="auto"/>
                <w:sz w:val="21"/>
                <w:szCs w:val="21"/>
                <w:highlight w:val="none"/>
                <w:lang w:val="en-US" w:eastAsia="zh-CN"/>
              </w:rPr>
              <w:t>使用</w:t>
            </w:r>
            <w:r>
              <w:rPr>
                <w:rFonts w:hint="eastAsia" w:ascii="Times New Roman" w:hAnsi="Times New Roman" w:cs="Times New Roman"/>
                <w:bCs/>
                <w:color w:val="auto"/>
                <w:sz w:val="21"/>
                <w:szCs w:val="21"/>
                <w:highlight w:val="none"/>
                <w:lang w:val="en-US" w:eastAsia="zh-CN"/>
              </w:rPr>
              <w:t>喷雾装置</w:t>
            </w:r>
            <w:r>
              <w:rPr>
                <w:rFonts w:hint="default" w:ascii="Times New Roman" w:hAnsi="Times New Roman" w:cs="Times New Roman"/>
                <w:bCs/>
                <w:color w:val="auto"/>
                <w:sz w:val="21"/>
                <w:szCs w:val="21"/>
                <w:highlight w:val="none"/>
                <w:lang w:val="en-US" w:eastAsia="zh-CN"/>
              </w:rPr>
              <w:t>对</w:t>
            </w:r>
            <w:r>
              <w:rPr>
                <w:rFonts w:hint="eastAsia" w:ascii="Times New Roman" w:hAnsi="Times New Roman" w:cs="Times New Roman"/>
                <w:bCs/>
                <w:color w:val="auto"/>
                <w:sz w:val="21"/>
                <w:szCs w:val="21"/>
                <w:highlight w:val="none"/>
                <w:lang w:val="en-US" w:eastAsia="zh-CN"/>
              </w:rPr>
              <w:t>装卸区域</w:t>
            </w:r>
            <w:r>
              <w:rPr>
                <w:rFonts w:hint="default" w:ascii="Times New Roman" w:hAnsi="Times New Roman" w:cs="Times New Roman"/>
                <w:bCs/>
                <w:color w:val="auto"/>
                <w:sz w:val="21"/>
                <w:szCs w:val="21"/>
                <w:highlight w:val="none"/>
                <w:lang w:val="en-US" w:eastAsia="zh-CN"/>
              </w:rPr>
              <w:t>进行降尘</w:t>
            </w:r>
            <w:r>
              <w:rPr>
                <w:rFonts w:hint="eastAsia"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喷雾装置水雾粒径较小，装卸期间主要针对煤炭落地点进行喷雾降尘，水雾与粉尘混合后回落至煤炭，可避免冬季路面结冰风险，</w:t>
            </w:r>
            <w:r>
              <w:rPr>
                <w:rFonts w:hint="eastAsia" w:ascii="Times New Roman" w:hAnsi="Times New Roman" w:cs="Times New Roman"/>
                <w:bCs/>
                <w:color w:val="auto"/>
                <w:sz w:val="21"/>
                <w:szCs w:val="21"/>
                <w:highlight w:val="none"/>
                <w:lang w:val="en-US" w:eastAsia="zh-CN"/>
              </w:rPr>
              <w:t>装卸扬尘属于间接排放，只在装卸过程产生，产生总量小，但瞬时产生浓度高，并扩散至大气，</w:t>
            </w:r>
            <w:r>
              <w:rPr>
                <w:rFonts w:hint="eastAsia" w:cs="Times New Roman"/>
                <w:bCs/>
                <w:color w:val="auto"/>
                <w:sz w:val="21"/>
                <w:szCs w:val="21"/>
                <w:highlight w:val="none"/>
                <w:lang w:val="en-US" w:eastAsia="zh-CN"/>
              </w:rPr>
              <w:t>采用喷雾装置降尘更具有针对性</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在采取上述措施后，</w:t>
            </w:r>
            <w:r>
              <w:rPr>
                <w:rFonts w:hint="default" w:ascii="Times New Roman" w:hAnsi="Times New Roman" w:cs="Times New Roman"/>
                <w:bCs/>
                <w:color w:val="auto"/>
                <w:sz w:val="21"/>
                <w:szCs w:val="21"/>
                <w:highlight w:val="none"/>
                <w:lang w:val="en-US" w:eastAsia="zh-CN"/>
              </w:rPr>
              <w:t>项目能够满足《鸡西市洗煤厂、储煤场环境综合整治验收标准》中大气污染治理措施要求。</w:t>
            </w:r>
          </w:p>
          <w:p w14:paraId="662CD29F">
            <w:pPr>
              <w:numPr>
                <w:ilvl w:val="0"/>
                <w:numId w:val="0"/>
              </w:num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监测要求</w:t>
            </w:r>
          </w:p>
          <w:p w14:paraId="5670B5BB">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根据《排污单位自行监测技术指南 总则》（HJ819-2017），废气监测要求详见表4-</w:t>
            </w:r>
            <w:r>
              <w:rPr>
                <w:rFonts w:hint="default" w:ascii="Times New Roman" w:hAnsi="Times New Roman"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rPr>
              <w:t>。</w:t>
            </w:r>
          </w:p>
          <w:p w14:paraId="5B87EF59">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  监测要求</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641"/>
              <w:gridCol w:w="1829"/>
              <w:gridCol w:w="968"/>
              <w:gridCol w:w="2143"/>
            </w:tblGrid>
            <w:tr w14:paraId="3B7B08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7" w:type="dxa"/>
                  <w:tcBorders>
                    <w:top w:val="single" w:color="auto" w:sz="12" w:space="0"/>
                  </w:tcBorders>
                  <w:noWrap w:val="0"/>
                  <w:vAlign w:val="center"/>
                </w:tcPr>
                <w:p w14:paraId="404E1DDC">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监测类别</w:t>
                  </w:r>
                </w:p>
              </w:tc>
              <w:tc>
                <w:tcPr>
                  <w:tcW w:w="2709" w:type="dxa"/>
                  <w:tcBorders>
                    <w:top w:val="single" w:color="auto" w:sz="12" w:space="0"/>
                  </w:tcBorders>
                  <w:noWrap w:val="0"/>
                  <w:vAlign w:val="center"/>
                </w:tcPr>
                <w:p w14:paraId="7F4CA823">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监测点位</w:t>
                  </w:r>
                </w:p>
              </w:tc>
              <w:tc>
                <w:tcPr>
                  <w:tcW w:w="1875" w:type="dxa"/>
                  <w:tcBorders>
                    <w:top w:val="single" w:color="auto" w:sz="12" w:space="0"/>
                  </w:tcBorders>
                  <w:noWrap w:val="0"/>
                  <w:vAlign w:val="center"/>
                </w:tcPr>
                <w:p w14:paraId="0E974492">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监测因子</w:t>
                  </w:r>
                </w:p>
              </w:tc>
              <w:tc>
                <w:tcPr>
                  <w:tcW w:w="990" w:type="dxa"/>
                  <w:tcBorders>
                    <w:top w:val="single" w:color="auto" w:sz="12" w:space="0"/>
                  </w:tcBorders>
                  <w:noWrap w:val="0"/>
                  <w:vAlign w:val="center"/>
                </w:tcPr>
                <w:p w14:paraId="1CCEB048">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监测频次</w:t>
                  </w:r>
                </w:p>
              </w:tc>
              <w:tc>
                <w:tcPr>
                  <w:tcW w:w="2198" w:type="dxa"/>
                  <w:tcBorders>
                    <w:top w:val="single" w:color="auto" w:sz="12" w:space="0"/>
                  </w:tcBorders>
                  <w:noWrap w:val="0"/>
                  <w:vAlign w:val="center"/>
                </w:tcPr>
                <w:p w14:paraId="003525C4">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执行标准</w:t>
                  </w:r>
                </w:p>
              </w:tc>
            </w:tr>
            <w:tr w14:paraId="6C60BE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27" w:type="dxa"/>
                  <w:tcBorders>
                    <w:bottom w:val="single" w:color="auto" w:sz="12" w:space="0"/>
                  </w:tcBorders>
                  <w:noWrap w:val="0"/>
                  <w:vAlign w:val="center"/>
                </w:tcPr>
                <w:p w14:paraId="5714A6BA">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无组织废气</w:t>
                  </w:r>
                </w:p>
              </w:tc>
              <w:tc>
                <w:tcPr>
                  <w:tcW w:w="2709" w:type="dxa"/>
                  <w:tcBorders>
                    <w:bottom w:val="single" w:color="auto" w:sz="12" w:space="0"/>
                  </w:tcBorders>
                  <w:noWrap w:val="0"/>
                  <w:vAlign w:val="center"/>
                </w:tcPr>
                <w:p w14:paraId="18AEE229">
                  <w:pPr>
                    <w:adjustRightInd w:val="0"/>
                    <w:snapToGrid w:val="0"/>
                    <w:jc w:val="center"/>
                    <w:rPr>
                      <w:rFonts w:hint="eastAsia" w:ascii="Times New Roman" w:hAnsi="Times New Roman" w:eastAsia="宋体" w:cs="Times New Roman"/>
                      <w:bCs/>
                      <w:color w:val="auto"/>
                      <w:sz w:val="18"/>
                      <w:szCs w:val="18"/>
                      <w:highlight w:val="none"/>
                      <w:lang w:eastAsia="zh-CN"/>
                    </w:rPr>
                  </w:pPr>
                  <w:r>
                    <w:rPr>
                      <w:rFonts w:hint="default" w:ascii="Times New Roman" w:hAnsi="Times New Roman" w:cs="Times New Roman"/>
                      <w:bCs/>
                      <w:color w:val="auto"/>
                      <w:sz w:val="18"/>
                      <w:szCs w:val="18"/>
                      <w:highlight w:val="none"/>
                    </w:rPr>
                    <w:t>厂界</w:t>
                  </w:r>
                  <w:r>
                    <w:rPr>
                      <w:rFonts w:hint="eastAsia" w:cs="Times New Roman"/>
                      <w:bCs/>
                      <w:color w:val="auto"/>
                      <w:sz w:val="18"/>
                      <w:szCs w:val="18"/>
                      <w:highlight w:val="none"/>
                      <w:lang w:eastAsia="zh-CN"/>
                    </w:rPr>
                    <w:t>（上风向</w:t>
                  </w:r>
                  <w:r>
                    <w:rPr>
                      <w:rFonts w:hint="eastAsia" w:cs="Times New Roman"/>
                      <w:bCs/>
                      <w:color w:val="auto"/>
                      <w:sz w:val="18"/>
                      <w:szCs w:val="18"/>
                      <w:highlight w:val="none"/>
                      <w:lang w:val="en-US" w:eastAsia="zh-CN"/>
                    </w:rPr>
                    <w:t>1个、下风向3个、共4个监测点位</w:t>
                  </w:r>
                  <w:r>
                    <w:rPr>
                      <w:rFonts w:hint="eastAsia" w:cs="Times New Roman"/>
                      <w:bCs/>
                      <w:color w:val="auto"/>
                      <w:sz w:val="18"/>
                      <w:szCs w:val="18"/>
                      <w:highlight w:val="none"/>
                      <w:lang w:eastAsia="zh-CN"/>
                    </w:rPr>
                    <w:t>）</w:t>
                  </w:r>
                </w:p>
              </w:tc>
              <w:tc>
                <w:tcPr>
                  <w:tcW w:w="1875" w:type="dxa"/>
                  <w:tcBorders>
                    <w:bottom w:val="single" w:color="auto" w:sz="12" w:space="0"/>
                  </w:tcBorders>
                  <w:noWrap w:val="0"/>
                  <w:vAlign w:val="center"/>
                </w:tcPr>
                <w:p w14:paraId="1E97CA77">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颗粒物</w:t>
                  </w:r>
                </w:p>
              </w:tc>
              <w:tc>
                <w:tcPr>
                  <w:tcW w:w="990" w:type="dxa"/>
                  <w:tcBorders>
                    <w:bottom w:val="single" w:color="auto" w:sz="12" w:space="0"/>
                  </w:tcBorders>
                  <w:noWrap w:val="0"/>
                  <w:vAlign w:val="center"/>
                </w:tcPr>
                <w:p w14:paraId="3DC77DE6">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1次/年</w:t>
                  </w:r>
                </w:p>
              </w:tc>
              <w:tc>
                <w:tcPr>
                  <w:tcW w:w="2198" w:type="dxa"/>
                  <w:tcBorders>
                    <w:bottom w:val="single" w:color="auto" w:sz="12" w:space="0"/>
                  </w:tcBorders>
                  <w:noWrap w:val="0"/>
                  <w:vAlign w:val="center"/>
                </w:tcPr>
                <w:p w14:paraId="4A7F17C1">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《煤炭工业污染物排放标准》（GB20426-2006）</w:t>
                  </w:r>
                </w:p>
              </w:tc>
            </w:tr>
          </w:tbl>
          <w:p w14:paraId="6E33202B">
            <w:pPr>
              <w:numPr>
                <w:ilvl w:val="0"/>
                <w:numId w:val="0"/>
              </w:numPr>
              <w:adjustRightInd w:val="0"/>
              <w:snapToGrid w:val="0"/>
              <w:spacing w:line="360" w:lineRule="auto"/>
              <w:ind w:firstLine="420" w:firstLineChars="200"/>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lang w:eastAsia="zh-CN"/>
              </w:rPr>
              <w:t>非正常工况</w:t>
            </w:r>
          </w:p>
          <w:p w14:paraId="5EE0C6E2">
            <w:pPr>
              <w:numPr>
                <w:ilvl w:val="0"/>
                <w:numId w:val="0"/>
              </w:numPr>
              <w:adjustRightInd w:val="0"/>
              <w:snapToGrid w:val="0"/>
              <w:spacing w:line="360" w:lineRule="auto"/>
              <w:ind w:firstLine="420" w:firstLineChars="200"/>
              <w:rPr>
                <w:rFonts w:hint="default" w:ascii="Times New Roman" w:hAnsi="Times New Roman" w:cs="Times New Roman"/>
                <w:b/>
                <w:color w:val="auto"/>
                <w:sz w:val="21"/>
                <w:szCs w:val="21"/>
                <w:highlight w:val="none"/>
              </w:rPr>
            </w:pPr>
            <w:r>
              <w:rPr>
                <w:rFonts w:hint="default" w:ascii="Times New Roman" w:hAnsi="Times New Roman" w:cs="Times New Roman"/>
                <w:bCs/>
                <w:color w:val="auto"/>
                <w:sz w:val="21"/>
                <w:szCs w:val="21"/>
                <w:highlight w:val="none"/>
                <w:lang w:val="en-US" w:eastAsia="zh-CN"/>
              </w:rPr>
              <w:t>本项目可能发生最不利的非正常工况是防风抑尘网故障、苫布破损，按最不利情况计算，仅有洒水降尘措施，去除效率为74%，则堆场风蚀扬尘颗粒物排放速率为</w:t>
            </w:r>
            <w:r>
              <w:rPr>
                <w:rFonts w:hint="eastAsia" w:cs="Times New Roman"/>
                <w:bCs/>
                <w:color w:val="auto"/>
                <w:sz w:val="21"/>
                <w:szCs w:val="21"/>
                <w:highlight w:val="none"/>
                <w:lang w:val="en-US" w:eastAsia="zh-CN"/>
              </w:rPr>
              <w:t>15.443</w:t>
            </w:r>
            <w:r>
              <w:rPr>
                <w:rFonts w:hint="default" w:ascii="Times New Roman" w:hAnsi="Times New Roman" w:cs="Times New Roman"/>
                <w:bCs/>
                <w:color w:val="auto"/>
                <w:sz w:val="21"/>
                <w:szCs w:val="21"/>
                <w:highlight w:val="none"/>
                <w:lang w:val="en-US" w:eastAsia="zh-CN"/>
              </w:rPr>
              <w:t>kg/h。本项目在非正常工况下和重污染天气期间、大风天气时不进行作业。本项目应加强防风抑尘网的运行维护，制订巡检制度，采取上述措施后，可有效降低非正常工况的发生概率，降低对周边环境影响。</w:t>
            </w:r>
          </w:p>
          <w:p w14:paraId="77D905EF">
            <w:pPr>
              <w:adjustRightInd w:val="0"/>
              <w:snapToGrid w:val="0"/>
              <w:spacing w:line="360" w:lineRule="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2、废水</w:t>
            </w:r>
          </w:p>
          <w:p w14:paraId="6F0207A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）项目废</w:t>
            </w:r>
            <w:r>
              <w:rPr>
                <w:rFonts w:hint="default" w:ascii="Times New Roman" w:hAnsi="Times New Roman" w:cs="Times New Roman"/>
                <w:bCs/>
                <w:color w:val="auto"/>
                <w:sz w:val="21"/>
                <w:szCs w:val="21"/>
                <w:highlight w:val="none"/>
                <w:lang w:val="en-US" w:eastAsia="zh-CN"/>
              </w:rPr>
              <w:t>水源强</w:t>
            </w:r>
          </w:p>
          <w:p w14:paraId="68855B3F">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本项目运营期用水主要为职工生活用水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堆场及道路洒水</w:t>
            </w:r>
            <w:r>
              <w:rPr>
                <w:rFonts w:hint="eastAsia" w:cs="Times New Roman"/>
                <w:color w:val="auto"/>
                <w:sz w:val="21"/>
                <w:szCs w:val="21"/>
                <w:highlight w:val="none"/>
                <w:lang w:val="en-US" w:eastAsia="zh-CN"/>
              </w:rPr>
              <w:t>、喷雾用水，其中堆场及道路洒水、喷雾用水全部进入煤炭或自然蒸发，无废水产生，故运营期主要为生活污水以及收集的初期雨水</w:t>
            </w:r>
            <w:r>
              <w:rPr>
                <w:rFonts w:hint="default" w:ascii="Times New Roman" w:hAnsi="Times New Roman" w:cs="Times New Roman"/>
                <w:color w:val="auto"/>
                <w:sz w:val="21"/>
                <w:szCs w:val="21"/>
                <w:highlight w:val="none"/>
                <w:lang w:eastAsia="zh-CN"/>
              </w:rPr>
              <w:t>。</w:t>
            </w:r>
          </w:p>
          <w:p w14:paraId="79E6EFB3">
            <w:pPr>
              <w:adjustRightInd w:val="0"/>
              <w:snapToGrid w:val="0"/>
              <w:spacing w:line="360" w:lineRule="auto"/>
              <w:ind w:firstLine="420" w:firstLineChars="200"/>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生活污水</w:t>
            </w:r>
          </w:p>
          <w:p w14:paraId="239DDC0C">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生活污水产生量为0</w:t>
            </w:r>
            <w:r>
              <w:rPr>
                <w:rFonts w:hint="default" w:ascii="Times New Roman" w:hAnsi="Times New Roman" w:cs="Times New Roman"/>
                <w:color w:val="auto"/>
                <w:sz w:val="21"/>
                <w:szCs w:val="21"/>
                <w:highlight w:val="none"/>
                <w:lang w:val="en-US" w:eastAsia="zh-CN"/>
              </w:rPr>
              <w:t>.32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/d，年产生量为</w:t>
            </w:r>
            <w:r>
              <w:rPr>
                <w:rFonts w:hint="eastAsia" w:cs="Times New Roman"/>
                <w:color w:val="auto"/>
                <w:sz w:val="21"/>
                <w:szCs w:val="21"/>
                <w:highlight w:val="none"/>
                <w:lang w:val="en-US" w:eastAsia="zh-CN"/>
              </w:rPr>
              <w:t>112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，排入防渗旱厕，</w:t>
            </w:r>
            <w:r>
              <w:rPr>
                <w:rFonts w:hint="default" w:ascii="Times New Roman" w:hAnsi="Times New Roman" w:cs="Times New Roman"/>
                <w:bCs/>
                <w:color w:val="auto"/>
                <w:sz w:val="21"/>
                <w:szCs w:val="21"/>
                <w:highlight w:val="none"/>
              </w:rPr>
              <w:t>定期清掏外运，不外排。</w:t>
            </w:r>
          </w:p>
          <w:p w14:paraId="2EEDC0CD">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lang w:val="en-US" w:eastAsia="zh-CN"/>
              </w:rPr>
              <w:t>）初期</w:t>
            </w:r>
            <w:r>
              <w:rPr>
                <w:rFonts w:hint="default" w:ascii="Times New Roman" w:hAnsi="Times New Roman" w:eastAsia="宋体" w:cs="Times New Roman"/>
                <w:bCs/>
                <w:color w:val="auto"/>
                <w:sz w:val="21"/>
                <w:szCs w:val="21"/>
                <w:highlight w:val="none"/>
                <w:lang w:eastAsia="zh-CN"/>
              </w:rPr>
              <w:t>雨水</w:t>
            </w:r>
          </w:p>
          <w:p w14:paraId="74182188">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本项目堆场汇集雨水主要污染因子均为SS，类比调查平均SS浓度为700mg/L。雨水收集至</w:t>
            </w:r>
            <w:r>
              <w:rPr>
                <w:rFonts w:hint="default" w:ascii="Times New Roman" w:hAnsi="Times New Roman" w:cs="Times New Roman"/>
                <w:bCs/>
                <w:color w:val="auto"/>
                <w:sz w:val="21"/>
                <w:szCs w:val="21"/>
                <w:highlight w:val="none"/>
                <w:lang w:val="en-US" w:eastAsia="zh-CN"/>
              </w:rPr>
              <w:t>初期雨水收集池</w:t>
            </w:r>
            <w:r>
              <w:rPr>
                <w:rFonts w:hint="default" w:ascii="Times New Roman" w:hAnsi="Times New Roman" w:eastAsia="宋体" w:cs="Times New Roman"/>
                <w:bCs/>
                <w:color w:val="auto"/>
                <w:sz w:val="21"/>
                <w:szCs w:val="21"/>
                <w:highlight w:val="none"/>
                <w:lang w:val="en-US" w:eastAsia="zh-CN"/>
              </w:rPr>
              <w:t>，回用于堆场及道路洒水抑尘等用水，不外排。</w:t>
            </w:r>
          </w:p>
          <w:p w14:paraId="72BCB61D">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厂区汇集雨水主要来源为降水，即初期雨水。按照暴雨强度公式，进而推出雨水汇水量，暴雨强度根据软件计算：</w:t>
            </w:r>
          </w:p>
          <w:p w14:paraId="3DD51DCD">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暴雨强度为171.46L/（s·ha）。</w:t>
            </w:r>
          </w:p>
          <w:p w14:paraId="10644249">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雨水流量按下式计算，计算结果见下表：</w:t>
            </w:r>
          </w:p>
          <w:p w14:paraId="17C2C8FC">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Q=q•ψ•F；</w:t>
            </w:r>
          </w:p>
          <w:p w14:paraId="47527228">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Q─雨水设计流量（l/s）；</w:t>
            </w:r>
          </w:p>
          <w:p w14:paraId="3C5C7A02">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ψ─径流系数，</w:t>
            </w:r>
            <w:r>
              <w:rPr>
                <w:rFonts w:hint="eastAsia" w:cs="Times New Roman"/>
                <w:bCs/>
                <w:color w:val="auto"/>
                <w:sz w:val="21"/>
                <w:szCs w:val="21"/>
                <w:highlight w:val="none"/>
                <w:lang w:val="en-US" w:eastAsia="zh-CN"/>
              </w:rPr>
              <w:t>煤炭堆场及其他区域</w:t>
            </w:r>
            <w:r>
              <w:rPr>
                <w:rFonts w:hint="default" w:ascii="Times New Roman" w:hAnsi="Times New Roman" w:eastAsia="宋体" w:cs="Times New Roman"/>
                <w:bCs/>
                <w:color w:val="auto"/>
                <w:sz w:val="21"/>
                <w:szCs w:val="21"/>
                <w:highlight w:val="none"/>
                <w:lang w:val="en-US" w:eastAsia="zh-CN"/>
              </w:rPr>
              <w:t>取ψ=</w:t>
            </w:r>
            <w:r>
              <w:rPr>
                <w:rFonts w:hint="default"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6、出入口及主要通道</w:t>
            </w:r>
            <w:r>
              <w:rPr>
                <w:rFonts w:hint="default" w:ascii="Times New Roman" w:hAnsi="Times New Roman" w:eastAsia="宋体" w:cs="Times New Roman"/>
                <w:bCs/>
                <w:color w:val="auto"/>
                <w:sz w:val="21"/>
                <w:szCs w:val="21"/>
                <w:highlight w:val="none"/>
                <w:lang w:val="en-US" w:eastAsia="zh-CN"/>
              </w:rPr>
              <w:t>取ψ=</w:t>
            </w:r>
            <w:r>
              <w:rPr>
                <w:rFonts w:hint="default"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9，</w:t>
            </w:r>
            <w:r>
              <w:rPr>
                <w:rFonts w:hint="default" w:ascii="Times New Roman" w:hAnsi="Times New Roman" w:eastAsia="宋体" w:cs="Times New Roman"/>
                <w:bCs/>
                <w:color w:val="auto"/>
                <w:sz w:val="21"/>
                <w:szCs w:val="21"/>
                <w:highlight w:val="none"/>
                <w:lang w:val="en-US" w:eastAsia="zh-CN"/>
              </w:rPr>
              <w:t>；</w:t>
            </w:r>
          </w:p>
          <w:p w14:paraId="168663E9">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F─汇水面积（ha）；</w:t>
            </w:r>
          </w:p>
          <w:p w14:paraId="604E93B6">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q—暴雨量，L/s•ha；</w:t>
            </w:r>
          </w:p>
          <w:p w14:paraId="53E48A08">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V=Q×t/1000</w:t>
            </w:r>
          </w:p>
          <w:p w14:paraId="354E5C59">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V─</w:t>
            </w:r>
            <w:r>
              <w:rPr>
                <w:rFonts w:hint="default" w:ascii="Times New Roman" w:hAnsi="Times New Roman" w:cs="Times New Roman"/>
                <w:bCs/>
                <w:color w:val="auto"/>
                <w:sz w:val="21"/>
                <w:szCs w:val="21"/>
                <w:highlight w:val="none"/>
                <w:lang w:val="en-US" w:eastAsia="zh-CN"/>
              </w:rPr>
              <w:t>初期雨水15min汇水量，m</w:t>
            </w:r>
            <w:r>
              <w:rPr>
                <w:rFonts w:hint="default" w:ascii="Times New Roman" w:hAnsi="Times New Roman" w:cs="Times New Roman"/>
                <w:bCs/>
                <w:color w:val="auto"/>
                <w:sz w:val="21"/>
                <w:szCs w:val="21"/>
                <w:highlight w:val="none"/>
                <w:vertAlign w:val="superscript"/>
                <w:lang w:val="en-US" w:eastAsia="zh-CN"/>
              </w:rPr>
              <w:t>3</w:t>
            </w:r>
            <w:r>
              <w:rPr>
                <w:rFonts w:hint="default" w:ascii="Times New Roman" w:hAnsi="Times New Roman" w:eastAsia="宋体" w:cs="Times New Roman"/>
                <w:bCs/>
                <w:color w:val="auto"/>
                <w:sz w:val="21"/>
                <w:szCs w:val="21"/>
                <w:highlight w:val="none"/>
                <w:lang w:val="en-US" w:eastAsia="zh-CN"/>
              </w:rPr>
              <w:t>；</w:t>
            </w:r>
          </w:p>
          <w:p w14:paraId="471AB62A">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t─初期雨水时间，取</w:t>
            </w:r>
            <w:r>
              <w:rPr>
                <w:rFonts w:hint="default" w:ascii="Times New Roman" w:hAnsi="Times New Roman" w:cs="Times New Roman"/>
                <w:bCs/>
                <w:color w:val="auto"/>
                <w:sz w:val="21"/>
                <w:szCs w:val="21"/>
                <w:highlight w:val="none"/>
                <w:lang w:val="en-US" w:eastAsia="zh-CN"/>
              </w:rPr>
              <w:t>900s</w:t>
            </w:r>
            <w:r>
              <w:rPr>
                <w:rFonts w:hint="default" w:ascii="Times New Roman" w:hAnsi="Times New Roman" w:eastAsia="宋体" w:cs="Times New Roman"/>
                <w:bCs/>
                <w:color w:val="auto"/>
                <w:sz w:val="21"/>
                <w:szCs w:val="21"/>
                <w:highlight w:val="none"/>
                <w:lang w:val="en-US" w:eastAsia="zh-CN"/>
              </w:rPr>
              <w:t>；</w:t>
            </w:r>
          </w:p>
          <w:p w14:paraId="42BC2FED">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由上计算可知，</w:t>
            </w:r>
            <w:r>
              <w:rPr>
                <w:rFonts w:hint="default" w:ascii="Times New Roman" w:hAnsi="Times New Roman" w:cs="Times New Roman"/>
                <w:bCs/>
                <w:color w:val="auto"/>
                <w:sz w:val="21"/>
                <w:szCs w:val="21"/>
                <w:highlight w:val="none"/>
                <w:lang w:val="en-US" w:eastAsia="zh-CN"/>
              </w:rPr>
              <w:t>初期雨水15min汇水量</w:t>
            </w:r>
            <w:r>
              <w:rPr>
                <w:rFonts w:hint="default" w:ascii="Times New Roman" w:hAnsi="Times New Roman" w:eastAsia="宋体" w:cs="Times New Roman"/>
                <w:bCs/>
                <w:color w:val="auto"/>
                <w:sz w:val="21"/>
                <w:szCs w:val="21"/>
                <w:highlight w:val="none"/>
                <w:lang w:val="en-US" w:eastAsia="zh-CN"/>
              </w:rPr>
              <w:t>为</w:t>
            </w:r>
            <w:r>
              <w:rPr>
                <w:rFonts w:hint="eastAsia" w:cs="Times New Roman"/>
                <w:bCs/>
                <w:color w:val="auto"/>
                <w:sz w:val="21"/>
                <w:szCs w:val="21"/>
                <w:highlight w:val="none"/>
                <w:lang w:val="en-US" w:eastAsia="zh-CN"/>
              </w:rPr>
              <w:t>99.79</w:t>
            </w:r>
            <w:r>
              <w:rPr>
                <w:rFonts w:hint="default" w:ascii="Times New Roman" w:hAnsi="Times New Roman" w:eastAsia="宋体" w:cs="Times New Roman"/>
                <w:bCs/>
                <w:color w:val="auto"/>
                <w:sz w:val="21"/>
                <w:szCs w:val="21"/>
                <w:highlight w:val="none"/>
                <w:lang w:val="en-US" w:eastAsia="zh-CN"/>
              </w:rPr>
              <w:t>m</w:t>
            </w:r>
            <w:r>
              <w:rPr>
                <w:rFonts w:hint="default" w:ascii="Times New Roman" w:hAnsi="Times New Roman" w:eastAsia="宋体" w:cs="Times New Roman"/>
                <w:bCs/>
                <w:color w:val="auto"/>
                <w:sz w:val="21"/>
                <w:szCs w:val="21"/>
                <w:highlight w:val="none"/>
                <w:vertAlign w:val="superscript"/>
                <w:lang w:val="en-US" w:eastAsia="zh-CN"/>
              </w:rPr>
              <w:t>3</w:t>
            </w:r>
            <w:r>
              <w:rPr>
                <w:rFonts w:hint="default" w:ascii="Times New Roman" w:hAnsi="Times New Roman" w:eastAsia="宋体" w:cs="Times New Roman"/>
                <w:bCs/>
                <w:color w:val="auto"/>
                <w:sz w:val="21"/>
                <w:szCs w:val="21"/>
                <w:highlight w:val="none"/>
                <w:lang w:val="en-US" w:eastAsia="zh-CN"/>
              </w:rPr>
              <w:t>，根据厂区地势，</w:t>
            </w:r>
            <w:r>
              <w:rPr>
                <w:rFonts w:hint="default" w:ascii="Times New Roman" w:hAnsi="Times New Roman" w:cs="Times New Roman"/>
                <w:bCs/>
                <w:color w:val="auto"/>
                <w:sz w:val="21"/>
                <w:szCs w:val="21"/>
                <w:highlight w:val="none"/>
                <w:lang w:val="en-US" w:eastAsia="zh-CN"/>
              </w:rPr>
              <w:t>初期雨水收集池</w:t>
            </w:r>
            <w:r>
              <w:rPr>
                <w:rFonts w:hint="default" w:ascii="Times New Roman" w:hAnsi="Times New Roman" w:eastAsia="宋体" w:cs="Times New Roman"/>
                <w:bCs/>
                <w:color w:val="auto"/>
                <w:sz w:val="21"/>
                <w:szCs w:val="21"/>
                <w:highlight w:val="none"/>
                <w:lang w:val="en-US" w:eastAsia="zh-CN"/>
              </w:rPr>
              <w:t>建设在厂区地势较低的</w:t>
            </w:r>
            <w:r>
              <w:rPr>
                <w:rFonts w:hint="eastAsia" w:cs="Times New Roman"/>
                <w:bCs/>
                <w:color w:val="auto"/>
                <w:sz w:val="21"/>
                <w:szCs w:val="21"/>
                <w:highlight w:val="none"/>
                <w:lang w:val="en-US" w:eastAsia="zh-CN"/>
              </w:rPr>
              <w:t>西北侧</w:t>
            </w:r>
            <w:r>
              <w:rPr>
                <w:rFonts w:hint="default" w:ascii="Times New Roman" w:hAnsi="Times New Roman" w:eastAsia="宋体" w:cs="Times New Roman"/>
                <w:bCs/>
                <w:color w:val="auto"/>
                <w:sz w:val="21"/>
                <w:szCs w:val="21"/>
                <w:highlight w:val="none"/>
                <w:lang w:val="en-US" w:eastAsia="zh-CN"/>
              </w:rPr>
              <w:t>，本项目设置容积为</w:t>
            </w:r>
            <w:r>
              <w:rPr>
                <w:rFonts w:hint="eastAsia" w:cs="Times New Roman"/>
                <w:bCs/>
                <w:color w:val="auto"/>
                <w:sz w:val="21"/>
                <w:szCs w:val="21"/>
                <w:highlight w:val="none"/>
                <w:lang w:val="en-US" w:eastAsia="zh-CN"/>
              </w:rPr>
              <w:t>100</w:t>
            </w:r>
            <w:r>
              <w:rPr>
                <w:rFonts w:hint="default" w:ascii="Times New Roman" w:hAnsi="Times New Roman" w:eastAsia="宋体" w:cs="Times New Roman"/>
                <w:bCs/>
                <w:color w:val="auto"/>
                <w:sz w:val="21"/>
                <w:szCs w:val="21"/>
                <w:highlight w:val="none"/>
                <w:lang w:val="en-US" w:eastAsia="zh-CN"/>
              </w:rPr>
              <w:t>m</w:t>
            </w:r>
            <w:r>
              <w:rPr>
                <w:rFonts w:hint="default" w:ascii="Times New Roman" w:hAnsi="Times New Roman" w:eastAsia="宋体" w:cs="Times New Roman"/>
                <w:bCs/>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vertAlign w:val="baseline"/>
                <w:lang w:val="en-US" w:eastAsia="zh-CN"/>
              </w:rPr>
              <w:t>（10*</w:t>
            </w:r>
            <w:r>
              <w:rPr>
                <w:rFonts w:hint="eastAsia" w:cs="Times New Roman"/>
                <w:bCs/>
                <w:color w:val="auto"/>
                <w:sz w:val="21"/>
                <w:szCs w:val="21"/>
                <w:highlight w:val="none"/>
                <w:vertAlign w:val="baseline"/>
                <w:lang w:val="en-US" w:eastAsia="zh-CN"/>
              </w:rPr>
              <w:t>3.33</w:t>
            </w:r>
            <w:r>
              <w:rPr>
                <w:rFonts w:hint="default" w:ascii="Times New Roman" w:hAnsi="Times New Roman" w:cs="Times New Roman"/>
                <w:bCs/>
                <w:color w:val="auto"/>
                <w:sz w:val="21"/>
                <w:szCs w:val="21"/>
                <w:highlight w:val="none"/>
                <w:vertAlign w:val="baseline"/>
                <w:lang w:val="en-US" w:eastAsia="zh-CN"/>
              </w:rPr>
              <w:t>*3）初期</w:t>
            </w:r>
            <w:r>
              <w:rPr>
                <w:rFonts w:hint="default" w:ascii="Times New Roman" w:hAnsi="Times New Roman" w:eastAsia="宋体" w:cs="Times New Roman"/>
                <w:bCs/>
                <w:color w:val="auto"/>
                <w:sz w:val="21"/>
                <w:szCs w:val="21"/>
                <w:highlight w:val="none"/>
                <w:lang w:val="en-US" w:eastAsia="zh-CN"/>
              </w:rPr>
              <w:t>雨水收集池用于收集</w:t>
            </w:r>
            <w:r>
              <w:rPr>
                <w:rFonts w:hint="default" w:ascii="Times New Roman" w:hAnsi="Times New Roman" w:cs="Times New Roman"/>
                <w:bCs/>
                <w:color w:val="auto"/>
                <w:sz w:val="21"/>
                <w:szCs w:val="21"/>
                <w:highlight w:val="none"/>
                <w:lang w:val="en-US" w:eastAsia="zh-CN"/>
              </w:rPr>
              <w:t>初期</w:t>
            </w:r>
            <w:r>
              <w:rPr>
                <w:rFonts w:hint="default" w:ascii="Times New Roman" w:hAnsi="Times New Roman" w:eastAsia="宋体" w:cs="Times New Roman"/>
                <w:bCs/>
                <w:color w:val="auto"/>
                <w:sz w:val="21"/>
                <w:szCs w:val="21"/>
                <w:highlight w:val="none"/>
                <w:lang w:val="en-US" w:eastAsia="zh-CN"/>
              </w:rPr>
              <w:t>雨水，收集沉淀后用于降尘用水。</w:t>
            </w:r>
          </w:p>
          <w:p w14:paraId="6B2F3ED0">
            <w:pPr>
              <w:pStyle w:val="2"/>
              <w:ind w:firstLine="0" w:firstLineChars="0"/>
              <w:jc w:val="center"/>
              <w:rPr>
                <w:rFonts w:hint="default" w:ascii="Times New Roman" w:hAnsi="Times New Roman" w:cs="Times New Roman"/>
                <w:color w:val="auto"/>
                <w:sz w:val="21"/>
                <w:szCs w:val="21"/>
                <w:highlight w:val="none"/>
              </w:rPr>
            </w:pPr>
            <w:r>
              <w:rPr>
                <w:color w:val="auto"/>
                <w:highlight w:val="none"/>
              </w:rPr>
              <w:drawing>
                <wp:inline distT="0" distB="0" distL="114300" distR="114300">
                  <wp:extent cx="3985895" cy="3881120"/>
                  <wp:effectExtent l="0" t="0" r="14605" b="508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3"/>
                          <a:stretch>
                            <a:fillRect/>
                          </a:stretch>
                        </pic:blipFill>
                        <pic:spPr>
                          <a:xfrm>
                            <a:off x="0" y="0"/>
                            <a:ext cx="3985895" cy="3881120"/>
                          </a:xfrm>
                          <a:prstGeom prst="rect">
                            <a:avLst/>
                          </a:prstGeom>
                          <a:noFill/>
                          <a:ln>
                            <a:noFill/>
                          </a:ln>
                        </pic:spPr>
                      </pic:pic>
                    </a:graphicData>
                  </a:graphic>
                </wp:inline>
              </w:drawing>
            </w:r>
          </w:p>
          <w:p w14:paraId="45181F6B">
            <w:pPr>
              <w:adjustRightInd w:val="0"/>
              <w:snapToGrid w:val="0"/>
              <w:jc w:val="center"/>
              <w:rPr>
                <w:color w:val="auto"/>
                <w:highlight w:val="none"/>
              </w:rPr>
            </w:pPr>
            <w:r>
              <w:rPr>
                <w:color w:val="auto"/>
                <w:highlight w:val="none"/>
              </w:rPr>
              <w:drawing>
                <wp:inline distT="0" distB="0" distL="114300" distR="114300">
                  <wp:extent cx="4053840" cy="3914140"/>
                  <wp:effectExtent l="0" t="0" r="3810" b="1016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24"/>
                          <a:stretch>
                            <a:fillRect/>
                          </a:stretch>
                        </pic:blipFill>
                        <pic:spPr>
                          <a:xfrm>
                            <a:off x="0" y="0"/>
                            <a:ext cx="4053840" cy="3914140"/>
                          </a:xfrm>
                          <a:prstGeom prst="rect">
                            <a:avLst/>
                          </a:prstGeom>
                          <a:noFill/>
                          <a:ln>
                            <a:noFill/>
                          </a:ln>
                        </pic:spPr>
                      </pic:pic>
                    </a:graphicData>
                  </a:graphic>
                </wp:inline>
              </w:drawing>
            </w:r>
          </w:p>
          <w:p w14:paraId="4725F89E">
            <w:pPr>
              <w:adjustRightInd w:val="0"/>
              <w:snapToGrid w:val="0"/>
              <w:jc w:val="center"/>
              <w:rPr>
                <w:rFonts w:hint="default"/>
                <w:color w:val="auto"/>
                <w:highlight w:val="none"/>
                <w:lang w:val="en-US" w:eastAsia="zh-CN"/>
              </w:rPr>
            </w:pPr>
            <w:r>
              <w:rPr>
                <w:rFonts w:hint="default" w:ascii="Times New Roman" w:hAnsi="Times New Roman" w:eastAsia="宋体" w:cs="Times New Roman"/>
                <w:b/>
                <w:bCs/>
                <w:color w:val="auto"/>
                <w:kern w:val="2"/>
                <w:sz w:val="21"/>
                <w:szCs w:val="21"/>
                <w:highlight w:val="none"/>
                <w:lang w:val="en-US" w:eastAsia="zh-CN" w:bidi="ar-SA"/>
              </w:rPr>
              <w:t>图4-1  暴雨强度及雨水流量计算截图</w:t>
            </w:r>
          </w:p>
          <w:p w14:paraId="49589673">
            <w:pPr>
              <w:numPr>
                <w:ilvl w:val="0"/>
                <w:numId w:val="0"/>
              </w:numPr>
              <w:spacing w:line="500" w:lineRule="exact"/>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水环境影响分析</w:t>
            </w:r>
          </w:p>
          <w:p w14:paraId="4F454858">
            <w:pPr>
              <w:numPr>
                <w:ilvl w:val="0"/>
                <w:numId w:val="0"/>
              </w:numPr>
              <w:spacing w:line="500" w:lineRule="exact"/>
              <w:ind w:firstLine="420" w:firstLineChars="200"/>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val="en-US" w:eastAsia="zh-CN"/>
              </w:rPr>
              <w:t>本项目产生的生活污水排入防渗旱厕，定期清掏外运堆肥，厂区四周设置雨水导流槽，收集厂区全部初期雨水，根据计算可知，100m</w:t>
            </w:r>
            <w:r>
              <w:rPr>
                <w:rFonts w:hint="default" w:ascii="Times New Roman" w:hAnsi="Times New Roman" w:cs="Times New Roman"/>
                <w:color w:val="auto"/>
                <w:kern w:val="0"/>
                <w:sz w:val="21"/>
                <w:szCs w:val="21"/>
                <w:highlight w:val="none"/>
                <w:vertAlign w:val="superscript"/>
                <w:lang w:val="en-US" w:eastAsia="zh-CN"/>
              </w:rPr>
              <w:t>3</w:t>
            </w:r>
            <w:r>
              <w:rPr>
                <w:rFonts w:hint="default" w:ascii="Times New Roman" w:hAnsi="Times New Roman" w:cs="Times New Roman"/>
                <w:color w:val="auto"/>
                <w:kern w:val="0"/>
                <w:sz w:val="21"/>
                <w:szCs w:val="21"/>
                <w:highlight w:val="none"/>
                <w:lang w:val="en-US" w:eastAsia="zh-CN"/>
              </w:rPr>
              <w:t>收集池可满足厂区前15分钟初期雨水收集需求，初期雨水收集池沉淀后回用于生产，堆场及道路洒水、喷雾用水全部进入煤炭或自然蒸发，无废水产生。因此，本项目产生的生活污水，初期雨水均不会排放至外环境，对周边环境以及厂区西侧150m处黄泥河影响较小，在可接受范围内。</w:t>
            </w:r>
          </w:p>
          <w:p w14:paraId="4EC2B88A">
            <w:pPr>
              <w:numPr>
                <w:ilvl w:val="0"/>
                <w:numId w:val="0"/>
              </w:numPr>
              <w:spacing w:line="500" w:lineRule="exact"/>
              <w:ind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环保措施可行性分析</w:t>
            </w:r>
          </w:p>
          <w:p w14:paraId="2D3EABBA">
            <w:pPr>
              <w:numPr>
                <w:ilvl w:val="0"/>
                <w:numId w:val="0"/>
              </w:numPr>
              <w:spacing w:line="500" w:lineRule="exact"/>
              <w:ind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本项目设置防渗旱厕可以有效地防止生活污水渗漏污染地下水。定期清掏外运堆肥是一种传统的生活污水处理方式，对于水量较小的生活污水来说是可行的。生活污水的产生量相对较小，防渗旱厕可以满足其储存和处理的需求。初期雨水采用雨水导流沟收集至初期雨水收集池，沉淀处理能够去除雨水中的泥沙、悬浮物等杂质，使雨水达到可用于厂区洒水降尘的水质要求。初期雨水量通常相对有限，经过沉淀处理后用于厂区洒水降尘，在合理规划和管理下，一般不会出现过剩的情况。由上文可知，本项目雨水收集池体积通过鸡西市暴雨强度推导出雨水汇水量进而计算得出的，项目雨水收集池体积在计算结果上进行增加，初期雨水收集池池容能够满足初期雨水收集需求，故本项目采取的废水环保措施是可行的。</w:t>
            </w:r>
          </w:p>
          <w:p w14:paraId="30F47C84">
            <w:pPr>
              <w:numPr>
                <w:ilvl w:val="0"/>
                <w:numId w:val="0"/>
              </w:numPr>
              <w:spacing w:line="500" w:lineRule="exact"/>
              <w:ind w:firstLine="420" w:firstLineChars="20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雨水：在鸡西市</w:t>
            </w:r>
            <w:r>
              <w:rPr>
                <w:rFonts w:hint="default" w:ascii="Times New Roman" w:hAnsi="Times New Roman" w:cs="Times New Roman"/>
                <w:color w:val="auto"/>
                <w:sz w:val="21"/>
                <w:szCs w:val="21"/>
                <w:highlight w:val="none"/>
                <w:lang w:eastAsia="zh-CN"/>
              </w:rPr>
              <w:t>近十年</w:t>
            </w:r>
            <w:r>
              <w:rPr>
                <w:rFonts w:hint="default" w:ascii="Times New Roman" w:hAnsi="Times New Roman" w:cs="Times New Roman"/>
                <w:color w:val="auto"/>
                <w:sz w:val="21"/>
                <w:szCs w:val="21"/>
                <w:highlight w:val="none"/>
                <w:lang w:val="en-US" w:eastAsia="zh-CN"/>
              </w:rPr>
              <w:t>年均</w:t>
            </w:r>
            <w:r>
              <w:rPr>
                <w:rFonts w:hint="default" w:ascii="Times New Roman" w:hAnsi="Times New Roman" w:cs="Times New Roman"/>
                <w:color w:val="auto"/>
                <w:sz w:val="21"/>
                <w:szCs w:val="21"/>
                <w:highlight w:val="none"/>
                <w:lang w:eastAsia="zh-CN"/>
              </w:rPr>
              <w:t>降雨量为55</w:t>
            </w:r>
            <w:r>
              <w:rPr>
                <w:rFonts w:hint="default" w:ascii="Times New Roman" w:hAnsi="Times New Roman" w:cs="Times New Roman"/>
                <w:color w:val="auto"/>
                <w:sz w:val="21"/>
                <w:szCs w:val="21"/>
                <w:highlight w:val="none"/>
                <w:lang w:val="en-US" w:eastAsia="zh-CN"/>
              </w:rPr>
              <w:t>9</w:t>
            </w:r>
            <w:r>
              <w:rPr>
                <w:rFonts w:hint="default" w:ascii="Times New Roman" w:hAnsi="Times New Roman" w:cs="Times New Roman"/>
                <w:color w:val="auto"/>
                <w:sz w:val="21"/>
                <w:szCs w:val="21"/>
                <w:highlight w:val="none"/>
                <w:lang w:eastAsia="zh-CN"/>
              </w:rPr>
              <w:t>mm，</w:t>
            </w:r>
            <w:r>
              <w:rPr>
                <w:rFonts w:hint="default" w:ascii="Times New Roman" w:hAnsi="Times New Roman" w:cs="Times New Roman"/>
                <w:color w:val="auto"/>
                <w:sz w:val="21"/>
                <w:szCs w:val="21"/>
                <w:highlight w:val="none"/>
                <w:lang w:val="en-US" w:eastAsia="zh-CN"/>
              </w:rPr>
              <w:t>径流系数取0.</w:t>
            </w:r>
            <w:r>
              <w:rPr>
                <w:rFonts w:hint="eastAsia" w:cs="Times New Roman"/>
                <w:color w:val="auto"/>
                <w:sz w:val="21"/>
                <w:szCs w:val="21"/>
                <w:highlight w:val="none"/>
                <w:lang w:val="en-US" w:eastAsia="zh-CN"/>
              </w:rPr>
              <w:t>6、0.9</w:t>
            </w:r>
            <w:r>
              <w:rPr>
                <w:rFonts w:hint="default" w:ascii="Times New Roman" w:hAnsi="Times New Roman" w:cs="Times New Roman"/>
                <w:color w:val="auto"/>
                <w:sz w:val="21"/>
                <w:szCs w:val="21"/>
                <w:highlight w:val="none"/>
                <w:lang w:val="en-US" w:eastAsia="zh-CN"/>
              </w:rPr>
              <w:t>，以平均降雨量集中在降雨前3h计，初期雨水为前15分钟降水，年均收集雨水量及年均初期雨水量计算公式如下：</w:t>
            </w:r>
          </w:p>
          <w:p w14:paraId="0FDDFD80">
            <w:pPr>
              <w:numPr>
                <w:ilvl w:val="0"/>
                <w:numId w:val="0"/>
              </w:numPr>
              <w:spacing w:line="500" w:lineRule="exact"/>
              <w:ind w:firstLine="420" w:firstLineChars="200"/>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年均雨水量=年均降雨量*径流系数*汇水面积</w:t>
            </w:r>
            <w:r>
              <w:rPr>
                <w:rFonts w:hint="default" w:ascii="Times New Roman" w:hAnsi="Times New Roman" w:cs="Times New Roman"/>
                <w:b/>
                <w:bCs/>
                <w:color w:val="auto"/>
                <w:kern w:val="2"/>
                <w:sz w:val="21"/>
                <w:szCs w:val="21"/>
                <w:highlight w:val="none"/>
                <w:lang w:val="en-US" w:eastAsia="zh-CN" w:bidi="ar-SA"/>
              </w:rPr>
              <w:t xml:space="preserve">  </w:t>
            </w:r>
          </w:p>
          <w:p w14:paraId="07591BD8">
            <w:pPr>
              <w:numPr>
                <w:ilvl w:val="0"/>
                <w:numId w:val="0"/>
              </w:numPr>
              <w:spacing w:line="500" w:lineRule="exact"/>
              <w:ind w:firstLine="420" w:firstLineChars="200"/>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年均初期雨水量=年均降雨量*径流系数*汇水面积*15/180</w:t>
            </w:r>
            <w:r>
              <w:rPr>
                <w:rFonts w:hint="default" w:ascii="Times New Roman" w:hAnsi="Times New Roman" w:cs="Times New Roman"/>
                <w:b/>
                <w:bCs/>
                <w:color w:val="auto"/>
                <w:kern w:val="2"/>
                <w:sz w:val="21"/>
                <w:szCs w:val="21"/>
                <w:highlight w:val="none"/>
                <w:lang w:val="en-US" w:eastAsia="zh-CN" w:bidi="ar-SA"/>
              </w:rPr>
              <w:t xml:space="preserve">              </w:t>
            </w:r>
          </w:p>
          <w:p w14:paraId="07BED6BB">
            <w:pPr>
              <w:numPr>
                <w:ilvl w:val="0"/>
                <w:numId w:val="0"/>
              </w:numPr>
              <w:spacing w:line="500" w:lineRule="exact"/>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由上式计算可知，储煤场年雨水量</w:t>
            </w:r>
            <w:r>
              <w:rPr>
                <w:rFonts w:hint="eastAsia" w:cs="Times New Roman"/>
                <w:color w:val="auto"/>
                <w:sz w:val="21"/>
                <w:szCs w:val="21"/>
                <w:highlight w:val="none"/>
                <w:lang w:val="en-US" w:eastAsia="zh-CN"/>
              </w:rPr>
              <w:t>3614</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，年初期雨水量为</w:t>
            </w:r>
            <w:r>
              <w:rPr>
                <w:rFonts w:hint="eastAsia" w:cs="Times New Roman"/>
                <w:color w:val="auto"/>
                <w:sz w:val="21"/>
                <w:szCs w:val="21"/>
                <w:highlight w:val="none"/>
                <w:lang w:val="en-US" w:eastAsia="zh-CN"/>
              </w:rPr>
              <w:t>300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，根据上文水平衡可知，堆场及道路洒水年使用量</w:t>
            </w:r>
            <w:r>
              <w:rPr>
                <w:rFonts w:hint="eastAsia" w:cs="Times New Roman"/>
                <w:color w:val="auto"/>
                <w:sz w:val="21"/>
                <w:szCs w:val="21"/>
                <w:highlight w:val="none"/>
                <w:lang w:val="en-US" w:eastAsia="zh-CN"/>
              </w:rPr>
              <w:t>3610.8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，收集的初期雨水能够全部被消纳。</w:t>
            </w:r>
          </w:p>
          <w:p w14:paraId="064F7660">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 xml:space="preserve">  废水污染物排放源</w:t>
            </w:r>
          </w:p>
          <w:tbl>
            <w:tblPr>
              <w:tblStyle w:val="24"/>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988"/>
              <w:gridCol w:w="1278"/>
              <w:gridCol w:w="1427"/>
              <w:gridCol w:w="1341"/>
              <w:gridCol w:w="2546"/>
            </w:tblGrid>
            <w:tr w14:paraId="1D543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308B2EBB">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产排污环节</w:t>
                  </w:r>
                </w:p>
              </w:tc>
              <w:tc>
                <w:tcPr>
                  <w:tcW w:w="569" w:type="pct"/>
                  <w:noWrap w:val="0"/>
                  <w:vAlign w:val="center"/>
                </w:tcPr>
                <w:p w14:paraId="45009FB0">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污染物种类</w:t>
                  </w:r>
                </w:p>
              </w:tc>
              <w:tc>
                <w:tcPr>
                  <w:tcW w:w="736" w:type="pct"/>
                  <w:noWrap w:val="0"/>
                  <w:vAlign w:val="center"/>
                </w:tcPr>
                <w:p w14:paraId="684696B7">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污染物产生量t/a</w:t>
                  </w:r>
                </w:p>
              </w:tc>
              <w:tc>
                <w:tcPr>
                  <w:tcW w:w="822" w:type="pct"/>
                  <w:noWrap w:val="0"/>
                  <w:vAlign w:val="center"/>
                </w:tcPr>
                <w:p w14:paraId="1D63A112">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污染物产生浓度mg/L</w:t>
                  </w:r>
                </w:p>
              </w:tc>
              <w:tc>
                <w:tcPr>
                  <w:tcW w:w="772" w:type="pct"/>
                  <w:noWrap w:val="0"/>
                  <w:vAlign w:val="center"/>
                </w:tcPr>
                <w:p w14:paraId="4A7AA32E">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排放形式</w:t>
                  </w:r>
                </w:p>
              </w:tc>
              <w:tc>
                <w:tcPr>
                  <w:tcW w:w="1466" w:type="pct"/>
                  <w:noWrap w:val="0"/>
                  <w:vAlign w:val="center"/>
                </w:tcPr>
                <w:p w14:paraId="0DAFE8FD">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治理设施</w:t>
                  </w:r>
                </w:p>
              </w:tc>
            </w:tr>
            <w:tr w14:paraId="284DF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restart"/>
                  <w:noWrap w:val="0"/>
                  <w:vAlign w:val="center"/>
                </w:tcPr>
                <w:p w14:paraId="0CEFCDD5">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生活污水</w:t>
                  </w:r>
                </w:p>
              </w:tc>
              <w:tc>
                <w:tcPr>
                  <w:tcW w:w="569" w:type="pct"/>
                  <w:noWrap w:val="0"/>
                  <w:vAlign w:val="center"/>
                </w:tcPr>
                <w:p w14:paraId="53C86225">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COD</w:t>
                  </w:r>
                </w:p>
              </w:tc>
              <w:tc>
                <w:tcPr>
                  <w:tcW w:w="736" w:type="pct"/>
                  <w:noWrap w:val="0"/>
                  <w:vAlign w:val="center"/>
                </w:tcPr>
                <w:p w14:paraId="306F8948">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rPr>
                    <w:t>0.0</w:t>
                  </w:r>
                  <w:r>
                    <w:rPr>
                      <w:rFonts w:hint="eastAsia" w:cs="Times New Roman"/>
                      <w:bCs/>
                      <w:color w:val="auto"/>
                      <w:sz w:val="18"/>
                      <w:szCs w:val="18"/>
                      <w:highlight w:val="none"/>
                      <w:lang w:val="en-US" w:eastAsia="zh-CN"/>
                    </w:rPr>
                    <w:t>336</w:t>
                  </w:r>
                </w:p>
              </w:tc>
              <w:tc>
                <w:tcPr>
                  <w:tcW w:w="822" w:type="pct"/>
                  <w:noWrap w:val="0"/>
                  <w:vAlign w:val="center"/>
                </w:tcPr>
                <w:p w14:paraId="39CA35E6">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300</w:t>
                  </w:r>
                </w:p>
              </w:tc>
              <w:tc>
                <w:tcPr>
                  <w:tcW w:w="772" w:type="pct"/>
                  <w:noWrap w:val="0"/>
                  <w:vAlign w:val="center"/>
                </w:tcPr>
                <w:p w14:paraId="5E47A788">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不排放</w:t>
                  </w:r>
                </w:p>
              </w:tc>
              <w:tc>
                <w:tcPr>
                  <w:tcW w:w="1466" w:type="pct"/>
                  <w:vMerge w:val="restart"/>
                  <w:noWrap w:val="0"/>
                  <w:vAlign w:val="center"/>
                </w:tcPr>
                <w:p w14:paraId="470DF77E">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排入防渗旱厕、定期清掏</w:t>
                  </w:r>
                </w:p>
              </w:tc>
            </w:tr>
            <w:tr w14:paraId="506C2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noWrap w:val="0"/>
                  <w:vAlign w:val="center"/>
                </w:tcPr>
                <w:p w14:paraId="0BEBBB22">
                  <w:pPr>
                    <w:adjustRightInd w:val="0"/>
                    <w:snapToGrid w:val="0"/>
                    <w:jc w:val="center"/>
                    <w:rPr>
                      <w:rFonts w:hint="default" w:ascii="Times New Roman" w:hAnsi="Times New Roman" w:eastAsia="宋体" w:cs="Times New Roman"/>
                      <w:bCs/>
                      <w:color w:val="auto"/>
                      <w:sz w:val="18"/>
                      <w:szCs w:val="18"/>
                      <w:highlight w:val="none"/>
                    </w:rPr>
                  </w:pPr>
                </w:p>
              </w:tc>
              <w:tc>
                <w:tcPr>
                  <w:tcW w:w="569" w:type="pct"/>
                  <w:noWrap w:val="0"/>
                  <w:vAlign w:val="center"/>
                </w:tcPr>
                <w:p w14:paraId="62C3CEA9">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氨氮</w:t>
                  </w:r>
                </w:p>
              </w:tc>
              <w:tc>
                <w:tcPr>
                  <w:tcW w:w="736" w:type="pct"/>
                  <w:noWrap w:val="0"/>
                  <w:vAlign w:val="center"/>
                </w:tcPr>
                <w:p w14:paraId="4F09DDE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rPr>
                    <w:t>0.</w:t>
                  </w:r>
                  <w:r>
                    <w:rPr>
                      <w:rFonts w:hint="default" w:ascii="Times New Roman" w:hAnsi="Times New Roman" w:cs="Times New Roman"/>
                      <w:bCs/>
                      <w:color w:val="auto"/>
                      <w:sz w:val="18"/>
                      <w:szCs w:val="18"/>
                      <w:highlight w:val="none"/>
                      <w:lang w:val="en-US" w:eastAsia="zh-CN"/>
                    </w:rPr>
                    <w:t>00</w:t>
                  </w:r>
                  <w:r>
                    <w:rPr>
                      <w:rFonts w:hint="eastAsia" w:cs="Times New Roman"/>
                      <w:bCs/>
                      <w:color w:val="auto"/>
                      <w:sz w:val="18"/>
                      <w:szCs w:val="18"/>
                      <w:highlight w:val="none"/>
                      <w:lang w:val="en-US" w:eastAsia="zh-CN"/>
                    </w:rPr>
                    <w:t>224</w:t>
                  </w:r>
                </w:p>
              </w:tc>
              <w:tc>
                <w:tcPr>
                  <w:tcW w:w="822" w:type="pct"/>
                  <w:noWrap w:val="0"/>
                  <w:vAlign w:val="center"/>
                </w:tcPr>
                <w:p w14:paraId="7AD3464B">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20</w:t>
                  </w:r>
                </w:p>
              </w:tc>
              <w:tc>
                <w:tcPr>
                  <w:tcW w:w="772" w:type="pct"/>
                  <w:noWrap w:val="0"/>
                  <w:vAlign w:val="center"/>
                </w:tcPr>
                <w:p w14:paraId="07C4E54B">
                  <w:pPr>
                    <w:adjustRightInd w:val="0"/>
                    <w:snapToGrid w:val="0"/>
                    <w:jc w:val="center"/>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bCs/>
                      <w:color w:val="auto"/>
                      <w:sz w:val="18"/>
                      <w:szCs w:val="18"/>
                      <w:highlight w:val="none"/>
                    </w:rPr>
                    <w:t>不排放</w:t>
                  </w:r>
                </w:p>
              </w:tc>
              <w:tc>
                <w:tcPr>
                  <w:tcW w:w="1466" w:type="pct"/>
                  <w:vMerge w:val="continue"/>
                  <w:noWrap w:val="0"/>
                  <w:vAlign w:val="center"/>
                </w:tcPr>
                <w:p w14:paraId="09C7690C">
                  <w:pPr>
                    <w:adjustRightInd w:val="0"/>
                    <w:snapToGrid w:val="0"/>
                    <w:jc w:val="center"/>
                    <w:rPr>
                      <w:rFonts w:hint="default" w:ascii="Times New Roman" w:hAnsi="Times New Roman" w:eastAsia="宋体" w:cs="Times New Roman"/>
                      <w:bCs/>
                      <w:color w:val="auto"/>
                      <w:sz w:val="18"/>
                      <w:szCs w:val="18"/>
                      <w:highlight w:val="none"/>
                    </w:rPr>
                  </w:pPr>
                </w:p>
              </w:tc>
            </w:tr>
            <w:tr w14:paraId="023AF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33" w:type="pct"/>
                  <w:noWrap w:val="0"/>
                  <w:vAlign w:val="center"/>
                </w:tcPr>
                <w:p w14:paraId="36B2BA55">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初期雨水</w:t>
                  </w:r>
                </w:p>
              </w:tc>
              <w:tc>
                <w:tcPr>
                  <w:tcW w:w="569" w:type="pct"/>
                  <w:noWrap w:val="0"/>
                  <w:vAlign w:val="center"/>
                </w:tcPr>
                <w:p w14:paraId="2C9CAB8F">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SS</w:t>
                  </w:r>
                </w:p>
              </w:tc>
              <w:tc>
                <w:tcPr>
                  <w:tcW w:w="736" w:type="pct"/>
                  <w:noWrap w:val="0"/>
                  <w:vAlign w:val="center"/>
                </w:tcPr>
                <w:p w14:paraId="2399E4CD">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0.21</w:t>
                  </w:r>
                </w:p>
              </w:tc>
              <w:tc>
                <w:tcPr>
                  <w:tcW w:w="822" w:type="pct"/>
                  <w:noWrap w:val="0"/>
                  <w:vAlign w:val="center"/>
                </w:tcPr>
                <w:p w14:paraId="14BB0BE4">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700</w:t>
                  </w:r>
                </w:p>
              </w:tc>
              <w:tc>
                <w:tcPr>
                  <w:tcW w:w="772" w:type="pct"/>
                  <w:noWrap w:val="0"/>
                  <w:vAlign w:val="center"/>
                </w:tcPr>
                <w:p w14:paraId="2C3868AF">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不排放</w:t>
                  </w:r>
                </w:p>
              </w:tc>
              <w:tc>
                <w:tcPr>
                  <w:tcW w:w="1466" w:type="pct"/>
                  <w:noWrap w:val="0"/>
                  <w:vAlign w:val="center"/>
                </w:tcPr>
                <w:p w14:paraId="2849A118">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洒水降尘</w:t>
                  </w:r>
                </w:p>
              </w:tc>
            </w:tr>
          </w:tbl>
          <w:p w14:paraId="6B411E39">
            <w:pPr>
              <w:pStyle w:val="35"/>
              <w:spacing w:before="0" w:beforeLines="0" w:after="0" w:afterLines="0" w:line="360" w:lineRule="auto"/>
              <w:ind w:firstLine="0" w:firstLineChars="0"/>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、噪声</w:t>
            </w:r>
          </w:p>
          <w:p w14:paraId="2EF05D63">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（1）噪声污染源源强</w:t>
            </w:r>
          </w:p>
          <w:p w14:paraId="246629F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本项目噪声主要</w:t>
            </w:r>
            <w:r>
              <w:rPr>
                <w:rFonts w:hint="default" w:ascii="Times New Roman" w:hAnsi="Times New Roman" w:eastAsia="宋体" w:cs="Times New Roman"/>
                <w:bCs/>
                <w:color w:val="auto"/>
                <w:sz w:val="21"/>
                <w:szCs w:val="21"/>
                <w:highlight w:val="none"/>
                <w:lang w:val="en-US" w:eastAsia="zh-CN"/>
              </w:rPr>
              <w:t>为</w:t>
            </w:r>
            <w:r>
              <w:rPr>
                <w:rFonts w:hint="default" w:ascii="Times New Roman" w:hAnsi="Times New Roman" w:cs="Times New Roman"/>
                <w:bCs/>
                <w:color w:val="auto"/>
                <w:sz w:val="21"/>
                <w:szCs w:val="21"/>
                <w:highlight w:val="none"/>
                <w:lang w:val="en-US" w:eastAsia="zh-CN"/>
              </w:rPr>
              <w:t>厂区内铲车、运输车辆</w:t>
            </w:r>
            <w:r>
              <w:rPr>
                <w:rFonts w:hint="default" w:ascii="Times New Roman" w:hAnsi="Times New Roman" w:eastAsia="宋体" w:cs="Times New Roman"/>
                <w:color w:val="auto"/>
                <w:sz w:val="21"/>
                <w:szCs w:val="21"/>
                <w:highlight w:val="none"/>
                <w:lang w:val="en-US" w:eastAsia="zh-CN"/>
              </w:rPr>
              <w:t>设备运行产生的机械噪声。本项目针对各种机械设备的噪声，采取的治理措施有：企业在购买时选用低噪声设备；平时加强设备的维护，使设备长期运行在良好状态，为了减少噪声对周围环境的影响。根据类比调查，噪声源强在</w:t>
            </w:r>
            <w:r>
              <w:rPr>
                <w:rFonts w:hint="default" w:ascii="Times New Roman" w:hAnsi="Times New Roman" w:cs="Times New Roman"/>
                <w:color w:val="auto"/>
                <w:sz w:val="21"/>
                <w:szCs w:val="21"/>
                <w:highlight w:val="none"/>
                <w:lang w:val="en-US" w:eastAsia="zh-CN"/>
              </w:rPr>
              <w:t>70</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lang w:val="en-US" w:eastAsia="zh-CN"/>
              </w:rPr>
              <w:t>dB</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，根据工程设备噪声源强分析及对其采取噪声控制措施，通过公式计算厂界噪声值。</w:t>
            </w:r>
          </w:p>
          <w:p w14:paraId="4FC57A2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噪声预测按照《环境影响评价技术导则 声环境》（HJ2.4-2021）进行。</w:t>
            </w:r>
          </w:p>
          <w:p w14:paraId="0380D26F">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如果声源处于半自由声场，计算公式如下：</w:t>
            </w:r>
          </w:p>
          <w:p w14:paraId="0C13C17A">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position w:val="-14"/>
                <w:sz w:val="21"/>
                <w:szCs w:val="21"/>
                <w:highlight w:val="none"/>
              </w:rPr>
              <w:object>
                <v:shape id="_x0000_i1025" o:spt="75" type="#_x0000_t75" style="height:18.8pt;width:110.2pt;" o:ole="t" filled="f" o:preferrelative="t" stroked="f" coordsize="21600,21600">
                  <v:path/>
                  <v:fill on="f" focussize="0,0"/>
                  <v:stroke on="f" joinstyle="miter"/>
                  <v:imagedata r:id="rId26" o:title=""/>
                  <o:lock v:ext="edit" aspectratio="t"/>
                  <w10:wrap type="none"/>
                  <w10:anchorlock/>
                </v:shape>
                <o:OLEObject Type="Embed" ProgID="Equation.3" ShapeID="_x0000_i1025" DrawAspect="Content" ObjectID="_1468075725" r:id="rId25">
                  <o:LockedField>false</o:LockedField>
                </o:OLEObject>
              </w:object>
            </w:r>
          </w:p>
          <w:p w14:paraId="66B0E723">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式中：L</w:t>
            </w:r>
            <w:r>
              <w:rPr>
                <w:rFonts w:hint="default" w:ascii="Times New Roman" w:hAnsi="Times New Roman" w:cs="Times New Roman"/>
                <w:bCs/>
                <w:color w:val="auto"/>
                <w:sz w:val="21"/>
                <w:szCs w:val="21"/>
                <w:highlight w:val="none"/>
                <w:vertAlign w:val="subscript"/>
              </w:rPr>
              <w:t>p</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r</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——预测点处声压级，dB；</w:t>
            </w:r>
          </w:p>
          <w:p w14:paraId="527CD8A2">
            <w:pPr>
              <w:keepNext w:val="0"/>
              <w:keepLines w:val="0"/>
              <w:suppressLineNumbers w:val="0"/>
              <w:adjustRightInd w:val="0"/>
              <w:snapToGrid w:val="0"/>
              <w:spacing w:before="0" w:beforeAutospacing="0" w:after="0" w:afterAutospacing="0" w:line="360" w:lineRule="auto"/>
              <w:ind w:left="0" w:right="0"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L</w:t>
            </w:r>
            <w:r>
              <w:rPr>
                <w:rFonts w:hint="default" w:ascii="Times New Roman" w:hAnsi="Times New Roman" w:cs="Times New Roman"/>
                <w:bCs/>
                <w:color w:val="auto"/>
                <w:sz w:val="21"/>
                <w:szCs w:val="21"/>
                <w:highlight w:val="none"/>
                <w:vertAlign w:val="subscript"/>
              </w:rPr>
              <w:t>w</w:t>
            </w:r>
            <w:r>
              <w:rPr>
                <w:rFonts w:hint="default" w:ascii="Times New Roman" w:hAnsi="Times New Roman" w:cs="Times New Roman"/>
                <w:bCs/>
                <w:color w:val="auto"/>
                <w:sz w:val="21"/>
                <w:szCs w:val="21"/>
                <w:highlight w:val="none"/>
              </w:rPr>
              <w:t>——由点声源产生的倍频带声功率级，dB；</w:t>
            </w:r>
          </w:p>
          <w:p w14:paraId="4D6C0FFA">
            <w:pPr>
              <w:keepNext w:val="0"/>
              <w:keepLines w:val="0"/>
              <w:suppressLineNumbers w:val="0"/>
              <w:adjustRightInd w:val="0"/>
              <w:snapToGrid w:val="0"/>
              <w:spacing w:before="0" w:beforeAutospacing="0" w:after="0" w:afterAutospacing="0" w:line="360" w:lineRule="auto"/>
              <w:ind w:left="0" w:right="0"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r——预测点距声源的距离。</w:t>
            </w:r>
          </w:p>
          <w:p w14:paraId="1C4F74FD">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噪声贡献值</w:t>
            </w:r>
            <w:r>
              <w:rPr>
                <w:rFonts w:hint="default" w:ascii="Times New Roman" w:hAnsi="Times New Roman" w:cs="Times New Roman"/>
                <w:color w:val="auto"/>
                <w:sz w:val="21"/>
                <w:szCs w:val="21"/>
                <w:highlight w:val="none"/>
              </w:rPr>
              <w:t>计算公式</w:t>
            </w:r>
            <w:r>
              <w:rPr>
                <w:rFonts w:hint="default" w:ascii="Times New Roman" w:hAnsi="Times New Roman" w:cs="Times New Roman"/>
                <w:bCs/>
                <w:color w:val="auto"/>
                <w:sz w:val="21"/>
                <w:szCs w:val="21"/>
                <w:highlight w:val="none"/>
              </w:rPr>
              <w:t>：</w:t>
            </w:r>
          </w:p>
          <w:p w14:paraId="690F5F9B">
            <w:pPr>
              <w:keepNext w:val="0"/>
              <w:keepLines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34"/>
                <w:sz w:val="21"/>
                <w:szCs w:val="21"/>
                <w:highlight w:val="none"/>
              </w:rPr>
              <w:object>
                <v:shape id="_x0000_i1026" o:spt="75" type="#_x0000_t75" style="height:40.05pt;width:204.75pt;" o:ole="t" filled="f" o:preferrelative="t" stroked="f" coordsize="21600,21600">
                  <v:path/>
                  <v:fill on="f" focussize="0,0"/>
                  <v:stroke on="f" joinstyle="miter"/>
                  <v:imagedata r:id="rId28" o:title=""/>
                  <o:lock v:ext="edit" aspectratio="t"/>
                  <w10:wrap type="none"/>
                  <w10:anchorlock/>
                </v:shape>
                <o:OLEObject Type="Embed" ProgID="Equation.3" ShapeID="_x0000_i1026" DrawAspect="Content" ObjectID="_1468075726" r:id="rId27">
                  <o:LockedField>false</o:LockedField>
                </o:OLEObject>
              </w:object>
            </w:r>
          </w:p>
          <w:p w14:paraId="327CB426">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式中：L</w:t>
            </w:r>
            <w:r>
              <w:rPr>
                <w:rFonts w:hint="default" w:ascii="Times New Roman" w:hAnsi="Times New Roman" w:cs="Times New Roman"/>
                <w:color w:val="auto"/>
                <w:sz w:val="21"/>
                <w:szCs w:val="21"/>
                <w:highlight w:val="none"/>
                <w:vertAlign w:val="subscript"/>
              </w:rPr>
              <w:t>eqg</w:t>
            </w:r>
            <w:r>
              <w:rPr>
                <w:rFonts w:hint="default" w:ascii="Times New Roman" w:hAnsi="Times New Roman" w:cs="Times New Roman"/>
                <w:color w:val="auto"/>
                <w:sz w:val="21"/>
                <w:szCs w:val="21"/>
                <w:highlight w:val="none"/>
              </w:rPr>
              <w:t>——建设项目声源在预测点产生的噪声贡献值，dB；</w:t>
            </w:r>
          </w:p>
          <w:p w14:paraId="3C29A4EC">
            <w:pPr>
              <w:keepNext w:val="0"/>
              <w:keepLines w:val="0"/>
              <w:suppressLineNumbers w:val="0"/>
              <w:spacing w:before="0" w:beforeAutospacing="0" w:after="0" w:afterAutospacing="0" w:line="360" w:lineRule="auto"/>
              <w:ind w:left="0" w:right="0" w:firstLine="1050" w:firstLineChars="5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T——用于计算等效声级的时间，s；</w:t>
            </w:r>
          </w:p>
          <w:p w14:paraId="6050FE2A">
            <w:pPr>
              <w:keepNext w:val="0"/>
              <w:keepLines w:val="0"/>
              <w:suppressLineNumbers w:val="0"/>
              <w:spacing w:before="0" w:beforeAutospacing="0" w:after="0" w:afterAutospacing="0" w:line="360" w:lineRule="auto"/>
              <w:ind w:left="0" w:right="0"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N——室外声源个数；</w:t>
            </w:r>
          </w:p>
          <w:p w14:paraId="1F535377">
            <w:pPr>
              <w:keepNext w:val="0"/>
              <w:keepLines w:val="0"/>
              <w:suppressLineNumbers w:val="0"/>
              <w:spacing w:before="0" w:beforeAutospacing="0" w:after="0" w:afterAutospacing="0" w:line="360" w:lineRule="auto"/>
              <w:ind w:left="0" w:right="0"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vertAlign w:val="subscript"/>
              </w:rPr>
              <w:t>i</w:t>
            </w:r>
            <w:r>
              <w:rPr>
                <w:rFonts w:hint="default" w:ascii="Times New Roman" w:hAnsi="Times New Roman" w:cs="Times New Roman"/>
                <w:color w:val="auto"/>
                <w:sz w:val="21"/>
                <w:szCs w:val="21"/>
                <w:highlight w:val="none"/>
              </w:rPr>
              <w:t>——在T时间内i声源工作时间，s；</w:t>
            </w:r>
          </w:p>
          <w:p w14:paraId="2CC46655">
            <w:pPr>
              <w:keepNext w:val="0"/>
              <w:keepLines w:val="0"/>
              <w:suppressLineNumbers w:val="0"/>
              <w:spacing w:before="0" w:beforeAutospacing="0" w:after="0" w:afterAutospacing="0" w:line="360" w:lineRule="auto"/>
              <w:ind w:left="0" w:right="0" w:firstLine="1050" w:firstLineChars="5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M——等效室外声源个数；</w:t>
            </w:r>
          </w:p>
          <w:p w14:paraId="320D995E">
            <w:pPr>
              <w:keepNext w:val="0"/>
              <w:keepLines w:val="0"/>
              <w:pageBreakBefore w:val="0"/>
              <w:widowControl w:val="0"/>
              <w:kinsoku/>
              <w:wordWrap/>
              <w:overflowPunct/>
              <w:topLinePunct w:val="0"/>
              <w:autoSpaceDE/>
              <w:autoSpaceDN/>
              <w:bidi w:val="0"/>
              <w:adjustRightInd w:val="0"/>
              <w:snapToGrid w:val="0"/>
              <w:spacing w:line="360" w:lineRule="auto"/>
              <w:ind w:firstLine="1050" w:firstLineChars="5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vertAlign w:val="subscript"/>
              </w:rPr>
              <w:t>j</w:t>
            </w:r>
            <w:r>
              <w:rPr>
                <w:rFonts w:hint="default" w:ascii="Times New Roman" w:hAnsi="Times New Roman" w:cs="Times New Roman"/>
                <w:color w:val="auto"/>
                <w:sz w:val="21"/>
                <w:szCs w:val="21"/>
                <w:highlight w:val="none"/>
              </w:rPr>
              <w:t>——在T时间内j声源工作时间，s。</w:t>
            </w:r>
          </w:p>
          <w:p w14:paraId="3DCA35A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噪声预测按照《环境影响评价技术导则 声环境》（HJ2.4-2021）进行，按主要噪声源即生产设备同时运行的不利工况进行预测分析。根据总图布置，采用噪声叠加公式和点声源噪声衰减模式预测经采取治理措施后到厂界的贡献值，并判断是否达标。预测结果见下表。</w:t>
            </w:r>
          </w:p>
          <w:p w14:paraId="6B059136">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 xml:space="preserve"> 表4-</w:t>
            </w:r>
            <w:r>
              <w:rPr>
                <w:rFonts w:hint="default" w:ascii="Times New Roman" w:hAnsi="Times New Roman"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t xml:space="preserve"> 噪声源源强核算结果及相关参数一览表</w:t>
            </w:r>
          </w:p>
          <w:tbl>
            <w:tblPr>
              <w:tblStyle w:val="24"/>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6"/>
              <w:gridCol w:w="936"/>
              <w:gridCol w:w="591"/>
              <w:gridCol w:w="566"/>
              <w:gridCol w:w="566"/>
              <w:gridCol w:w="566"/>
              <w:gridCol w:w="1667"/>
              <w:gridCol w:w="2249"/>
              <w:gridCol w:w="1085"/>
            </w:tblGrid>
            <w:tr w14:paraId="268513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vMerge w:val="restart"/>
                  <w:tcBorders>
                    <w:top w:val="single" w:color="auto" w:sz="12" w:space="0"/>
                  </w:tcBorders>
                  <w:noWrap w:val="0"/>
                  <w:vAlign w:val="center"/>
                </w:tcPr>
                <w:p w14:paraId="2BA57DF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eastAsia="zh-CN"/>
                    </w:rPr>
                  </w:pPr>
                  <w:r>
                    <w:rPr>
                      <w:rFonts w:hint="default" w:ascii="Times New Roman" w:hAnsi="Times New Roman" w:cs="Times New Roman"/>
                      <w:color w:val="auto"/>
                      <w:kern w:val="0"/>
                      <w:sz w:val="18"/>
                      <w:szCs w:val="18"/>
                      <w:highlight w:val="none"/>
                      <w:u w:val="none"/>
                      <w:lang w:val="en-US" w:eastAsia="zh-CN"/>
                    </w:rPr>
                    <w:t>序号</w:t>
                  </w:r>
                </w:p>
              </w:tc>
              <w:tc>
                <w:tcPr>
                  <w:tcW w:w="936" w:type="dxa"/>
                  <w:vMerge w:val="restart"/>
                  <w:tcBorders>
                    <w:top w:val="single" w:color="auto" w:sz="12" w:space="0"/>
                  </w:tcBorders>
                  <w:noWrap w:val="0"/>
                  <w:vAlign w:val="center"/>
                </w:tcPr>
                <w:p w14:paraId="6EDA153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eastAsia="zh-CN"/>
                    </w:rPr>
                  </w:pPr>
                  <w:r>
                    <w:rPr>
                      <w:rFonts w:hint="default" w:ascii="Times New Roman" w:hAnsi="Times New Roman" w:cs="Times New Roman"/>
                      <w:color w:val="auto"/>
                      <w:sz w:val="18"/>
                      <w:szCs w:val="18"/>
                      <w:highlight w:val="none"/>
                      <w:u w:val="none"/>
                      <w:lang w:val="en-US" w:eastAsia="zh-CN"/>
                    </w:rPr>
                    <w:t>声源名称</w:t>
                  </w:r>
                </w:p>
              </w:tc>
              <w:tc>
                <w:tcPr>
                  <w:tcW w:w="591" w:type="dxa"/>
                  <w:vMerge w:val="restart"/>
                  <w:tcBorders>
                    <w:top w:val="single" w:color="auto" w:sz="12" w:space="0"/>
                  </w:tcBorders>
                  <w:noWrap w:val="0"/>
                  <w:vAlign w:val="center"/>
                </w:tcPr>
                <w:p w14:paraId="1C72FE16">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型号</w:t>
                  </w:r>
                </w:p>
              </w:tc>
              <w:tc>
                <w:tcPr>
                  <w:tcW w:w="1698" w:type="dxa"/>
                  <w:gridSpan w:val="3"/>
                  <w:tcBorders>
                    <w:top w:val="single" w:color="auto" w:sz="12" w:space="0"/>
                  </w:tcBorders>
                  <w:noWrap w:val="0"/>
                  <w:vAlign w:val="center"/>
                </w:tcPr>
                <w:p w14:paraId="419A39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空间相对位置/m</w:t>
                  </w:r>
                </w:p>
              </w:tc>
              <w:tc>
                <w:tcPr>
                  <w:tcW w:w="1667" w:type="dxa"/>
                  <w:tcBorders>
                    <w:top w:val="single" w:color="auto" w:sz="12" w:space="0"/>
                  </w:tcBorders>
                  <w:noWrap w:val="0"/>
                  <w:vAlign w:val="center"/>
                </w:tcPr>
                <w:p w14:paraId="20C981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声源源强</w:t>
                  </w:r>
                </w:p>
              </w:tc>
              <w:tc>
                <w:tcPr>
                  <w:tcW w:w="2249" w:type="dxa"/>
                  <w:vMerge w:val="restart"/>
                  <w:tcBorders>
                    <w:top w:val="single" w:color="auto" w:sz="12" w:space="0"/>
                  </w:tcBorders>
                  <w:noWrap w:val="0"/>
                  <w:vAlign w:val="center"/>
                </w:tcPr>
                <w:p w14:paraId="438B036F">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kern w:val="0"/>
                      <w:sz w:val="18"/>
                      <w:szCs w:val="18"/>
                      <w:highlight w:val="none"/>
                      <w:u w:val="none"/>
                      <w:lang w:val="en-US" w:eastAsia="zh-CN"/>
                    </w:rPr>
                    <w:t>声源控制措施</w:t>
                  </w:r>
                </w:p>
              </w:tc>
              <w:tc>
                <w:tcPr>
                  <w:tcW w:w="1085" w:type="dxa"/>
                  <w:vMerge w:val="restart"/>
                  <w:tcBorders>
                    <w:top w:val="single" w:color="auto" w:sz="12" w:space="0"/>
                  </w:tcBorders>
                  <w:noWrap w:val="0"/>
                  <w:vAlign w:val="center"/>
                </w:tcPr>
                <w:p w14:paraId="55FF8044">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kern w:val="0"/>
                      <w:sz w:val="18"/>
                      <w:szCs w:val="18"/>
                      <w:highlight w:val="none"/>
                      <w:u w:val="none"/>
                    </w:rPr>
                  </w:pPr>
                  <w:r>
                    <w:rPr>
                      <w:rFonts w:hint="default" w:ascii="Times New Roman" w:hAnsi="Times New Roman" w:cs="Times New Roman"/>
                      <w:color w:val="auto"/>
                      <w:kern w:val="0"/>
                      <w:sz w:val="18"/>
                      <w:szCs w:val="18"/>
                      <w:highlight w:val="none"/>
                      <w:u w:val="none"/>
                    </w:rPr>
                    <w:t>持续时间/h</w:t>
                  </w:r>
                </w:p>
              </w:tc>
            </w:tr>
            <w:tr w14:paraId="4DFB57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vMerge w:val="continue"/>
                  <w:noWrap w:val="0"/>
                  <w:vAlign w:val="center"/>
                </w:tcPr>
                <w:p w14:paraId="73C0890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18"/>
                      <w:szCs w:val="18"/>
                      <w:highlight w:val="none"/>
                      <w:u w:val="none"/>
                    </w:rPr>
                  </w:pPr>
                </w:p>
              </w:tc>
              <w:tc>
                <w:tcPr>
                  <w:tcW w:w="936" w:type="dxa"/>
                  <w:vMerge w:val="continue"/>
                  <w:noWrap w:val="0"/>
                  <w:vAlign w:val="center"/>
                </w:tcPr>
                <w:p w14:paraId="7C2C063C">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18"/>
                      <w:szCs w:val="18"/>
                      <w:highlight w:val="none"/>
                      <w:u w:val="none"/>
                    </w:rPr>
                  </w:pPr>
                </w:p>
              </w:tc>
              <w:tc>
                <w:tcPr>
                  <w:tcW w:w="591" w:type="dxa"/>
                  <w:vMerge w:val="continue"/>
                  <w:noWrap w:val="0"/>
                  <w:vAlign w:val="center"/>
                </w:tcPr>
                <w:p w14:paraId="113D0540">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18"/>
                      <w:szCs w:val="18"/>
                      <w:highlight w:val="none"/>
                      <w:u w:val="none"/>
                    </w:rPr>
                  </w:pPr>
                </w:p>
              </w:tc>
              <w:tc>
                <w:tcPr>
                  <w:tcW w:w="566" w:type="dxa"/>
                  <w:noWrap w:val="0"/>
                  <w:vAlign w:val="center"/>
                </w:tcPr>
                <w:p w14:paraId="60D7D2FD">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X</w:t>
                  </w:r>
                </w:p>
              </w:tc>
              <w:tc>
                <w:tcPr>
                  <w:tcW w:w="566" w:type="dxa"/>
                  <w:noWrap w:val="0"/>
                  <w:vAlign w:val="center"/>
                </w:tcPr>
                <w:p w14:paraId="0A86D87B">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Y</w:t>
                  </w:r>
                </w:p>
              </w:tc>
              <w:tc>
                <w:tcPr>
                  <w:tcW w:w="566" w:type="dxa"/>
                  <w:noWrap w:val="0"/>
                  <w:vAlign w:val="center"/>
                </w:tcPr>
                <w:p w14:paraId="2CE2EA5F">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Z</w:t>
                  </w:r>
                </w:p>
              </w:tc>
              <w:tc>
                <w:tcPr>
                  <w:tcW w:w="1667" w:type="dxa"/>
                  <w:noWrap w:val="0"/>
                  <w:vAlign w:val="center"/>
                </w:tcPr>
                <w:p w14:paraId="503264F9">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kern w:val="0"/>
                      <w:sz w:val="18"/>
                      <w:szCs w:val="18"/>
                      <w:highlight w:val="none"/>
                      <w:u w:val="none"/>
                      <w:lang w:val="en-US" w:eastAsia="zh-CN"/>
                    </w:rPr>
                    <w:t>声功率级/dB（A）</w:t>
                  </w:r>
                </w:p>
              </w:tc>
              <w:tc>
                <w:tcPr>
                  <w:tcW w:w="2249" w:type="dxa"/>
                  <w:vMerge w:val="continue"/>
                  <w:noWrap w:val="0"/>
                  <w:vAlign w:val="center"/>
                </w:tcPr>
                <w:p w14:paraId="5305B2CD">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18"/>
                      <w:szCs w:val="18"/>
                      <w:highlight w:val="none"/>
                      <w:u w:val="none"/>
                    </w:rPr>
                  </w:pPr>
                </w:p>
              </w:tc>
              <w:tc>
                <w:tcPr>
                  <w:tcW w:w="1085" w:type="dxa"/>
                  <w:vMerge w:val="continue"/>
                  <w:noWrap w:val="0"/>
                  <w:vAlign w:val="center"/>
                </w:tcPr>
                <w:p w14:paraId="6EE44BC4">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kern w:val="0"/>
                      <w:sz w:val="18"/>
                      <w:szCs w:val="18"/>
                      <w:highlight w:val="none"/>
                      <w:u w:val="none"/>
                    </w:rPr>
                  </w:pPr>
                </w:p>
              </w:tc>
            </w:tr>
            <w:tr w14:paraId="15F7CA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noWrap w:val="0"/>
                  <w:vAlign w:val="center"/>
                </w:tcPr>
                <w:p w14:paraId="63A84E6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eastAsia="zh-CN"/>
                    </w:rPr>
                  </w:pPr>
                  <w:r>
                    <w:rPr>
                      <w:rFonts w:hint="default" w:ascii="Times New Roman" w:hAnsi="Times New Roman" w:cs="Times New Roman"/>
                      <w:color w:val="auto"/>
                      <w:sz w:val="18"/>
                      <w:szCs w:val="18"/>
                      <w:highlight w:val="none"/>
                      <w:u w:val="none"/>
                      <w:lang w:val="en-US" w:eastAsia="zh-CN"/>
                    </w:rPr>
                    <w:t>1</w:t>
                  </w:r>
                </w:p>
              </w:tc>
              <w:tc>
                <w:tcPr>
                  <w:tcW w:w="936" w:type="dxa"/>
                  <w:noWrap w:val="0"/>
                  <w:vAlign w:val="center"/>
                </w:tcPr>
                <w:p w14:paraId="129C737C">
                  <w:pPr>
                    <w:jc w:val="center"/>
                    <w:rPr>
                      <w:rFonts w:hint="default" w:ascii="Times New Roman" w:hAnsi="Times New Roman" w:cs="Times New Roman"/>
                      <w:color w:val="auto"/>
                      <w:sz w:val="18"/>
                      <w:szCs w:val="18"/>
                      <w:highlight w:val="none"/>
                      <w:u w:val="none"/>
                    </w:rPr>
                  </w:pPr>
                  <w:r>
                    <w:rPr>
                      <w:rFonts w:hint="default" w:ascii="Times New Roman" w:hAnsi="Times New Roman" w:cs="Times New Roman"/>
                      <w:color w:val="auto"/>
                      <w:sz w:val="18"/>
                      <w:szCs w:val="18"/>
                      <w:highlight w:val="none"/>
                      <w:lang w:val="en-US" w:eastAsia="zh-CN"/>
                    </w:rPr>
                    <w:t>铲车</w:t>
                  </w:r>
                </w:p>
              </w:tc>
              <w:tc>
                <w:tcPr>
                  <w:tcW w:w="591" w:type="dxa"/>
                  <w:noWrap w:val="0"/>
                  <w:vAlign w:val="center"/>
                </w:tcPr>
                <w:p w14:paraId="645635FC">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73E631FD">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7A586183">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1DB08499">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667" w:type="dxa"/>
                  <w:noWrap w:val="0"/>
                  <w:vAlign w:val="center"/>
                </w:tcPr>
                <w:p w14:paraId="369D8B57">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80</w:t>
                  </w:r>
                </w:p>
              </w:tc>
              <w:tc>
                <w:tcPr>
                  <w:tcW w:w="2249" w:type="dxa"/>
                  <w:vMerge w:val="restart"/>
                  <w:noWrap w:val="0"/>
                  <w:vAlign w:val="center"/>
                </w:tcPr>
                <w:p w14:paraId="5513CBD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eastAsia="宋体" w:cs="Times New Roman"/>
                      <w:color w:val="auto"/>
                      <w:sz w:val="18"/>
                      <w:szCs w:val="18"/>
                      <w:highlight w:val="none"/>
                    </w:rPr>
                    <w:t>低噪设备、</w:t>
                  </w:r>
                  <w:r>
                    <w:rPr>
                      <w:rFonts w:hint="default" w:ascii="Times New Roman" w:hAnsi="Times New Roman" w:eastAsia="宋体" w:cs="Times New Roman"/>
                      <w:color w:val="auto"/>
                      <w:sz w:val="18"/>
                      <w:szCs w:val="18"/>
                      <w:highlight w:val="none"/>
                      <w:lang w:val="en-US" w:eastAsia="zh-CN"/>
                    </w:rPr>
                    <w:t>加强维护、减速</w:t>
                  </w:r>
                </w:p>
              </w:tc>
              <w:tc>
                <w:tcPr>
                  <w:tcW w:w="1085" w:type="dxa"/>
                  <w:vMerge w:val="restart"/>
                  <w:noWrap w:val="0"/>
                  <w:vAlign w:val="center"/>
                </w:tcPr>
                <w:p w14:paraId="5EDA3EC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r>
                    <w:rPr>
                      <w:rFonts w:hint="eastAsia" w:cs="Times New Roman"/>
                      <w:color w:val="auto"/>
                      <w:sz w:val="18"/>
                      <w:szCs w:val="18"/>
                      <w:highlight w:val="none"/>
                      <w:u w:val="none"/>
                      <w:lang w:val="en-US" w:eastAsia="zh-CN"/>
                    </w:rPr>
                    <w:t>2800</w:t>
                  </w:r>
                </w:p>
              </w:tc>
            </w:tr>
            <w:tr w14:paraId="1868807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noWrap w:val="0"/>
                  <w:vAlign w:val="center"/>
                </w:tcPr>
                <w:p w14:paraId="00834C4C">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2</w:t>
                  </w:r>
                </w:p>
              </w:tc>
              <w:tc>
                <w:tcPr>
                  <w:tcW w:w="936" w:type="dxa"/>
                  <w:noWrap w:val="0"/>
                  <w:vAlign w:val="center"/>
                </w:tcPr>
                <w:p w14:paraId="7F5DE12A">
                  <w:pPr>
                    <w:jc w:val="center"/>
                    <w:rPr>
                      <w:rFonts w:hint="default" w:ascii="Times New Roman" w:hAnsi="Times New Roman" w:cs="Times New Roman"/>
                      <w:color w:val="auto"/>
                      <w:sz w:val="18"/>
                      <w:szCs w:val="18"/>
                      <w:highlight w:val="none"/>
                      <w:u w:val="none"/>
                    </w:rPr>
                  </w:pPr>
                  <w:r>
                    <w:rPr>
                      <w:rFonts w:hint="default" w:ascii="Times New Roman" w:hAnsi="Times New Roman" w:cs="Times New Roman"/>
                      <w:color w:val="auto"/>
                      <w:sz w:val="18"/>
                      <w:szCs w:val="18"/>
                      <w:highlight w:val="none"/>
                      <w:lang w:val="en-US" w:eastAsia="zh-CN"/>
                    </w:rPr>
                    <w:t>铲车</w:t>
                  </w:r>
                </w:p>
              </w:tc>
              <w:tc>
                <w:tcPr>
                  <w:tcW w:w="591" w:type="dxa"/>
                  <w:noWrap w:val="0"/>
                  <w:vAlign w:val="center"/>
                </w:tcPr>
                <w:p w14:paraId="5D8B28F4">
                  <w:pPr>
                    <w:jc w:val="center"/>
                    <w:rPr>
                      <w:rFonts w:hint="default" w:ascii="Times New Roman" w:hAnsi="Times New Roman" w:eastAsia="宋体" w:cs="Times New Roman"/>
                      <w:color w:val="auto"/>
                      <w:kern w:val="2"/>
                      <w:sz w:val="18"/>
                      <w:szCs w:val="18"/>
                      <w:highlight w:val="none"/>
                      <w:u w:val="none"/>
                      <w:lang w:val="en-US" w:eastAsia="zh-CN" w:bidi="ar-SA"/>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1CE573AB">
                  <w:pPr>
                    <w:jc w:val="center"/>
                    <w:rPr>
                      <w:rFonts w:hint="default" w:ascii="Times New Roman" w:hAnsi="Times New Roman" w:eastAsia="宋体" w:cs="Times New Roman"/>
                      <w:color w:val="auto"/>
                      <w:kern w:val="2"/>
                      <w:sz w:val="18"/>
                      <w:szCs w:val="18"/>
                      <w:highlight w:val="none"/>
                      <w:u w:val="none"/>
                      <w:lang w:val="en-US" w:eastAsia="zh-CN" w:bidi="ar-SA"/>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117AF3F1">
                  <w:pPr>
                    <w:jc w:val="center"/>
                    <w:rPr>
                      <w:rFonts w:hint="default" w:ascii="Times New Roman" w:hAnsi="Times New Roman" w:eastAsia="宋体" w:cs="Times New Roman"/>
                      <w:color w:val="auto"/>
                      <w:kern w:val="2"/>
                      <w:sz w:val="18"/>
                      <w:szCs w:val="18"/>
                      <w:highlight w:val="none"/>
                      <w:u w:val="none"/>
                      <w:lang w:val="en-US" w:eastAsia="zh-CN" w:bidi="ar-SA"/>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516EC759">
                  <w:pPr>
                    <w:jc w:val="center"/>
                    <w:rPr>
                      <w:rFonts w:hint="default" w:ascii="Times New Roman" w:hAnsi="Times New Roman" w:eastAsia="宋体" w:cs="Times New Roman"/>
                      <w:color w:val="auto"/>
                      <w:kern w:val="2"/>
                      <w:sz w:val="18"/>
                      <w:szCs w:val="18"/>
                      <w:highlight w:val="none"/>
                      <w:u w:val="none"/>
                      <w:lang w:val="en-US" w:eastAsia="zh-CN" w:bidi="ar-SA"/>
                    </w:rPr>
                  </w:pPr>
                  <w:r>
                    <w:rPr>
                      <w:rFonts w:hint="default" w:ascii="Times New Roman" w:hAnsi="Times New Roman" w:cs="Times New Roman"/>
                      <w:color w:val="auto"/>
                      <w:sz w:val="18"/>
                      <w:szCs w:val="18"/>
                      <w:highlight w:val="none"/>
                      <w:lang w:val="en-US" w:eastAsia="zh-CN"/>
                    </w:rPr>
                    <w:t>—</w:t>
                  </w:r>
                </w:p>
              </w:tc>
              <w:tc>
                <w:tcPr>
                  <w:tcW w:w="1667" w:type="dxa"/>
                  <w:noWrap w:val="0"/>
                  <w:vAlign w:val="center"/>
                </w:tcPr>
                <w:p w14:paraId="2CD58FCB">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80</w:t>
                  </w:r>
                </w:p>
              </w:tc>
              <w:tc>
                <w:tcPr>
                  <w:tcW w:w="2249" w:type="dxa"/>
                  <w:vMerge w:val="continue"/>
                  <w:noWrap w:val="0"/>
                  <w:vAlign w:val="center"/>
                </w:tcPr>
                <w:p w14:paraId="0239EAF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18"/>
                      <w:szCs w:val="18"/>
                      <w:highlight w:val="none"/>
                      <w:u w:val="none"/>
                      <w:lang w:val="en-US" w:eastAsia="zh-CN"/>
                    </w:rPr>
                  </w:pPr>
                </w:p>
              </w:tc>
              <w:tc>
                <w:tcPr>
                  <w:tcW w:w="1085" w:type="dxa"/>
                  <w:vMerge w:val="continue"/>
                  <w:noWrap w:val="0"/>
                  <w:vAlign w:val="center"/>
                </w:tcPr>
                <w:p w14:paraId="261B7969">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p>
              </w:tc>
            </w:tr>
            <w:tr w14:paraId="41E55F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noWrap w:val="0"/>
                  <w:vAlign w:val="center"/>
                </w:tcPr>
                <w:p w14:paraId="498E212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r>
                    <w:rPr>
                      <w:rFonts w:hint="eastAsia" w:cs="Times New Roman"/>
                      <w:color w:val="auto"/>
                      <w:sz w:val="18"/>
                      <w:szCs w:val="18"/>
                      <w:highlight w:val="none"/>
                      <w:u w:val="none"/>
                      <w:lang w:val="en-US" w:eastAsia="zh-CN"/>
                    </w:rPr>
                    <w:t>3</w:t>
                  </w:r>
                </w:p>
              </w:tc>
              <w:tc>
                <w:tcPr>
                  <w:tcW w:w="936" w:type="dxa"/>
                  <w:noWrap w:val="0"/>
                  <w:vAlign w:val="center"/>
                </w:tcPr>
                <w:p w14:paraId="295BD19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u w:val="none"/>
                      <w:lang w:val="en-US" w:eastAsia="zh-CN"/>
                    </w:rPr>
                  </w:pPr>
                  <w:r>
                    <w:rPr>
                      <w:rFonts w:hint="eastAsia" w:cs="Times New Roman"/>
                      <w:color w:val="auto"/>
                      <w:sz w:val="18"/>
                      <w:szCs w:val="18"/>
                      <w:highlight w:val="none"/>
                      <w:u w:val="none"/>
                      <w:lang w:val="en-US" w:eastAsia="zh-CN"/>
                    </w:rPr>
                    <w:t>运输车辆</w:t>
                  </w:r>
                </w:p>
              </w:tc>
              <w:tc>
                <w:tcPr>
                  <w:tcW w:w="591" w:type="dxa"/>
                  <w:noWrap w:val="0"/>
                  <w:vAlign w:val="center"/>
                </w:tcPr>
                <w:p w14:paraId="7DE056F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4B62132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63C981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noWrap w:val="0"/>
                  <w:vAlign w:val="center"/>
                </w:tcPr>
                <w:p w14:paraId="42580F8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667" w:type="dxa"/>
                  <w:noWrap w:val="0"/>
                  <w:vAlign w:val="center"/>
                </w:tcPr>
                <w:p w14:paraId="579FAF9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70</w:t>
                  </w:r>
                </w:p>
              </w:tc>
              <w:tc>
                <w:tcPr>
                  <w:tcW w:w="2249" w:type="dxa"/>
                  <w:vMerge w:val="continue"/>
                  <w:noWrap w:val="0"/>
                  <w:vAlign w:val="center"/>
                </w:tcPr>
                <w:p w14:paraId="369578A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p>
              </w:tc>
              <w:tc>
                <w:tcPr>
                  <w:tcW w:w="1085" w:type="dxa"/>
                  <w:vMerge w:val="continue"/>
                  <w:noWrap w:val="0"/>
                  <w:vAlign w:val="center"/>
                </w:tcPr>
                <w:p w14:paraId="2353340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p>
              </w:tc>
            </w:tr>
            <w:tr w14:paraId="5DE26A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76" w:type="dxa"/>
                  <w:tcBorders>
                    <w:bottom w:val="single" w:color="auto" w:sz="12" w:space="0"/>
                  </w:tcBorders>
                  <w:noWrap w:val="0"/>
                  <w:vAlign w:val="center"/>
                </w:tcPr>
                <w:p w14:paraId="7B4C7BEF">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r>
                    <w:rPr>
                      <w:rFonts w:hint="eastAsia" w:cs="Times New Roman"/>
                      <w:color w:val="auto"/>
                      <w:sz w:val="18"/>
                      <w:szCs w:val="18"/>
                      <w:highlight w:val="none"/>
                      <w:u w:val="none"/>
                      <w:lang w:val="en-US" w:eastAsia="zh-CN"/>
                    </w:rPr>
                    <w:t>4</w:t>
                  </w:r>
                </w:p>
              </w:tc>
              <w:tc>
                <w:tcPr>
                  <w:tcW w:w="936" w:type="dxa"/>
                  <w:tcBorders>
                    <w:bottom w:val="single" w:color="auto" w:sz="12" w:space="0"/>
                  </w:tcBorders>
                  <w:noWrap w:val="0"/>
                  <w:vAlign w:val="center"/>
                </w:tcPr>
                <w:p w14:paraId="6953B76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水泵</w:t>
                  </w:r>
                </w:p>
              </w:tc>
              <w:tc>
                <w:tcPr>
                  <w:tcW w:w="591" w:type="dxa"/>
                  <w:tcBorders>
                    <w:bottom w:val="single" w:color="auto" w:sz="12" w:space="0"/>
                  </w:tcBorders>
                  <w:noWrap w:val="0"/>
                  <w:vAlign w:val="center"/>
                </w:tcPr>
                <w:p w14:paraId="157D214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tcBorders>
                    <w:bottom w:val="single" w:color="auto" w:sz="12" w:space="0"/>
                  </w:tcBorders>
                  <w:noWrap w:val="0"/>
                  <w:vAlign w:val="center"/>
                </w:tcPr>
                <w:p w14:paraId="2C11271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tcBorders>
                    <w:bottom w:val="single" w:color="auto" w:sz="12" w:space="0"/>
                  </w:tcBorders>
                  <w:noWrap w:val="0"/>
                  <w:vAlign w:val="center"/>
                </w:tcPr>
                <w:p w14:paraId="286E84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66" w:type="dxa"/>
                  <w:tcBorders>
                    <w:bottom w:val="single" w:color="auto" w:sz="12" w:space="0"/>
                  </w:tcBorders>
                  <w:noWrap w:val="0"/>
                  <w:vAlign w:val="center"/>
                </w:tcPr>
                <w:p w14:paraId="5FE16C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667" w:type="dxa"/>
                  <w:tcBorders>
                    <w:bottom w:val="single" w:color="auto" w:sz="12" w:space="0"/>
                  </w:tcBorders>
                  <w:noWrap w:val="0"/>
                  <w:vAlign w:val="center"/>
                </w:tcPr>
                <w:p w14:paraId="6AADEBD8">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r>
                    <w:rPr>
                      <w:rFonts w:hint="default" w:ascii="Times New Roman" w:hAnsi="Times New Roman" w:cs="Times New Roman"/>
                      <w:color w:val="auto"/>
                      <w:sz w:val="18"/>
                      <w:szCs w:val="18"/>
                      <w:highlight w:val="none"/>
                      <w:u w:val="none"/>
                      <w:lang w:val="en-US" w:eastAsia="zh-CN"/>
                    </w:rPr>
                    <w:t>75</w:t>
                  </w:r>
                </w:p>
              </w:tc>
              <w:tc>
                <w:tcPr>
                  <w:tcW w:w="2249" w:type="dxa"/>
                  <w:vMerge w:val="continue"/>
                  <w:tcBorders>
                    <w:bottom w:val="single" w:color="auto" w:sz="12" w:space="0"/>
                  </w:tcBorders>
                  <w:noWrap w:val="0"/>
                  <w:vAlign w:val="center"/>
                </w:tcPr>
                <w:p w14:paraId="4CE6DA95">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p>
              </w:tc>
              <w:tc>
                <w:tcPr>
                  <w:tcW w:w="1085" w:type="dxa"/>
                  <w:vMerge w:val="continue"/>
                  <w:tcBorders>
                    <w:bottom w:val="single" w:color="auto" w:sz="12" w:space="0"/>
                  </w:tcBorders>
                  <w:noWrap w:val="0"/>
                  <w:vAlign w:val="center"/>
                </w:tcPr>
                <w:p w14:paraId="17D61C3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18"/>
                      <w:szCs w:val="18"/>
                      <w:highlight w:val="none"/>
                      <w:u w:val="none"/>
                      <w:lang w:val="en-US" w:eastAsia="zh-CN"/>
                    </w:rPr>
                  </w:pPr>
                </w:p>
              </w:tc>
            </w:tr>
          </w:tbl>
          <w:p w14:paraId="4ADB1002">
            <w:pPr>
              <w:adjustRightInd w:val="0"/>
              <w:snapToGrid w:val="0"/>
              <w:jc w:val="center"/>
              <w:rPr>
                <w:rFonts w:hint="default" w:ascii="Times New Roman" w:hAnsi="Times New Roman" w:eastAsia="宋体" w:cs="Times New Roman"/>
                <w:b/>
                <w:bCs w:val="0"/>
                <w:color w:val="auto"/>
                <w:spacing w:val="0"/>
                <w:kern w:val="2"/>
                <w:sz w:val="16"/>
                <w:szCs w:val="16"/>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 xml:space="preserve"> 厂界噪声预测结果表  </w:t>
            </w:r>
            <w:r>
              <w:rPr>
                <w:rFonts w:hint="default" w:ascii="Times New Roman" w:hAnsi="Times New Roman" w:eastAsia="宋体" w:cs="Times New Roman"/>
                <w:b/>
                <w:bCs w:val="0"/>
                <w:color w:val="auto"/>
                <w:spacing w:val="0"/>
                <w:kern w:val="2"/>
                <w:sz w:val="16"/>
                <w:szCs w:val="16"/>
                <w:highlight w:val="none"/>
                <w:lang w:val="en-US" w:eastAsia="zh-CN" w:bidi="ar-SA"/>
              </w:rPr>
              <w:t>单位：Leq</w:t>
            </w:r>
            <w:r>
              <w:rPr>
                <w:rFonts w:hint="default" w:ascii="Times New Roman" w:hAnsi="Times New Roman" w:cs="Times New Roman"/>
                <w:b/>
                <w:bCs w:val="0"/>
                <w:color w:val="auto"/>
                <w:spacing w:val="0"/>
                <w:kern w:val="2"/>
                <w:sz w:val="16"/>
                <w:szCs w:val="16"/>
                <w:highlight w:val="none"/>
                <w:lang w:val="en-US" w:eastAsia="zh-CN" w:bidi="ar-SA"/>
              </w:rPr>
              <w:t>（</w:t>
            </w:r>
            <w:r>
              <w:rPr>
                <w:rFonts w:hint="default" w:ascii="Times New Roman" w:hAnsi="Times New Roman" w:eastAsia="宋体" w:cs="Times New Roman"/>
                <w:b/>
                <w:bCs w:val="0"/>
                <w:color w:val="auto"/>
                <w:spacing w:val="0"/>
                <w:kern w:val="2"/>
                <w:sz w:val="16"/>
                <w:szCs w:val="16"/>
                <w:highlight w:val="none"/>
                <w:lang w:val="en-US" w:eastAsia="zh-CN" w:bidi="ar-SA"/>
              </w:rPr>
              <w:t>dB</w:t>
            </w:r>
            <w:r>
              <w:rPr>
                <w:rFonts w:hint="default" w:ascii="Times New Roman" w:hAnsi="Times New Roman" w:cs="Times New Roman"/>
                <w:b/>
                <w:bCs w:val="0"/>
                <w:color w:val="auto"/>
                <w:spacing w:val="0"/>
                <w:kern w:val="2"/>
                <w:sz w:val="16"/>
                <w:szCs w:val="16"/>
                <w:highlight w:val="none"/>
                <w:lang w:val="en-US" w:eastAsia="zh-CN" w:bidi="ar-SA"/>
              </w:rPr>
              <w:t>）</w:t>
            </w:r>
          </w:p>
          <w:tbl>
            <w:tblPr>
              <w:tblStyle w:val="24"/>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2245"/>
              <w:gridCol w:w="1602"/>
              <w:gridCol w:w="1602"/>
              <w:gridCol w:w="1602"/>
              <w:gridCol w:w="1628"/>
            </w:tblGrid>
            <w:tr w14:paraId="345C59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top w:val="single" w:color="auto" w:sz="12" w:space="0"/>
                  </w:tcBorders>
                  <w:noWrap w:val="0"/>
                  <w:vAlign w:val="center"/>
                </w:tcPr>
                <w:p w14:paraId="0071F0B9">
                  <w:pPr>
                    <w:widowControl/>
                    <w:spacing w:line="0" w:lineRule="atLeas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位置</w:t>
                  </w:r>
                </w:p>
              </w:tc>
              <w:tc>
                <w:tcPr>
                  <w:tcW w:w="923" w:type="pct"/>
                  <w:tcBorders>
                    <w:top w:val="single" w:color="auto" w:sz="12" w:space="0"/>
                  </w:tcBorders>
                  <w:noWrap w:val="0"/>
                  <w:vAlign w:val="center"/>
                </w:tcPr>
                <w:p w14:paraId="06AE895E">
                  <w:pPr>
                    <w:widowControl/>
                    <w:spacing w:line="0" w:lineRule="atLeas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东侧</w:t>
                  </w:r>
                  <w:r>
                    <w:rPr>
                      <w:rFonts w:hint="default" w:ascii="Times New Roman" w:hAnsi="Times New Roman" w:cs="Times New Roman"/>
                      <w:color w:val="auto"/>
                      <w:sz w:val="18"/>
                      <w:szCs w:val="18"/>
                      <w:highlight w:val="none"/>
                    </w:rPr>
                    <w:t>厂界</w:t>
                  </w:r>
                </w:p>
              </w:tc>
              <w:tc>
                <w:tcPr>
                  <w:tcW w:w="923" w:type="pct"/>
                  <w:tcBorders>
                    <w:top w:val="single" w:color="auto" w:sz="12" w:space="0"/>
                  </w:tcBorders>
                  <w:noWrap w:val="0"/>
                  <w:vAlign w:val="center"/>
                </w:tcPr>
                <w:p w14:paraId="1C79EAFC">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南侧厂界</w:t>
                  </w:r>
                </w:p>
              </w:tc>
              <w:tc>
                <w:tcPr>
                  <w:tcW w:w="923" w:type="pct"/>
                  <w:tcBorders>
                    <w:top w:val="single" w:color="auto" w:sz="12" w:space="0"/>
                  </w:tcBorders>
                  <w:noWrap w:val="0"/>
                  <w:vAlign w:val="center"/>
                </w:tcPr>
                <w:p w14:paraId="6A65D914">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西侧厂界</w:t>
                  </w:r>
                </w:p>
              </w:tc>
              <w:tc>
                <w:tcPr>
                  <w:tcW w:w="936" w:type="pct"/>
                  <w:tcBorders>
                    <w:top w:val="single" w:color="auto" w:sz="12" w:space="0"/>
                  </w:tcBorders>
                  <w:noWrap w:val="0"/>
                  <w:vAlign w:val="center"/>
                </w:tcPr>
                <w:p w14:paraId="7E24F527">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北侧厂界</w:t>
                  </w:r>
                </w:p>
              </w:tc>
            </w:tr>
            <w:tr w14:paraId="4203B4A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noWrap w:val="0"/>
                  <w:vAlign w:val="center"/>
                </w:tcPr>
                <w:p w14:paraId="66A387B0">
                  <w:pPr>
                    <w:pStyle w:val="38"/>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贡献值</w:t>
                  </w:r>
                </w:p>
              </w:tc>
              <w:tc>
                <w:tcPr>
                  <w:tcW w:w="923" w:type="pct"/>
                  <w:noWrap w:val="0"/>
                  <w:vAlign w:val="center"/>
                </w:tcPr>
                <w:p w14:paraId="532EFA79">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48.9</w:t>
                  </w:r>
                </w:p>
              </w:tc>
              <w:tc>
                <w:tcPr>
                  <w:tcW w:w="923" w:type="pct"/>
                  <w:noWrap w:val="0"/>
                  <w:vAlign w:val="center"/>
                </w:tcPr>
                <w:p w14:paraId="4B4AF3A0">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50.07</w:t>
                  </w:r>
                </w:p>
              </w:tc>
              <w:tc>
                <w:tcPr>
                  <w:tcW w:w="923" w:type="pct"/>
                  <w:noWrap w:val="0"/>
                  <w:vAlign w:val="center"/>
                </w:tcPr>
                <w:p w14:paraId="23989F6D">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51.06</w:t>
                  </w:r>
                </w:p>
              </w:tc>
              <w:tc>
                <w:tcPr>
                  <w:tcW w:w="936" w:type="pct"/>
                  <w:noWrap w:val="0"/>
                  <w:vAlign w:val="center"/>
                </w:tcPr>
                <w:p w14:paraId="19195F99">
                  <w:pPr>
                    <w:widowControl/>
                    <w:spacing w:line="0" w:lineRule="atLeas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54.48</w:t>
                  </w:r>
                </w:p>
              </w:tc>
            </w:tr>
            <w:tr w14:paraId="771D9E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293" w:type="pct"/>
                  <w:tcBorders>
                    <w:bottom w:val="single" w:color="auto" w:sz="12" w:space="0"/>
                  </w:tcBorders>
                  <w:noWrap w:val="0"/>
                  <w:vAlign w:val="center"/>
                </w:tcPr>
                <w:p w14:paraId="263C37F3">
                  <w:pPr>
                    <w:widowControl/>
                    <w:spacing w:line="0" w:lineRule="atLeas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标准值</w:t>
                  </w:r>
                </w:p>
              </w:tc>
              <w:tc>
                <w:tcPr>
                  <w:tcW w:w="3706" w:type="pct"/>
                  <w:gridSpan w:val="4"/>
                  <w:tcBorders>
                    <w:bottom w:val="single" w:color="auto" w:sz="12" w:space="0"/>
                  </w:tcBorders>
                  <w:noWrap w:val="0"/>
                  <w:vAlign w:val="center"/>
                </w:tcPr>
                <w:p w14:paraId="5D722C64">
                  <w:pPr>
                    <w:widowControl/>
                    <w:spacing w:line="0" w:lineRule="atLeast"/>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rPr>
                    <w:t>昼间</w:t>
                  </w:r>
                  <w:r>
                    <w:rPr>
                      <w:rFonts w:hint="default" w:ascii="Times New Roman" w:hAnsi="Times New Roman" w:cs="Times New Roman"/>
                      <w:color w:val="auto"/>
                      <w:sz w:val="18"/>
                      <w:szCs w:val="18"/>
                      <w:highlight w:val="none"/>
                      <w:lang w:val="en-US" w:eastAsia="zh-CN"/>
                    </w:rPr>
                    <w:t>60</w:t>
                  </w:r>
                </w:p>
              </w:tc>
            </w:tr>
          </w:tbl>
          <w:p w14:paraId="1AD8D2D5">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2</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噪声环境影响分析</w:t>
            </w:r>
          </w:p>
          <w:p w14:paraId="35E840EF">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本项目的噪声主要为</w:t>
            </w:r>
            <w:r>
              <w:rPr>
                <w:rFonts w:hint="default" w:ascii="Times New Roman" w:hAnsi="Times New Roman" w:cs="Times New Roman"/>
                <w:bCs/>
                <w:color w:val="auto"/>
                <w:sz w:val="21"/>
                <w:szCs w:val="21"/>
                <w:highlight w:val="none"/>
                <w:lang w:val="en-US" w:eastAsia="zh-CN"/>
              </w:rPr>
              <w:t>铲车</w:t>
            </w:r>
            <w:r>
              <w:rPr>
                <w:rFonts w:hint="default" w:ascii="Times New Roman" w:hAnsi="Times New Roman" w:cs="Times New Roman"/>
                <w:bCs/>
                <w:color w:val="auto"/>
                <w:sz w:val="21"/>
                <w:szCs w:val="21"/>
                <w:highlight w:val="none"/>
              </w:rPr>
              <w:t>、装卸车辆的噪声，在</w:t>
            </w:r>
            <w:r>
              <w:rPr>
                <w:rFonts w:hint="default" w:ascii="Times New Roman" w:hAnsi="Times New Roman" w:cs="Times New Roman"/>
                <w:bCs/>
                <w:color w:val="auto"/>
                <w:sz w:val="21"/>
                <w:szCs w:val="21"/>
                <w:highlight w:val="none"/>
                <w:lang w:val="en-US" w:eastAsia="zh-CN"/>
              </w:rPr>
              <w:t>70</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80</w:t>
            </w:r>
            <w:r>
              <w:rPr>
                <w:rFonts w:hint="default" w:ascii="Times New Roman" w:hAnsi="Times New Roman" w:cs="Times New Roman"/>
                <w:bCs/>
                <w:color w:val="auto"/>
                <w:sz w:val="21"/>
                <w:szCs w:val="21"/>
                <w:highlight w:val="none"/>
              </w:rPr>
              <w:t>dB</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A</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左右。</w:t>
            </w:r>
            <w:r>
              <w:rPr>
                <w:rFonts w:hint="default" w:ascii="Times New Roman" w:hAnsi="Times New Roman" w:cs="Times New Roman"/>
                <w:bCs/>
                <w:color w:val="auto"/>
                <w:sz w:val="21"/>
                <w:szCs w:val="21"/>
                <w:highlight w:val="none"/>
                <w:lang w:val="en-US" w:eastAsia="zh-CN"/>
              </w:rPr>
              <w:t>车辆采用低噪声设备、加强车辆维护、厂区内限速，夜间不生产</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在采取以上</w:t>
            </w:r>
            <w:r>
              <w:rPr>
                <w:rFonts w:hint="default" w:ascii="Times New Roman" w:hAnsi="Times New Roman" w:cs="Times New Roman"/>
                <w:bCs/>
                <w:color w:val="auto"/>
                <w:sz w:val="21"/>
                <w:szCs w:val="21"/>
                <w:highlight w:val="none"/>
              </w:rPr>
              <w:t>降噪措施后，项目厂界噪声满足《工业企业厂界环境噪声排放标准》（GB12348-2008）中2类标准，本项目对周围声环境影响较小。</w:t>
            </w:r>
          </w:p>
          <w:p w14:paraId="4AE3C9EA">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本项目运营期运输噪声主要表现为汽车运输对沿途居民生活的影响，如发动机声、鸣笛声。运营期运输车辆车流量较小，且一般都是分开运行，极少同时运行，建设单位应加强调度管理，禁止夜间运输，运输车辆要减速行驶，禁止鸣笛。采取以上措施后，运输噪声对</w:t>
            </w:r>
            <w:r>
              <w:rPr>
                <w:rFonts w:hint="eastAsia" w:cs="Times New Roman"/>
                <w:bCs/>
                <w:color w:val="auto"/>
                <w:sz w:val="21"/>
                <w:szCs w:val="21"/>
                <w:highlight w:val="none"/>
                <w:lang w:val="en-US" w:eastAsia="zh-CN"/>
              </w:rPr>
              <w:t>保护目标及</w:t>
            </w:r>
            <w:r>
              <w:rPr>
                <w:rFonts w:hint="default" w:ascii="Times New Roman" w:hAnsi="Times New Roman" w:cs="Times New Roman"/>
                <w:bCs/>
                <w:color w:val="auto"/>
                <w:sz w:val="21"/>
                <w:szCs w:val="21"/>
                <w:highlight w:val="none"/>
                <w:lang w:val="en-US" w:eastAsia="zh-CN"/>
              </w:rPr>
              <w:t>周围影响较小。</w:t>
            </w:r>
          </w:p>
          <w:p w14:paraId="4102D087">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）监测要求</w:t>
            </w:r>
          </w:p>
          <w:p w14:paraId="12214BFD">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根据《排污单位自行监测技术指南 总则》（HJ819-2017），噪声监测要求详见表4-</w:t>
            </w:r>
            <w:r>
              <w:rPr>
                <w:rFonts w:hint="default" w:ascii="Times New Roman" w:hAnsi="Times New Roman"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rPr>
              <w:t>。</w:t>
            </w:r>
          </w:p>
          <w:p w14:paraId="606FE424">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6</w:t>
            </w:r>
            <w:r>
              <w:rPr>
                <w:rFonts w:hint="default" w:ascii="Times New Roman" w:hAnsi="Times New Roman" w:eastAsia="宋体" w:cs="Times New Roman"/>
                <w:b/>
                <w:bCs/>
                <w:color w:val="auto"/>
                <w:kern w:val="2"/>
                <w:sz w:val="21"/>
                <w:szCs w:val="21"/>
                <w:highlight w:val="none"/>
                <w:lang w:val="en-US" w:eastAsia="zh-CN" w:bidi="ar-SA"/>
              </w:rPr>
              <w:t xml:space="preserve">  监测要求</w:t>
            </w:r>
          </w:p>
          <w:tbl>
            <w:tblPr>
              <w:tblStyle w:val="2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476"/>
              <w:gridCol w:w="1149"/>
              <w:gridCol w:w="1397"/>
              <w:gridCol w:w="3406"/>
            </w:tblGrid>
            <w:tr w14:paraId="3DA79D3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op w:val="single" w:color="auto" w:sz="12" w:space="0"/>
                  </w:tcBorders>
                  <w:noWrap w:val="0"/>
                  <w:vAlign w:val="center"/>
                </w:tcPr>
                <w:p w14:paraId="322321C2">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监测类别</w:t>
                  </w:r>
                </w:p>
              </w:tc>
              <w:tc>
                <w:tcPr>
                  <w:tcW w:w="1493" w:type="dxa"/>
                  <w:tcBorders>
                    <w:top w:val="single" w:color="auto" w:sz="12" w:space="0"/>
                  </w:tcBorders>
                  <w:noWrap w:val="0"/>
                  <w:vAlign w:val="center"/>
                </w:tcPr>
                <w:p w14:paraId="1D7319ED">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监测点位</w:t>
                  </w:r>
                </w:p>
              </w:tc>
              <w:tc>
                <w:tcPr>
                  <w:tcW w:w="1162" w:type="dxa"/>
                  <w:tcBorders>
                    <w:top w:val="single" w:color="auto" w:sz="12" w:space="0"/>
                  </w:tcBorders>
                  <w:noWrap w:val="0"/>
                  <w:vAlign w:val="center"/>
                </w:tcPr>
                <w:p w14:paraId="5F232020">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监测指标</w:t>
                  </w:r>
                </w:p>
              </w:tc>
              <w:tc>
                <w:tcPr>
                  <w:tcW w:w="1414" w:type="dxa"/>
                  <w:tcBorders>
                    <w:top w:val="single" w:color="auto" w:sz="12" w:space="0"/>
                  </w:tcBorders>
                  <w:noWrap w:val="0"/>
                  <w:vAlign w:val="center"/>
                </w:tcPr>
                <w:p w14:paraId="160DF773">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监测频次</w:t>
                  </w:r>
                </w:p>
              </w:tc>
              <w:tc>
                <w:tcPr>
                  <w:tcW w:w="3448" w:type="dxa"/>
                  <w:tcBorders>
                    <w:top w:val="single" w:color="auto" w:sz="12" w:space="0"/>
                  </w:tcBorders>
                  <w:noWrap w:val="0"/>
                  <w:vAlign w:val="center"/>
                </w:tcPr>
                <w:p w14:paraId="0DAE62AE">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执行标准</w:t>
                  </w:r>
                </w:p>
              </w:tc>
            </w:tr>
            <w:tr w14:paraId="4C61C5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bottom w:val="single" w:color="auto" w:sz="12" w:space="0"/>
                  </w:tcBorders>
                  <w:noWrap w:val="0"/>
                  <w:vAlign w:val="center"/>
                </w:tcPr>
                <w:p w14:paraId="591E570A">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声环境</w:t>
                  </w:r>
                </w:p>
              </w:tc>
              <w:tc>
                <w:tcPr>
                  <w:tcW w:w="1493" w:type="dxa"/>
                  <w:tcBorders>
                    <w:bottom w:val="single" w:color="auto" w:sz="12" w:space="0"/>
                  </w:tcBorders>
                  <w:noWrap w:val="0"/>
                  <w:vAlign w:val="center"/>
                </w:tcPr>
                <w:p w14:paraId="5B8EF6C5">
                  <w:pPr>
                    <w:adjustRightInd w:val="0"/>
                    <w:snapToGrid w:val="0"/>
                    <w:jc w:val="center"/>
                    <w:rPr>
                      <w:rFonts w:hint="default" w:ascii="Times New Roman" w:hAnsi="Times New Roman" w:eastAsia="宋体" w:cs="Times New Roman"/>
                      <w:bCs/>
                      <w:color w:val="auto"/>
                      <w:sz w:val="18"/>
                      <w:szCs w:val="18"/>
                      <w:highlight w:val="none"/>
                      <w:lang w:eastAsia="zh-CN"/>
                    </w:rPr>
                  </w:pPr>
                  <w:r>
                    <w:rPr>
                      <w:rFonts w:hint="default" w:ascii="Times New Roman" w:hAnsi="Times New Roman" w:cs="Times New Roman"/>
                      <w:bCs/>
                      <w:color w:val="auto"/>
                      <w:sz w:val="18"/>
                      <w:szCs w:val="18"/>
                      <w:highlight w:val="none"/>
                      <w:lang w:val="en-US" w:eastAsia="zh-CN"/>
                    </w:rPr>
                    <w:t>储煤场</w:t>
                  </w:r>
                  <w:r>
                    <w:rPr>
                      <w:rFonts w:hint="default" w:ascii="Times New Roman" w:hAnsi="Times New Roman" w:cs="Times New Roman"/>
                      <w:bCs/>
                      <w:color w:val="auto"/>
                      <w:sz w:val="18"/>
                      <w:szCs w:val="18"/>
                      <w:highlight w:val="none"/>
                    </w:rPr>
                    <w:t>四周外1m布设</w:t>
                  </w:r>
                  <w:r>
                    <w:rPr>
                      <w:rFonts w:hint="default" w:ascii="Times New Roman" w:hAnsi="Times New Roman" w:cs="Times New Roman"/>
                      <w:bCs/>
                      <w:color w:val="auto"/>
                      <w:sz w:val="18"/>
                      <w:szCs w:val="18"/>
                      <w:highlight w:val="none"/>
                      <w:lang w:val="en-US" w:eastAsia="zh-CN"/>
                    </w:rPr>
                    <w:t>监测点</w:t>
                  </w:r>
                </w:p>
              </w:tc>
              <w:tc>
                <w:tcPr>
                  <w:tcW w:w="1162" w:type="dxa"/>
                  <w:tcBorders>
                    <w:bottom w:val="single" w:color="auto" w:sz="12" w:space="0"/>
                  </w:tcBorders>
                  <w:noWrap w:val="0"/>
                  <w:vAlign w:val="center"/>
                </w:tcPr>
                <w:p w14:paraId="66EDF39E">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连续等效A声级</w:t>
                  </w:r>
                </w:p>
              </w:tc>
              <w:tc>
                <w:tcPr>
                  <w:tcW w:w="1414" w:type="dxa"/>
                  <w:tcBorders>
                    <w:bottom w:val="single" w:color="auto" w:sz="12" w:space="0"/>
                  </w:tcBorders>
                  <w:noWrap w:val="0"/>
                  <w:vAlign w:val="center"/>
                </w:tcPr>
                <w:p w14:paraId="54C31A60">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每季度开展1次昼</w:t>
                  </w:r>
                  <w:r>
                    <w:rPr>
                      <w:rFonts w:hint="default" w:ascii="Times New Roman" w:hAnsi="Times New Roman" w:cs="Times New Roman"/>
                      <w:bCs/>
                      <w:color w:val="auto"/>
                      <w:sz w:val="18"/>
                      <w:szCs w:val="18"/>
                      <w:highlight w:val="none"/>
                      <w:lang w:val="en-US" w:eastAsia="zh-CN"/>
                    </w:rPr>
                    <w:t>间</w:t>
                  </w:r>
                  <w:r>
                    <w:rPr>
                      <w:rFonts w:hint="default" w:ascii="Times New Roman" w:hAnsi="Times New Roman" w:cs="Times New Roman"/>
                      <w:bCs/>
                      <w:color w:val="auto"/>
                      <w:sz w:val="18"/>
                      <w:szCs w:val="18"/>
                      <w:highlight w:val="none"/>
                    </w:rPr>
                    <w:t>监测</w:t>
                  </w:r>
                </w:p>
              </w:tc>
              <w:tc>
                <w:tcPr>
                  <w:tcW w:w="3448" w:type="dxa"/>
                  <w:tcBorders>
                    <w:bottom w:val="single" w:color="auto" w:sz="12" w:space="0"/>
                  </w:tcBorders>
                  <w:noWrap w:val="0"/>
                  <w:vAlign w:val="center"/>
                </w:tcPr>
                <w:p w14:paraId="203976B4">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边界噪声满足《工业企业厂界环境噪声排放标准》（GB12348-2008）中的2类声环境功能区排放限值</w:t>
                  </w:r>
                </w:p>
              </w:tc>
            </w:tr>
          </w:tbl>
          <w:p w14:paraId="266A1735">
            <w:pPr>
              <w:spacing w:line="360" w:lineRule="auto"/>
              <w:jc w:val="left"/>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、固体废物</w:t>
            </w:r>
          </w:p>
          <w:p w14:paraId="31A83E08">
            <w:pPr>
              <w:pStyle w:val="34"/>
              <w:spacing w:line="360" w:lineRule="auto"/>
              <w:ind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固体废物排放信息</w:t>
            </w:r>
          </w:p>
          <w:p w14:paraId="599CA093">
            <w:p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生活垃圾</w:t>
            </w:r>
          </w:p>
          <w:p w14:paraId="28923AD3">
            <w:pPr>
              <w:pStyle w:val="6"/>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本项目员工</w:t>
            </w:r>
            <w:r>
              <w:rPr>
                <w:rFonts w:hint="default" w:ascii="Times New Roman" w:hAnsi="Times New Roman" w:cs="Times New Roman"/>
                <w:color w:val="auto"/>
                <w:sz w:val="21"/>
                <w:szCs w:val="21"/>
                <w:highlight w:val="none"/>
                <w:lang w:val="en-US" w:eastAsia="zh-CN"/>
              </w:rPr>
              <w:t>合计5</w:t>
            </w:r>
            <w:r>
              <w:rPr>
                <w:rFonts w:hint="default" w:ascii="Times New Roman" w:hAnsi="Times New Roman" w:cs="Times New Roman"/>
                <w:color w:val="auto"/>
                <w:sz w:val="21"/>
                <w:szCs w:val="21"/>
                <w:highlight w:val="none"/>
              </w:rPr>
              <w:t>人，生活垃圾按照0.5kg/人•d计，生产天数为</w:t>
            </w:r>
            <w:r>
              <w:rPr>
                <w:rFonts w:hint="default" w:ascii="Times New Roman" w:hAnsi="Times New Roman" w:cs="Times New Roman"/>
                <w:color w:val="auto"/>
                <w:sz w:val="21"/>
                <w:szCs w:val="21"/>
                <w:highlight w:val="none"/>
                <w:lang w:val="en-US" w:eastAsia="zh-CN"/>
              </w:rPr>
              <w:t>3</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天，则产生的生活垃圾量为</w:t>
            </w:r>
            <w:r>
              <w:rPr>
                <w:rFonts w:hint="eastAsia" w:cs="Times New Roman"/>
                <w:color w:val="auto"/>
                <w:sz w:val="21"/>
                <w:szCs w:val="21"/>
                <w:highlight w:val="none"/>
                <w:lang w:val="en-US" w:eastAsia="zh-CN"/>
              </w:rPr>
              <w:t>0.875</w:t>
            </w:r>
            <w:r>
              <w:rPr>
                <w:rFonts w:hint="default" w:ascii="Times New Roman" w:hAnsi="Times New Roman" w:cs="Times New Roman"/>
                <w:color w:val="auto"/>
                <w:sz w:val="21"/>
                <w:szCs w:val="21"/>
                <w:highlight w:val="none"/>
              </w:rPr>
              <w:t>t/a，集中收集，由所在地环卫部门清运处理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固体废物产生情况见表4-</w:t>
            </w:r>
            <w:r>
              <w:rPr>
                <w:rFonts w:hint="default" w:ascii="Times New Roman" w:hAnsi="Times New Roman"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w:t>
            </w:r>
          </w:p>
          <w:p w14:paraId="45C438BE">
            <w:pPr>
              <w:adjustRightInd w:val="0"/>
              <w:snapToGrid w:val="0"/>
              <w:spacing w:line="360" w:lineRule="auto"/>
              <w:ind w:firstLine="420" w:firstLineChars="200"/>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2）初期雨水收集池沉渣</w:t>
            </w:r>
          </w:p>
          <w:p w14:paraId="1A566CB8">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项目</w:t>
            </w:r>
            <w:r>
              <w:rPr>
                <w:rFonts w:hint="default" w:ascii="Times New Roman" w:hAnsi="Times New Roman" w:eastAsia="宋体" w:cs="Times New Roman"/>
                <w:bCs/>
                <w:color w:val="auto"/>
                <w:sz w:val="21"/>
                <w:szCs w:val="21"/>
                <w:highlight w:val="none"/>
                <w:lang w:val="en-US" w:eastAsia="zh-CN"/>
              </w:rPr>
              <w:t>收集雨水</w:t>
            </w:r>
            <w:r>
              <w:rPr>
                <w:rFonts w:hint="default" w:ascii="Times New Roman" w:hAnsi="Times New Roman" w:eastAsia="宋体" w:cs="Times New Roman"/>
                <w:bCs/>
                <w:color w:val="auto"/>
                <w:sz w:val="21"/>
                <w:szCs w:val="21"/>
                <w:highlight w:val="none"/>
                <w:lang w:eastAsia="zh-CN"/>
              </w:rPr>
              <w:t>经沉淀处理后循环使用，</w:t>
            </w:r>
            <w:r>
              <w:rPr>
                <w:rFonts w:hint="default" w:ascii="Times New Roman" w:hAnsi="Times New Roman" w:cs="Times New Roman"/>
                <w:bCs/>
                <w:color w:val="auto"/>
                <w:sz w:val="21"/>
                <w:szCs w:val="21"/>
                <w:highlight w:val="none"/>
                <w:lang w:eastAsia="zh-CN"/>
              </w:rPr>
              <w:t>初期雨水收集池</w:t>
            </w:r>
            <w:r>
              <w:rPr>
                <w:rFonts w:hint="default" w:ascii="Times New Roman" w:hAnsi="Times New Roman" w:eastAsia="宋体" w:cs="Times New Roman"/>
                <w:bCs/>
                <w:color w:val="auto"/>
                <w:sz w:val="21"/>
                <w:szCs w:val="21"/>
                <w:highlight w:val="none"/>
                <w:lang w:eastAsia="zh-CN"/>
              </w:rPr>
              <w:t>会产生少量的沉渣，主要为煤渣、</w:t>
            </w:r>
            <w:r>
              <w:rPr>
                <w:rFonts w:hint="default" w:ascii="Times New Roman" w:hAnsi="Times New Roman" w:eastAsia="宋体" w:cs="Times New Roman"/>
                <w:bCs/>
                <w:color w:val="auto"/>
                <w:sz w:val="21"/>
                <w:szCs w:val="21"/>
                <w:highlight w:val="none"/>
                <w:lang w:val="en-US" w:eastAsia="zh-CN"/>
              </w:rPr>
              <w:t>沉渣等物质</w:t>
            </w:r>
            <w:r>
              <w:rPr>
                <w:rFonts w:hint="default" w:ascii="Times New Roman" w:hAnsi="Times New Roman" w:eastAsia="宋体" w:cs="Times New Roman"/>
                <w:bCs/>
                <w:color w:val="auto"/>
                <w:sz w:val="21"/>
                <w:szCs w:val="21"/>
                <w:highlight w:val="none"/>
                <w:lang w:eastAsia="zh-CN"/>
              </w:rPr>
              <w:t>，沉渣的产生量约为</w:t>
            </w:r>
            <w:r>
              <w:rPr>
                <w:rFonts w:hint="default" w:ascii="Times New Roman" w:hAnsi="Times New Roman" w:cs="Times New Roman"/>
                <w:bCs/>
                <w:color w:val="auto"/>
                <w:sz w:val="21"/>
                <w:szCs w:val="21"/>
                <w:highlight w:val="none"/>
                <w:lang w:val="en-US" w:eastAsia="zh-CN"/>
              </w:rPr>
              <w:t>0.6</w:t>
            </w:r>
            <w:r>
              <w:rPr>
                <w:rFonts w:hint="default" w:ascii="Times New Roman" w:hAnsi="Times New Roman" w:eastAsia="宋体" w:cs="Times New Roman"/>
                <w:bCs/>
                <w:color w:val="auto"/>
                <w:sz w:val="21"/>
                <w:szCs w:val="21"/>
                <w:highlight w:val="none"/>
                <w:lang w:eastAsia="zh-CN"/>
              </w:rPr>
              <w:t>t/a，定期清理后</w:t>
            </w:r>
            <w:r>
              <w:rPr>
                <w:rFonts w:hint="eastAsia" w:cs="Times New Roman"/>
                <w:bCs/>
                <w:color w:val="auto"/>
                <w:sz w:val="21"/>
                <w:szCs w:val="21"/>
                <w:highlight w:val="none"/>
                <w:lang w:val="en-US" w:eastAsia="zh-CN"/>
              </w:rPr>
              <w:t>与煤炭一同</w:t>
            </w:r>
            <w:r>
              <w:rPr>
                <w:rFonts w:hint="default" w:ascii="Times New Roman" w:hAnsi="Times New Roman" w:eastAsia="宋体" w:cs="Times New Roman"/>
                <w:bCs/>
                <w:color w:val="auto"/>
                <w:sz w:val="21"/>
                <w:szCs w:val="21"/>
                <w:highlight w:val="none"/>
                <w:lang w:eastAsia="zh-CN"/>
              </w:rPr>
              <w:t>外售综合利用。</w:t>
            </w:r>
          </w:p>
          <w:p w14:paraId="1935C86B">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lang w:val="en-US" w:eastAsia="zh-CN"/>
              </w:rPr>
              <w:t>）危险</w:t>
            </w:r>
            <w:r>
              <w:rPr>
                <w:rFonts w:hint="default" w:ascii="Times New Roman" w:hAnsi="Times New Roman" w:cs="Times New Roman"/>
                <w:bCs/>
                <w:color w:val="auto"/>
                <w:sz w:val="21"/>
                <w:szCs w:val="21"/>
                <w:highlight w:val="none"/>
                <w:lang w:val="en-US" w:eastAsia="zh-CN"/>
              </w:rPr>
              <w:t>废物</w:t>
            </w:r>
          </w:p>
          <w:p w14:paraId="5D86FB3D">
            <w:pPr>
              <w:adjustRightInd w:val="0"/>
              <w:snapToGrid w:val="0"/>
              <w:spacing w:line="360" w:lineRule="auto"/>
              <w:ind w:firstLine="420" w:firstLineChars="200"/>
              <w:rPr>
                <w:rFonts w:hint="default" w:ascii="Times New Roman" w:hAnsi="Times New Roman" w:cs="Times New Roman"/>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本项目危险废物主要来源于机械设备维修保养产生的废机油、</w:t>
            </w:r>
            <w:r>
              <w:rPr>
                <w:rFonts w:hint="eastAsia" w:cs="Times New Roman"/>
                <w:bCs/>
                <w:color w:val="auto"/>
                <w:sz w:val="21"/>
                <w:szCs w:val="21"/>
                <w:highlight w:val="none"/>
                <w:lang w:val="en-US" w:eastAsia="zh-CN"/>
              </w:rPr>
              <w:t>废弃</w:t>
            </w:r>
            <w:r>
              <w:rPr>
                <w:rFonts w:hint="default" w:ascii="Times New Roman" w:hAnsi="Times New Roman" w:cs="Times New Roman"/>
                <w:bCs/>
                <w:color w:val="auto"/>
                <w:sz w:val="21"/>
                <w:szCs w:val="21"/>
                <w:highlight w:val="none"/>
                <w:lang w:val="en-US" w:eastAsia="zh-CN"/>
              </w:rPr>
              <w:t>含油抹布手套</w:t>
            </w:r>
            <w:r>
              <w:rPr>
                <w:rFonts w:hint="eastAsia" w:cs="Times New Roman"/>
                <w:bCs/>
                <w:color w:val="auto"/>
                <w:sz w:val="21"/>
                <w:szCs w:val="21"/>
                <w:highlight w:val="none"/>
                <w:lang w:val="en-US" w:eastAsia="zh-CN"/>
              </w:rPr>
              <w:t>、废机油桶</w:t>
            </w:r>
            <w:r>
              <w:rPr>
                <w:rFonts w:hint="default" w:ascii="Times New Roman" w:hAnsi="Times New Roman"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lang w:val="en-US" w:eastAsia="zh-CN"/>
              </w:rPr>
              <w:t>统一储存在</w:t>
            </w:r>
            <w:r>
              <w:rPr>
                <w:rFonts w:hint="default" w:ascii="Times New Roman" w:hAnsi="Times New Roman" w:cs="Times New Roman"/>
                <w:bCs/>
                <w:color w:val="auto"/>
                <w:sz w:val="21"/>
                <w:szCs w:val="21"/>
                <w:highlight w:val="none"/>
                <w:lang w:val="en-US" w:eastAsia="zh-CN"/>
              </w:rPr>
              <w:t>危险废物贮存点</w:t>
            </w:r>
            <w:r>
              <w:rPr>
                <w:rFonts w:hint="default" w:ascii="Times New Roman" w:hAnsi="Times New Roman" w:eastAsia="宋体" w:cs="Times New Roman"/>
                <w:bCs/>
                <w:color w:val="auto"/>
                <w:sz w:val="21"/>
                <w:szCs w:val="21"/>
                <w:highlight w:val="none"/>
                <w:lang w:val="en-US" w:eastAsia="zh-CN"/>
              </w:rPr>
              <w:t>内</w:t>
            </w:r>
            <w:r>
              <w:rPr>
                <w:rFonts w:hint="default" w:ascii="Times New Roman" w:hAnsi="Times New Roman" w:cs="Times New Roman"/>
                <w:bCs/>
                <w:color w:val="auto"/>
                <w:sz w:val="21"/>
                <w:szCs w:val="21"/>
                <w:highlight w:val="none"/>
                <w:lang w:val="en-US" w:eastAsia="zh-CN"/>
              </w:rPr>
              <w:t>密闭容器内</w:t>
            </w:r>
            <w:r>
              <w:rPr>
                <w:rFonts w:hint="default"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val="en-US" w:eastAsia="zh-CN"/>
              </w:rPr>
              <w:t>废机油</w:t>
            </w:r>
            <w:r>
              <w:rPr>
                <w:rFonts w:hint="default" w:ascii="Times New Roman" w:hAnsi="Times New Roman" w:cs="Times New Roman"/>
                <w:bCs/>
                <w:color w:val="auto"/>
                <w:sz w:val="21"/>
                <w:szCs w:val="21"/>
                <w:highlight w:val="none"/>
                <w:lang w:val="en-US" w:eastAsia="zh-CN"/>
              </w:rPr>
              <w:t>产生量</w:t>
            </w:r>
            <w:r>
              <w:rPr>
                <w:rFonts w:hint="eastAsia" w:cs="Times New Roman"/>
                <w:bCs/>
                <w:color w:val="auto"/>
                <w:sz w:val="21"/>
                <w:szCs w:val="21"/>
                <w:highlight w:val="none"/>
                <w:lang w:val="en-US" w:eastAsia="zh-CN"/>
              </w:rPr>
              <w:t>约</w:t>
            </w:r>
            <w:r>
              <w:rPr>
                <w:rFonts w:hint="default"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lang w:val="en-US" w:eastAsia="zh-CN"/>
              </w:rPr>
              <w:t>t/a</w:t>
            </w:r>
            <w:r>
              <w:rPr>
                <w:rFonts w:hint="eastAsia" w:cs="Times New Roman"/>
                <w:bCs/>
                <w:color w:val="auto"/>
                <w:sz w:val="21"/>
                <w:szCs w:val="21"/>
                <w:highlight w:val="none"/>
                <w:lang w:val="en-US" w:eastAsia="zh-CN"/>
              </w:rPr>
              <w:t>，废弃</w:t>
            </w:r>
            <w:r>
              <w:rPr>
                <w:rFonts w:hint="default" w:ascii="Times New Roman" w:hAnsi="Times New Roman" w:cs="Times New Roman"/>
                <w:bCs/>
                <w:color w:val="auto"/>
                <w:sz w:val="21"/>
                <w:szCs w:val="21"/>
                <w:highlight w:val="none"/>
                <w:lang w:val="en-US" w:eastAsia="zh-CN"/>
              </w:rPr>
              <w:t>含油抹布手套</w:t>
            </w:r>
            <w:r>
              <w:rPr>
                <w:rFonts w:hint="eastAsia" w:cs="Times New Roman"/>
                <w:bCs/>
                <w:color w:val="auto"/>
                <w:sz w:val="21"/>
                <w:szCs w:val="21"/>
                <w:highlight w:val="none"/>
                <w:lang w:val="en-US" w:eastAsia="zh-CN"/>
              </w:rPr>
              <w:t>、废机油桶</w:t>
            </w:r>
            <w:r>
              <w:rPr>
                <w:rFonts w:hint="default" w:ascii="Times New Roman" w:hAnsi="Times New Roman" w:cs="Times New Roman"/>
                <w:bCs/>
                <w:color w:val="auto"/>
                <w:sz w:val="21"/>
                <w:szCs w:val="21"/>
                <w:highlight w:val="none"/>
                <w:lang w:val="en-US" w:eastAsia="zh-CN"/>
              </w:rPr>
              <w:t>产生量</w:t>
            </w:r>
            <w:r>
              <w:rPr>
                <w:rFonts w:hint="eastAsia" w:cs="Times New Roman"/>
                <w:bCs/>
                <w:color w:val="auto"/>
                <w:sz w:val="21"/>
                <w:szCs w:val="21"/>
                <w:highlight w:val="none"/>
                <w:lang w:val="en-US" w:eastAsia="zh-CN"/>
              </w:rPr>
              <w:t>约</w:t>
            </w:r>
            <w:r>
              <w:rPr>
                <w:rFonts w:hint="default" w:ascii="Times New Roman" w:hAnsi="Times New Roman" w:eastAsia="宋体" w:cs="Times New Roman"/>
                <w:bCs/>
                <w:color w:val="auto"/>
                <w:sz w:val="21"/>
                <w:szCs w:val="21"/>
                <w:highlight w:val="none"/>
                <w:lang w:val="en-US" w:eastAsia="zh-CN"/>
              </w:rPr>
              <w:t>0.0</w:t>
            </w:r>
            <w:r>
              <w:rPr>
                <w:rFonts w:hint="eastAsia"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lang w:val="en-US" w:eastAsia="zh-CN"/>
              </w:rPr>
              <w:t>t/a，集中收集后</w:t>
            </w:r>
            <w:r>
              <w:rPr>
                <w:rFonts w:hint="default" w:ascii="Times New Roman" w:hAnsi="Times New Roman" w:eastAsia="宋体" w:cs="Times New Roman"/>
                <w:bCs/>
                <w:color w:val="auto"/>
                <w:sz w:val="21"/>
                <w:szCs w:val="21"/>
                <w:highlight w:val="none"/>
                <w:lang w:eastAsia="zh-CN"/>
              </w:rPr>
              <w:t>，定期</w:t>
            </w:r>
            <w:r>
              <w:rPr>
                <w:rFonts w:hint="default" w:ascii="Times New Roman" w:hAnsi="Times New Roman" w:eastAsia="宋体" w:cs="Times New Roman"/>
                <w:bCs/>
                <w:color w:val="auto"/>
                <w:sz w:val="21"/>
                <w:szCs w:val="21"/>
                <w:highlight w:val="none"/>
                <w:lang w:val="en-US" w:eastAsia="zh-CN"/>
              </w:rPr>
              <w:t>交由有资质单位处理。</w:t>
            </w:r>
            <w:r>
              <w:rPr>
                <w:rFonts w:hint="default" w:ascii="Times New Roman" w:hAnsi="Times New Roman" w:cs="Times New Roman"/>
                <w:bCs/>
                <w:color w:val="auto"/>
                <w:sz w:val="21"/>
                <w:szCs w:val="21"/>
                <w:highlight w:val="none"/>
                <w:lang w:val="en-US" w:eastAsia="zh-CN"/>
              </w:rPr>
              <w:t>危险废物贮存点</w:t>
            </w:r>
            <w:r>
              <w:rPr>
                <w:rFonts w:hint="eastAsia" w:cs="Times New Roman"/>
                <w:bCs/>
                <w:color w:val="auto"/>
                <w:sz w:val="21"/>
                <w:szCs w:val="21"/>
                <w:highlight w:val="none"/>
                <w:lang w:val="en-US" w:eastAsia="zh-CN"/>
              </w:rPr>
              <w:t>采取重点防渗</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防渗层</w:t>
            </w:r>
            <w:r>
              <w:rPr>
                <w:rFonts w:hint="eastAsia"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lang w:val="en-US" w:eastAsia="zh-CN"/>
              </w:rPr>
              <w:t>2mm厚的防渗人工材</w:t>
            </w:r>
            <w:r>
              <w:rPr>
                <w:rFonts w:hint="default" w:ascii="Times New Roman" w:hAnsi="Times New Roman" w:eastAsia="宋体" w:cs="Times New Roman"/>
                <w:color w:val="auto"/>
                <w:kern w:val="2"/>
                <w:sz w:val="21"/>
                <w:szCs w:val="21"/>
                <w:highlight w:val="none"/>
                <w:lang w:val="en-US" w:eastAsia="zh-CN" w:bidi="ar-SA"/>
              </w:rPr>
              <w:t>料，</w:t>
            </w:r>
            <w:r>
              <w:rPr>
                <w:rFonts w:hint="eastAsia" w:ascii="Times New Roman" w:hAnsi="Times New Roman" w:cs="Times New Roman"/>
                <w:color w:val="auto"/>
                <w:kern w:val="2"/>
                <w:sz w:val="21"/>
                <w:szCs w:val="21"/>
                <w:highlight w:val="none"/>
                <w:lang w:val="en-US" w:eastAsia="zh-CN" w:bidi="ar-SA"/>
              </w:rPr>
              <w:t>地面与裙脚</w:t>
            </w:r>
            <w:r>
              <w:rPr>
                <w:rFonts w:hint="eastAsia" w:ascii="Times New Roman" w:hAnsi="Times New Roman" w:eastAsia="宋体" w:cs="Times New Roman"/>
                <w:color w:val="auto"/>
                <w:kern w:val="2"/>
                <w:sz w:val="21"/>
                <w:szCs w:val="21"/>
                <w:highlight w:val="none"/>
                <w:lang w:val="en-US" w:eastAsia="zh-CN" w:bidi="ar-SA"/>
              </w:rPr>
              <w:t>使用水泥硬化</w:t>
            </w:r>
            <w:r>
              <w:rPr>
                <w:rFonts w:hint="eastAsia" w:ascii="Times New Roman" w:hAnsi="Times New Roman" w:cs="Times New Roman"/>
                <w:color w:val="auto"/>
                <w:kern w:val="2"/>
                <w:sz w:val="21"/>
                <w:szCs w:val="21"/>
                <w:highlight w:val="none"/>
                <w:lang w:val="en-US" w:eastAsia="zh-CN" w:bidi="ar-SA"/>
              </w:rPr>
              <w:t>防渗处理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防渗系数≤10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r>
              <w:rPr>
                <w:rFonts w:hint="default" w:ascii="Times New Roman" w:hAnsi="Times New Roman" w:eastAsia="宋体" w:cs="Times New Roman"/>
                <w:bCs/>
                <w:color w:val="auto"/>
                <w:sz w:val="21"/>
                <w:szCs w:val="21"/>
                <w:highlight w:val="none"/>
                <w:lang w:val="en-US" w:eastAsia="zh-CN"/>
              </w:rPr>
              <w:t>危险废物须做好危险废物情况的记录、记录上须标明危险废物的名</w:t>
            </w:r>
            <w:r>
              <w:rPr>
                <w:rFonts w:hint="default" w:ascii="Times New Roman" w:hAnsi="Times New Roman" w:cs="Times New Roman"/>
                <w:color w:val="auto"/>
                <w:sz w:val="21"/>
                <w:szCs w:val="21"/>
                <w:highlight w:val="none"/>
                <w:lang w:val="en-US" w:eastAsia="zh-CN"/>
              </w:rPr>
              <w:t>称、来源、数量、入库时间、废物出库日期及接收单位名称。危险废物经过统一收集后再交给有资质的危险废物处置单位处理。</w:t>
            </w:r>
          </w:p>
          <w:p w14:paraId="1FDC4936">
            <w:pPr>
              <w:numPr>
                <w:ilvl w:val="0"/>
                <w:numId w:val="0"/>
              </w:numPr>
              <w:adjustRightInd w:val="0"/>
              <w:snapToGrid w:val="0"/>
              <w:spacing w:line="360" w:lineRule="auto"/>
              <w:ind w:firstLine="420" w:firstLineChars="200"/>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采取上述措施后，运营期产生的固体废物可以得到有效处理处置，不会对周边环境产生危害性影响。</w:t>
            </w:r>
          </w:p>
          <w:p w14:paraId="3234AE29">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7</w:t>
            </w:r>
            <w:r>
              <w:rPr>
                <w:rFonts w:hint="default" w:ascii="Times New Roman" w:hAnsi="Times New Roman" w:eastAsia="宋体" w:cs="Times New Roman"/>
                <w:b/>
                <w:bCs/>
                <w:color w:val="auto"/>
                <w:kern w:val="2"/>
                <w:sz w:val="21"/>
                <w:szCs w:val="21"/>
                <w:highlight w:val="none"/>
                <w:lang w:val="en-US" w:eastAsia="zh-CN" w:bidi="ar-SA"/>
              </w:rPr>
              <w:t xml:space="preserve">  固体废物排放信息</w:t>
            </w:r>
          </w:p>
          <w:tbl>
            <w:tblPr>
              <w:tblStyle w:val="24"/>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5"/>
              <w:gridCol w:w="961"/>
              <w:gridCol w:w="1213"/>
              <w:gridCol w:w="1510"/>
              <w:gridCol w:w="865"/>
              <w:gridCol w:w="1222"/>
              <w:gridCol w:w="1297"/>
              <w:gridCol w:w="858"/>
            </w:tblGrid>
            <w:tr w14:paraId="35D88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tcBorders>
                    <w:tl2br w:val="nil"/>
                    <w:tr2bl w:val="nil"/>
                  </w:tcBorders>
                  <w:noWrap w:val="0"/>
                  <w:vAlign w:val="center"/>
                </w:tcPr>
                <w:p w14:paraId="3A068549">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产生环节</w:t>
                  </w:r>
                </w:p>
              </w:tc>
              <w:tc>
                <w:tcPr>
                  <w:tcW w:w="554" w:type="pct"/>
                  <w:tcBorders>
                    <w:tl2br w:val="nil"/>
                    <w:tr2bl w:val="nil"/>
                  </w:tcBorders>
                  <w:noWrap w:val="0"/>
                  <w:vAlign w:val="center"/>
                </w:tcPr>
                <w:p w14:paraId="5482EE2B">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名称</w:t>
                  </w:r>
                </w:p>
              </w:tc>
              <w:tc>
                <w:tcPr>
                  <w:tcW w:w="699" w:type="pct"/>
                  <w:tcBorders>
                    <w:tl2br w:val="nil"/>
                    <w:tr2bl w:val="nil"/>
                  </w:tcBorders>
                  <w:noWrap w:val="0"/>
                  <w:vAlign w:val="center"/>
                </w:tcPr>
                <w:p w14:paraId="04FE45FA">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性质</w:t>
                  </w:r>
                </w:p>
              </w:tc>
              <w:tc>
                <w:tcPr>
                  <w:tcW w:w="870" w:type="pct"/>
                  <w:tcBorders>
                    <w:tl2br w:val="nil"/>
                    <w:tr2bl w:val="nil"/>
                  </w:tcBorders>
                  <w:noWrap w:val="0"/>
                  <w:vAlign w:val="center"/>
                </w:tcPr>
                <w:p w14:paraId="6285C3BD">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代码</w:t>
                  </w:r>
                </w:p>
              </w:tc>
              <w:tc>
                <w:tcPr>
                  <w:tcW w:w="498" w:type="pct"/>
                  <w:tcBorders>
                    <w:tl2br w:val="nil"/>
                    <w:tr2bl w:val="nil"/>
                  </w:tcBorders>
                  <w:noWrap w:val="0"/>
                  <w:vAlign w:val="center"/>
                </w:tcPr>
                <w:p w14:paraId="5E07ED7A">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年产生量t/a</w:t>
                  </w:r>
                </w:p>
              </w:tc>
              <w:tc>
                <w:tcPr>
                  <w:tcW w:w="704" w:type="pct"/>
                  <w:tcBorders>
                    <w:tl2br w:val="nil"/>
                    <w:tr2bl w:val="nil"/>
                  </w:tcBorders>
                  <w:noWrap w:val="0"/>
                  <w:vAlign w:val="center"/>
                </w:tcPr>
                <w:p w14:paraId="60D259B3">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贮存方式</w:t>
                  </w:r>
                </w:p>
              </w:tc>
              <w:tc>
                <w:tcPr>
                  <w:tcW w:w="747" w:type="pct"/>
                  <w:tcBorders>
                    <w:tl2br w:val="nil"/>
                    <w:tr2bl w:val="nil"/>
                  </w:tcBorders>
                  <w:noWrap w:val="0"/>
                  <w:vAlign w:val="center"/>
                </w:tcPr>
                <w:p w14:paraId="4EE9FAEE">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处置方式和去向</w:t>
                  </w:r>
                </w:p>
              </w:tc>
              <w:tc>
                <w:tcPr>
                  <w:tcW w:w="494" w:type="pct"/>
                  <w:tcBorders>
                    <w:tl2br w:val="nil"/>
                    <w:tr2bl w:val="nil"/>
                  </w:tcBorders>
                  <w:noWrap w:val="0"/>
                  <w:vAlign w:val="center"/>
                </w:tcPr>
                <w:p w14:paraId="2E3AAFC8">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处置或利用量t/a</w:t>
                  </w:r>
                </w:p>
              </w:tc>
            </w:tr>
            <w:tr w14:paraId="5FF15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0" w:type="pct"/>
                  <w:tcBorders>
                    <w:tl2br w:val="nil"/>
                    <w:tr2bl w:val="nil"/>
                  </w:tcBorders>
                  <w:noWrap w:val="0"/>
                  <w:vAlign w:val="center"/>
                </w:tcPr>
                <w:p w14:paraId="26B1EC20">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日常生活</w:t>
                  </w:r>
                </w:p>
              </w:tc>
              <w:tc>
                <w:tcPr>
                  <w:tcW w:w="554" w:type="pct"/>
                  <w:tcBorders>
                    <w:tl2br w:val="nil"/>
                    <w:tr2bl w:val="nil"/>
                  </w:tcBorders>
                  <w:noWrap w:val="0"/>
                  <w:vAlign w:val="center"/>
                </w:tcPr>
                <w:p w14:paraId="042E9118">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lang w:val="en-US" w:eastAsia="zh-CN"/>
                    </w:rPr>
                    <w:t>生活垃圾</w:t>
                  </w:r>
                </w:p>
              </w:tc>
              <w:tc>
                <w:tcPr>
                  <w:tcW w:w="699" w:type="pct"/>
                  <w:tcBorders>
                    <w:tl2br w:val="nil"/>
                    <w:tr2bl w:val="nil"/>
                  </w:tcBorders>
                  <w:noWrap w:val="0"/>
                  <w:vAlign w:val="center"/>
                </w:tcPr>
                <w:p w14:paraId="2B3FA6C2">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一般固体废物</w:t>
                  </w:r>
                </w:p>
              </w:tc>
              <w:tc>
                <w:tcPr>
                  <w:tcW w:w="870" w:type="pct"/>
                  <w:tcBorders>
                    <w:tl2br w:val="nil"/>
                    <w:tr2bl w:val="nil"/>
                  </w:tcBorders>
                  <w:noWrap w:val="0"/>
                  <w:vAlign w:val="center"/>
                </w:tcPr>
                <w:p w14:paraId="2E1FBB33">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900-099-S64</w:t>
                  </w:r>
                </w:p>
              </w:tc>
              <w:tc>
                <w:tcPr>
                  <w:tcW w:w="498" w:type="pct"/>
                  <w:tcBorders>
                    <w:tl2br w:val="nil"/>
                    <w:tr2bl w:val="nil"/>
                  </w:tcBorders>
                  <w:noWrap w:val="0"/>
                  <w:vAlign w:val="center"/>
                </w:tcPr>
                <w:p w14:paraId="26F1C3C7">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w:t>
                  </w:r>
                  <w:r>
                    <w:rPr>
                      <w:rFonts w:hint="eastAsia" w:cs="Times New Roman"/>
                      <w:bCs/>
                      <w:color w:val="auto"/>
                      <w:sz w:val="18"/>
                      <w:szCs w:val="18"/>
                      <w:highlight w:val="none"/>
                      <w:lang w:val="en-US" w:eastAsia="zh-CN"/>
                    </w:rPr>
                    <w:t>8</w:t>
                  </w:r>
                  <w:r>
                    <w:rPr>
                      <w:rFonts w:hint="default" w:ascii="Times New Roman" w:hAnsi="Times New Roman" w:cs="Times New Roman"/>
                      <w:bCs/>
                      <w:color w:val="auto"/>
                      <w:sz w:val="18"/>
                      <w:szCs w:val="18"/>
                      <w:highlight w:val="none"/>
                      <w:lang w:val="en-US" w:eastAsia="zh-CN"/>
                    </w:rPr>
                    <w:t>75</w:t>
                  </w:r>
                </w:p>
              </w:tc>
              <w:tc>
                <w:tcPr>
                  <w:tcW w:w="704" w:type="pct"/>
                  <w:tcBorders>
                    <w:tl2br w:val="nil"/>
                    <w:tr2bl w:val="nil"/>
                  </w:tcBorders>
                  <w:noWrap w:val="0"/>
                  <w:vAlign w:val="center"/>
                </w:tcPr>
                <w:p w14:paraId="71B176A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垃圾箱</w:t>
                  </w:r>
                </w:p>
              </w:tc>
              <w:tc>
                <w:tcPr>
                  <w:tcW w:w="747" w:type="pct"/>
                  <w:tcBorders>
                    <w:tl2br w:val="nil"/>
                    <w:tr2bl w:val="nil"/>
                  </w:tcBorders>
                  <w:noWrap w:val="0"/>
                  <w:vAlign w:val="center"/>
                </w:tcPr>
                <w:p w14:paraId="2DEEF26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环卫部门</w:t>
                  </w:r>
                </w:p>
              </w:tc>
              <w:tc>
                <w:tcPr>
                  <w:tcW w:w="868" w:type="dxa"/>
                  <w:tcBorders>
                    <w:tl2br w:val="nil"/>
                    <w:tr2bl w:val="nil"/>
                  </w:tcBorders>
                  <w:noWrap w:val="0"/>
                  <w:vAlign w:val="center"/>
                </w:tcPr>
                <w:p w14:paraId="3C7925C7">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w:t>
                  </w:r>
                  <w:r>
                    <w:rPr>
                      <w:rFonts w:hint="eastAsia" w:cs="Times New Roman"/>
                      <w:bCs/>
                      <w:color w:val="auto"/>
                      <w:sz w:val="18"/>
                      <w:szCs w:val="18"/>
                      <w:highlight w:val="none"/>
                      <w:lang w:val="en-US" w:eastAsia="zh-CN"/>
                    </w:rPr>
                    <w:t>8</w:t>
                  </w:r>
                  <w:r>
                    <w:rPr>
                      <w:rFonts w:hint="default" w:ascii="Times New Roman" w:hAnsi="Times New Roman" w:cs="Times New Roman"/>
                      <w:bCs/>
                      <w:color w:val="auto"/>
                      <w:sz w:val="18"/>
                      <w:szCs w:val="18"/>
                      <w:highlight w:val="none"/>
                      <w:lang w:val="en-US" w:eastAsia="zh-CN"/>
                    </w:rPr>
                    <w:t>75</w:t>
                  </w:r>
                </w:p>
              </w:tc>
            </w:tr>
            <w:tr w14:paraId="3FA5E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0" w:type="pct"/>
                  <w:tcBorders>
                    <w:tl2br w:val="nil"/>
                    <w:tr2bl w:val="nil"/>
                  </w:tcBorders>
                  <w:noWrap w:val="0"/>
                  <w:vAlign w:val="center"/>
                </w:tcPr>
                <w:p w14:paraId="615218F5">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生产</w:t>
                  </w:r>
                </w:p>
              </w:tc>
              <w:tc>
                <w:tcPr>
                  <w:tcW w:w="554" w:type="pct"/>
                  <w:tcBorders>
                    <w:tl2br w:val="nil"/>
                    <w:tr2bl w:val="nil"/>
                  </w:tcBorders>
                  <w:noWrap w:val="0"/>
                  <w:vAlign w:val="center"/>
                </w:tcPr>
                <w:p w14:paraId="7FE679B7">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初期雨水收集池沉渣</w:t>
                  </w:r>
                </w:p>
              </w:tc>
              <w:tc>
                <w:tcPr>
                  <w:tcW w:w="699" w:type="pct"/>
                  <w:tcBorders>
                    <w:tl2br w:val="nil"/>
                    <w:tr2bl w:val="nil"/>
                  </w:tcBorders>
                  <w:noWrap w:val="0"/>
                  <w:vAlign w:val="center"/>
                </w:tcPr>
                <w:p w14:paraId="75F1B019">
                  <w:pPr>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一般固体废物</w:t>
                  </w:r>
                </w:p>
              </w:tc>
              <w:tc>
                <w:tcPr>
                  <w:tcW w:w="870" w:type="pct"/>
                  <w:tcBorders>
                    <w:tl2br w:val="nil"/>
                    <w:tr2bl w:val="nil"/>
                  </w:tcBorders>
                  <w:noWrap w:val="0"/>
                  <w:vAlign w:val="center"/>
                </w:tcPr>
                <w:p w14:paraId="32D37351">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900-099-S07</w:t>
                  </w:r>
                </w:p>
              </w:tc>
              <w:tc>
                <w:tcPr>
                  <w:tcW w:w="498" w:type="pct"/>
                  <w:tcBorders>
                    <w:tl2br w:val="nil"/>
                    <w:tr2bl w:val="nil"/>
                  </w:tcBorders>
                  <w:noWrap w:val="0"/>
                  <w:vAlign w:val="center"/>
                </w:tcPr>
                <w:p w14:paraId="737B468C">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0.6</w:t>
                  </w:r>
                </w:p>
              </w:tc>
              <w:tc>
                <w:tcPr>
                  <w:tcW w:w="704" w:type="pct"/>
                  <w:tcBorders>
                    <w:tl2br w:val="nil"/>
                    <w:tr2bl w:val="nil"/>
                  </w:tcBorders>
                  <w:noWrap w:val="0"/>
                  <w:vAlign w:val="center"/>
                </w:tcPr>
                <w:p w14:paraId="1C5A694B">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747" w:type="pct"/>
                  <w:tcBorders>
                    <w:tl2br w:val="nil"/>
                    <w:tr2bl w:val="nil"/>
                  </w:tcBorders>
                  <w:noWrap w:val="0"/>
                  <w:vAlign w:val="center"/>
                </w:tcPr>
                <w:p w14:paraId="69FD818F">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外售综合利用</w:t>
                  </w:r>
                </w:p>
              </w:tc>
              <w:tc>
                <w:tcPr>
                  <w:tcW w:w="494" w:type="pct"/>
                  <w:tcBorders>
                    <w:tl2br w:val="nil"/>
                    <w:tr2bl w:val="nil"/>
                  </w:tcBorders>
                  <w:noWrap w:val="0"/>
                  <w:vAlign w:val="center"/>
                </w:tcPr>
                <w:p w14:paraId="3C16E353">
                  <w:pPr>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0.6</w:t>
                  </w:r>
                </w:p>
              </w:tc>
            </w:tr>
            <w:tr w14:paraId="37B864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430" w:type="pct"/>
                  <w:vMerge w:val="restart"/>
                  <w:tcBorders>
                    <w:tl2br w:val="nil"/>
                    <w:tr2bl w:val="nil"/>
                  </w:tcBorders>
                  <w:noWrap w:val="0"/>
                  <w:vAlign w:val="center"/>
                </w:tcPr>
                <w:p w14:paraId="0F40EACA">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机械设备维护</w:t>
                  </w:r>
                </w:p>
              </w:tc>
              <w:tc>
                <w:tcPr>
                  <w:tcW w:w="554" w:type="pct"/>
                  <w:tcBorders>
                    <w:tl2br w:val="nil"/>
                    <w:tr2bl w:val="nil"/>
                  </w:tcBorders>
                  <w:noWrap w:val="0"/>
                  <w:vAlign w:val="center"/>
                </w:tcPr>
                <w:p w14:paraId="6AB543B5">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废机油</w:t>
                  </w:r>
                </w:p>
              </w:tc>
              <w:tc>
                <w:tcPr>
                  <w:tcW w:w="699" w:type="pct"/>
                  <w:tcBorders>
                    <w:tl2br w:val="nil"/>
                    <w:tr2bl w:val="nil"/>
                  </w:tcBorders>
                  <w:noWrap w:val="0"/>
                  <w:vAlign w:val="center"/>
                </w:tcPr>
                <w:p w14:paraId="6DD8E34A">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危险废物</w:t>
                  </w:r>
                </w:p>
              </w:tc>
              <w:tc>
                <w:tcPr>
                  <w:tcW w:w="870" w:type="pct"/>
                  <w:tcBorders>
                    <w:tl2br w:val="nil"/>
                    <w:tr2bl w:val="nil"/>
                  </w:tcBorders>
                  <w:noWrap w:val="0"/>
                  <w:vAlign w:val="center"/>
                </w:tcPr>
                <w:p w14:paraId="2EF016EC">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900-217-08</w:t>
                  </w:r>
                </w:p>
              </w:tc>
              <w:tc>
                <w:tcPr>
                  <w:tcW w:w="498" w:type="pct"/>
                  <w:tcBorders>
                    <w:tl2br w:val="nil"/>
                    <w:tr2bl w:val="nil"/>
                  </w:tcBorders>
                  <w:noWrap w:val="0"/>
                  <w:vAlign w:val="center"/>
                </w:tcPr>
                <w:p w14:paraId="65CFB92E">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0.0</w:t>
                  </w:r>
                  <w:r>
                    <w:rPr>
                      <w:rFonts w:hint="eastAsia" w:cs="Times New Roman"/>
                      <w:bCs/>
                      <w:color w:val="auto"/>
                      <w:sz w:val="18"/>
                      <w:szCs w:val="18"/>
                      <w:highlight w:val="none"/>
                      <w:lang w:val="en-US" w:eastAsia="zh-CN"/>
                    </w:rPr>
                    <w:t>2</w:t>
                  </w:r>
                </w:p>
              </w:tc>
              <w:tc>
                <w:tcPr>
                  <w:tcW w:w="704" w:type="pct"/>
                  <w:tcBorders>
                    <w:tl2br w:val="nil"/>
                    <w:tr2bl w:val="nil"/>
                  </w:tcBorders>
                  <w:noWrap w:val="0"/>
                  <w:vAlign w:val="center"/>
                </w:tcPr>
                <w:p w14:paraId="4D90E880">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暂存</w:t>
                  </w:r>
                  <w:r>
                    <w:rPr>
                      <w:rFonts w:hint="default" w:ascii="Times New Roman" w:hAnsi="Times New Roman" w:cs="Times New Roman"/>
                      <w:color w:val="auto"/>
                      <w:sz w:val="18"/>
                      <w:szCs w:val="18"/>
                      <w:highlight w:val="none"/>
                      <w:lang w:val="en-US" w:eastAsia="zh-CN"/>
                    </w:rPr>
                    <w:t>危险废物贮存点</w:t>
                  </w:r>
                  <w:r>
                    <w:rPr>
                      <w:rFonts w:hint="default" w:ascii="Times New Roman" w:hAnsi="Times New Roman" w:eastAsia="宋体" w:cs="Times New Roman"/>
                      <w:bCs/>
                      <w:color w:val="auto"/>
                      <w:sz w:val="18"/>
                      <w:szCs w:val="18"/>
                      <w:highlight w:val="none"/>
                      <w:lang w:val="en-US" w:eastAsia="zh-CN"/>
                    </w:rPr>
                    <w:t>内</w:t>
                  </w:r>
                  <w:r>
                    <w:rPr>
                      <w:rFonts w:hint="default" w:ascii="Times New Roman" w:hAnsi="Times New Roman" w:cs="Times New Roman"/>
                      <w:bCs/>
                      <w:color w:val="auto"/>
                      <w:sz w:val="18"/>
                      <w:szCs w:val="18"/>
                      <w:highlight w:val="none"/>
                      <w:lang w:val="en-US" w:eastAsia="zh-CN"/>
                    </w:rPr>
                    <w:t>密闭容器内</w:t>
                  </w:r>
                </w:p>
              </w:tc>
              <w:tc>
                <w:tcPr>
                  <w:tcW w:w="747" w:type="pct"/>
                  <w:vMerge w:val="restart"/>
                  <w:tcBorders>
                    <w:tl2br w:val="nil"/>
                    <w:tr2bl w:val="nil"/>
                  </w:tcBorders>
                  <w:noWrap w:val="0"/>
                  <w:vAlign w:val="center"/>
                </w:tcPr>
                <w:p w14:paraId="1FC30739">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委托有资质单位处置</w:t>
                  </w:r>
                </w:p>
              </w:tc>
              <w:tc>
                <w:tcPr>
                  <w:tcW w:w="494" w:type="pct"/>
                  <w:vMerge w:val="restart"/>
                  <w:tcBorders>
                    <w:tl2br w:val="nil"/>
                    <w:tr2bl w:val="nil"/>
                  </w:tcBorders>
                  <w:noWrap w:val="0"/>
                  <w:vAlign w:val="center"/>
                </w:tcPr>
                <w:p w14:paraId="3CF47093">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0.0</w:t>
                  </w:r>
                  <w:r>
                    <w:rPr>
                      <w:rFonts w:hint="eastAsia" w:cs="Times New Roman"/>
                      <w:bCs/>
                      <w:color w:val="auto"/>
                      <w:sz w:val="18"/>
                      <w:szCs w:val="18"/>
                      <w:highlight w:val="none"/>
                      <w:lang w:val="en-US" w:eastAsia="zh-CN"/>
                    </w:rPr>
                    <w:t>3</w:t>
                  </w:r>
                </w:p>
              </w:tc>
            </w:tr>
            <w:tr w14:paraId="028266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30" w:type="pct"/>
                  <w:vMerge w:val="continue"/>
                  <w:tcBorders>
                    <w:tl2br w:val="nil"/>
                    <w:tr2bl w:val="nil"/>
                  </w:tcBorders>
                  <w:noWrap w:val="0"/>
                  <w:vAlign w:val="center"/>
                </w:tcPr>
                <w:p w14:paraId="4158F109">
                  <w:pPr>
                    <w:jc w:val="center"/>
                    <w:rPr>
                      <w:rFonts w:hint="default" w:ascii="Times New Roman" w:hAnsi="Times New Roman" w:cs="Times New Roman"/>
                      <w:bCs/>
                      <w:color w:val="auto"/>
                      <w:sz w:val="18"/>
                      <w:szCs w:val="18"/>
                      <w:highlight w:val="none"/>
                      <w:lang w:val="en-US" w:eastAsia="zh-CN"/>
                    </w:rPr>
                  </w:pPr>
                </w:p>
              </w:tc>
              <w:tc>
                <w:tcPr>
                  <w:tcW w:w="554" w:type="pct"/>
                  <w:tcBorders>
                    <w:tl2br w:val="nil"/>
                    <w:tr2bl w:val="nil"/>
                  </w:tcBorders>
                  <w:noWrap w:val="0"/>
                  <w:vAlign w:val="center"/>
                </w:tcPr>
                <w:p w14:paraId="439BD5DC">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废弃含油抹布手套</w:t>
                  </w:r>
                  <w:r>
                    <w:rPr>
                      <w:rFonts w:hint="eastAsia" w:cs="Times New Roman"/>
                      <w:bCs/>
                      <w:color w:val="auto"/>
                      <w:sz w:val="18"/>
                      <w:szCs w:val="18"/>
                      <w:highlight w:val="none"/>
                      <w:lang w:val="en-US" w:eastAsia="zh-CN"/>
                    </w:rPr>
                    <w:t>、废机油桶</w:t>
                  </w:r>
                </w:p>
              </w:tc>
              <w:tc>
                <w:tcPr>
                  <w:tcW w:w="699" w:type="pct"/>
                  <w:tcBorders>
                    <w:tl2br w:val="nil"/>
                    <w:tr2bl w:val="nil"/>
                  </w:tcBorders>
                  <w:noWrap w:val="0"/>
                  <w:vAlign w:val="center"/>
                </w:tcPr>
                <w:p w14:paraId="40A7C838">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危险废物</w:t>
                  </w:r>
                </w:p>
              </w:tc>
              <w:tc>
                <w:tcPr>
                  <w:tcW w:w="870" w:type="pct"/>
                  <w:tcBorders>
                    <w:tl2br w:val="nil"/>
                    <w:tr2bl w:val="nil"/>
                  </w:tcBorders>
                  <w:noWrap w:val="0"/>
                  <w:vAlign w:val="center"/>
                </w:tcPr>
                <w:p w14:paraId="51034D78">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900-041-49</w:t>
                  </w:r>
                </w:p>
              </w:tc>
              <w:tc>
                <w:tcPr>
                  <w:tcW w:w="498" w:type="pct"/>
                  <w:tcBorders>
                    <w:tl2br w:val="nil"/>
                    <w:tr2bl w:val="nil"/>
                  </w:tcBorders>
                  <w:noWrap w:val="0"/>
                  <w:vAlign w:val="center"/>
                </w:tcPr>
                <w:p w14:paraId="562AB6C1">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0.01</w:t>
                  </w:r>
                </w:p>
              </w:tc>
              <w:tc>
                <w:tcPr>
                  <w:tcW w:w="704" w:type="pct"/>
                  <w:tcBorders>
                    <w:tl2br w:val="nil"/>
                    <w:tr2bl w:val="nil"/>
                  </w:tcBorders>
                  <w:noWrap w:val="0"/>
                  <w:vAlign w:val="center"/>
                </w:tcPr>
                <w:p w14:paraId="0A5AE2D7">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暂存</w:t>
                  </w:r>
                  <w:r>
                    <w:rPr>
                      <w:rFonts w:hint="default" w:ascii="Times New Roman" w:hAnsi="Times New Roman" w:cs="Times New Roman"/>
                      <w:color w:val="auto"/>
                      <w:sz w:val="18"/>
                      <w:szCs w:val="18"/>
                      <w:highlight w:val="none"/>
                      <w:lang w:val="en-US" w:eastAsia="zh-CN"/>
                    </w:rPr>
                    <w:t>危险废物贮存点</w:t>
                  </w:r>
                  <w:r>
                    <w:rPr>
                      <w:rFonts w:hint="default" w:ascii="Times New Roman" w:hAnsi="Times New Roman" w:eastAsia="宋体" w:cs="Times New Roman"/>
                      <w:bCs/>
                      <w:color w:val="auto"/>
                      <w:sz w:val="18"/>
                      <w:szCs w:val="18"/>
                      <w:highlight w:val="none"/>
                      <w:lang w:val="en-US" w:eastAsia="zh-CN"/>
                    </w:rPr>
                    <w:t>内</w:t>
                  </w:r>
                  <w:r>
                    <w:rPr>
                      <w:rFonts w:hint="default" w:ascii="Times New Roman" w:hAnsi="Times New Roman" w:cs="Times New Roman"/>
                      <w:bCs/>
                      <w:color w:val="auto"/>
                      <w:sz w:val="18"/>
                      <w:szCs w:val="18"/>
                      <w:highlight w:val="none"/>
                      <w:lang w:val="en-US" w:eastAsia="zh-CN"/>
                    </w:rPr>
                    <w:t>密闭容器内</w:t>
                  </w:r>
                </w:p>
              </w:tc>
              <w:tc>
                <w:tcPr>
                  <w:tcW w:w="747" w:type="pct"/>
                  <w:vMerge w:val="continue"/>
                  <w:tcBorders>
                    <w:tl2br w:val="nil"/>
                    <w:tr2bl w:val="nil"/>
                  </w:tcBorders>
                  <w:noWrap w:val="0"/>
                  <w:vAlign w:val="center"/>
                </w:tcPr>
                <w:p w14:paraId="2520643A">
                  <w:pPr>
                    <w:adjustRightInd w:val="0"/>
                    <w:snapToGrid w:val="0"/>
                    <w:jc w:val="center"/>
                    <w:rPr>
                      <w:rFonts w:hint="default" w:ascii="Times New Roman" w:hAnsi="Times New Roman" w:cs="Times New Roman"/>
                      <w:color w:val="auto"/>
                      <w:sz w:val="18"/>
                      <w:szCs w:val="18"/>
                      <w:highlight w:val="none"/>
                    </w:rPr>
                  </w:pPr>
                </w:p>
              </w:tc>
              <w:tc>
                <w:tcPr>
                  <w:tcW w:w="494" w:type="pct"/>
                  <w:vMerge w:val="continue"/>
                  <w:tcBorders>
                    <w:tl2br w:val="nil"/>
                    <w:tr2bl w:val="nil"/>
                  </w:tcBorders>
                  <w:noWrap w:val="0"/>
                  <w:vAlign w:val="center"/>
                </w:tcPr>
                <w:p w14:paraId="402207D6">
                  <w:pPr>
                    <w:adjustRightInd w:val="0"/>
                    <w:snapToGrid w:val="0"/>
                    <w:jc w:val="center"/>
                    <w:rPr>
                      <w:rFonts w:hint="default" w:ascii="Times New Roman" w:hAnsi="Times New Roman" w:cs="Times New Roman"/>
                      <w:bCs/>
                      <w:color w:val="auto"/>
                      <w:sz w:val="18"/>
                      <w:szCs w:val="18"/>
                      <w:highlight w:val="none"/>
                      <w:lang w:val="en-US" w:eastAsia="zh-CN"/>
                    </w:rPr>
                  </w:pPr>
                </w:p>
              </w:tc>
            </w:tr>
          </w:tbl>
          <w:p w14:paraId="4A30A68F">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（2）危险废物处置措施</w:t>
            </w:r>
          </w:p>
          <w:p w14:paraId="655DFD9A">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lang w:val="en-US" w:eastAsia="zh-CN"/>
              </w:rPr>
              <w:t>危险废物贮存点</w:t>
            </w:r>
            <w:r>
              <w:rPr>
                <w:rFonts w:hint="default" w:ascii="Times New Roman" w:hAnsi="Times New Roman" w:eastAsia="宋体" w:cs="Times New Roman"/>
                <w:bCs/>
                <w:color w:val="auto"/>
                <w:sz w:val="21"/>
                <w:szCs w:val="21"/>
                <w:highlight w:val="none"/>
                <w:lang w:val="en-US" w:eastAsia="zh-CN"/>
              </w:rPr>
              <w:t>设置要求</w:t>
            </w:r>
          </w:p>
          <w:p w14:paraId="08700E9D">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危险废物贮存点</w:t>
            </w:r>
            <w:r>
              <w:rPr>
                <w:rFonts w:hint="default" w:ascii="Times New Roman" w:hAnsi="Times New Roman" w:eastAsia="宋体" w:cs="Times New Roman"/>
                <w:bCs/>
                <w:color w:val="auto"/>
                <w:sz w:val="21"/>
                <w:szCs w:val="21"/>
                <w:highlight w:val="none"/>
                <w:lang w:val="en-US" w:eastAsia="zh-CN"/>
              </w:rPr>
              <w:t>应做到防风、防雨、防晒、防渗漏，</w:t>
            </w:r>
            <w:r>
              <w:rPr>
                <w:rFonts w:hint="default" w:ascii="Times New Roman" w:hAnsi="Times New Roman" w:eastAsia="宋体" w:cs="Times New Roman"/>
                <w:color w:val="auto"/>
                <w:sz w:val="21"/>
                <w:szCs w:val="21"/>
                <w:highlight w:val="none"/>
                <w:lang w:val="en-US" w:eastAsia="zh-CN"/>
              </w:rPr>
              <w:t>防渗层</w:t>
            </w:r>
            <w:r>
              <w:rPr>
                <w:rFonts w:hint="eastAsia"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lang w:val="en-US" w:eastAsia="zh-CN"/>
              </w:rPr>
              <w:t>2mm厚的防渗人工材</w:t>
            </w:r>
            <w:r>
              <w:rPr>
                <w:rFonts w:hint="default" w:ascii="Times New Roman" w:hAnsi="Times New Roman" w:eastAsia="宋体" w:cs="Times New Roman"/>
                <w:color w:val="auto"/>
                <w:kern w:val="2"/>
                <w:sz w:val="21"/>
                <w:szCs w:val="21"/>
                <w:highlight w:val="none"/>
                <w:lang w:val="en-US" w:eastAsia="zh-CN" w:bidi="ar-SA"/>
              </w:rPr>
              <w:t>料，</w:t>
            </w:r>
            <w:r>
              <w:rPr>
                <w:rFonts w:hint="eastAsia" w:ascii="Times New Roman" w:hAnsi="Times New Roman" w:cs="Times New Roman"/>
                <w:color w:val="auto"/>
                <w:kern w:val="2"/>
                <w:sz w:val="21"/>
                <w:szCs w:val="21"/>
                <w:highlight w:val="none"/>
                <w:lang w:val="en-US" w:eastAsia="zh-CN" w:bidi="ar-SA"/>
              </w:rPr>
              <w:t>地面与裙脚</w:t>
            </w:r>
            <w:r>
              <w:rPr>
                <w:rFonts w:hint="eastAsia" w:ascii="Times New Roman" w:hAnsi="Times New Roman" w:eastAsia="宋体" w:cs="Times New Roman"/>
                <w:color w:val="auto"/>
                <w:kern w:val="2"/>
                <w:sz w:val="21"/>
                <w:szCs w:val="21"/>
                <w:highlight w:val="none"/>
                <w:lang w:val="en-US" w:eastAsia="zh-CN" w:bidi="ar-SA"/>
              </w:rPr>
              <w:t>使用水泥硬化</w:t>
            </w:r>
            <w:r>
              <w:rPr>
                <w:rFonts w:hint="eastAsia" w:ascii="Times New Roman" w:hAnsi="Times New Roman" w:cs="Times New Roman"/>
                <w:color w:val="auto"/>
                <w:kern w:val="2"/>
                <w:sz w:val="21"/>
                <w:szCs w:val="21"/>
                <w:highlight w:val="none"/>
                <w:lang w:val="en-US" w:eastAsia="zh-CN" w:bidi="ar-SA"/>
              </w:rPr>
              <w:t>防渗处理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防渗系数≤10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r>
              <w:rPr>
                <w:rFonts w:hint="eastAsia"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bCs/>
                <w:color w:val="auto"/>
                <w:sz w:val="21"/>
                <w:szCs w:val="21"/>
                <w:highlight w:val="none"/>
                <w:lang w:val="en-US" w:eastAsia="zh-CN"/>
              </w:rPr>
              <w:t>严格按照《危险废物贮存污染控制标准》（GB18597-20</w:t>
            </w:r>
            <w:r>
              <w:rPr>
                <w:rFonts w:hint="default" w:ascii="Times New Roman" w:hAnsi="Times New Roman" w:cs="Times New Roman"/>
                <w:bCs/>
                <w:color w:val="auto"/>
                <w:sz w:val="21"/>
                <w:szCs w:val="21"/>
                <w:highlight w:val="none"/>
                <w:lang w:val="en-US" w:eastAsia="zh-CN"/>
              </w:rPr>
              <w:t>23</w:t>
            </w:r>
            <w:r>
              <w:rPr>
                <w:rFonts w:hint="default" w:ascii="Times New Roman" w:hAnsi="Times New Roman" w:eastAsia="宋体" w:cs="Times New Roman"/>
                <w:bCs/>
                <w:color w:val="auto"/>
                <w:sz w:val="21"/>
                <w:szCs w:val="21"/>
                <w:highlight w:val="none"/>
                <w:lang w:val="en-US" w:eastAsia="zh-CN"/>
              </w:rPr>
              <w:t>）的要求进行</w:t>
            </w:r>
            <w:r>
              <w:rPr>
                <w:rFonts w:hint="eastAsia" w:ascii="Times New Roman" w:hAnsi="Times New Roman" w:cs="Times New Roman"/>
                <w:bCs/>
                <w:color w:val="auto"/>
                <w:sz w:val="21"/>
                <w:szCs w:val="21"/>
                <w:highlight w:val="none"/>
                <w:lang w:val="en-US" w:eastAsia="zh-CN"/>
              </w:rPr>
              <w:t>设置</w:t>
            </w:r>
            <w:r>
              <w:rPr>
                <w:rFonts w:hint="default" w:ascii="Times New Roman" w:hAnsi="Times New Roman" w:cs="Times New Roman"/>
                <w:bCs/>
                <w:color w:val="auto"/>
                <w:sz w:val="21"/>
                <w:szCs w:val="21"/>
                <w:highlight w:val="none"/>
                <w:lang w:val="en-US" w:eastAsia="zh-CN"/>
              </w:rPr>
              <w:t>。</w:t>
            </w:r>
          </w:p>
          <w:p w14:paraId="0941B0BC">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8</w:t>
            </w:r>
            <w:r>
              <w:rPr>
                <w:rFonts w:hint="default" w:ascii="Times New Roman" w:hAnsi="Times New Roman" w:eastAsia="宋体" w:cs="Times New Roman"/>
                <w:b/>
                <w:bCs/>
                <w:color w:val="auto"/>
                <w:kern w:val="2"/>
                <w:sz w:val="21"/>
                <w:szCs w:val="21"/>
                <w:highlight w:val="none"/>
                <w:lang w:val="en-US" w:eastAsia="zh-CN" w:bidi="ar-SA"/>
              </w:rPr>
              <w:t xml:space="preserve">  危险废物贮存场所基本情况</w:t>
            </w:r>
          </w:p>
          <w:tbl>
            <w:tblPr>
              <w:tblStyle w:val="24"/>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1346"/>
              <w:gridCol w:w="1424"/>
              <w:gridCol w:w="1094"/>
              <w:gridCol w:w="1680"/>
              <w:gridCol w:w="983"/>
              <w:gridCol w:w="978"/>
            </w:tblGrid>
            <w:tr w14:paraId="6C53FC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op w:val="single" w:color="auto" w:sz="12" w:space="0"/>
                  </w:tcBorders>
                  <w:noWrap w:val="0"/>
                  <w:vAlign w:val="center"/>
                </w:tcPr>
                <w:p w14:paraId="46299BE5">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危险废物名称</w:t>
                  </w:r>
                </w:p>
              </w:tc>
              <w:tc>
                <w:tcPr>
                  <w:tcW w:w="1346" w:type="dxa"/>
                  <w:tcBorders>
                    <w:top w:val="single" w:color="auto" w:sz="12" w:space="0"/>
                  </w:tcBorders>
                  <w:noWrap w:val="0"/>
                  <w:vAlign w:val="center"/>
                </w:tcPr>
                <w:p w14:paraId="611BAFDE">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危险废物类别</w:t>
                  </w:r>
                </w:p>
              </w:tc>
              <w:tc>
                <w:tcPr>
                  <w:tcW w:w="1424" w:type="dxa"/>
                  <w:tcBorders>
                    <w:top w:val="single" w:color="auto" w:sz="12" w:space="0"/>
                  </w:tcBorders>
                  <w:noWrap w:val="0"/>
                  <w:vAlign w:val="center"/>
                </w:tcPr>
                <w:p w14:paraId="4020758F">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危险废物代码</w:t>
                  </w:r>
                </w:p>
              </w:tc>
              <w:tc>
                <w:tcPr>
                  <w:tcW w:w="1094" w:type="dxa"/>
                  <w:tcBorders>
                    <w:top w:val="single" w:color="auto" w:sz="12" w:space="0"/>
                  </w:tcBorders>
                  <w:noWrap w:val="0"/>
                  <w:vAlign w:val="center"/>
                </w:tcPr>
                <w:p w14:paraId="5DE1A32A">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年产生量</w:t>
                  </w:r>
                </w:p>
              </w:tc>
              <w:tc>
                <w:tcPr>
                  <w:tcW w:w="1680" w:type="dxa"/>
                  <w:tcBorders>
                    <w:top w:val="single" w:color="auto" w:sz="12" w:space="0"/>
                  </w:tcBorders>
                  <w:noWrap w:val="0"/>
                  <w:vAlign w:val="center"/>
                </w:tcPr>
                <w:p w14:paraId="13E5C7EE">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贮存方式</w:t>
                  </w:r>
                </w:p>
              </w:tc>
              <w:tc>
                <w:tcPr>
                  <w:tcW w:w="983" w:type="dxa"/>
                  <w:tcBorders>
                    <w:top w:val="single" w:color="auto" w:sz="12" w:space="0"/>
                  </w:tcBorders>
                  <w:noWrap w:val="0"/>
                  <w:vAlign w:val="center"/>
                </w:tcPr>
                <w:p w14:paraId="7CC62A03">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贮存能力</w:t>
                  </w:r>
                </w:p>
              </w:tc>
              <w:tc>
                <w:tcPr>
                  <w:tcW w:w="978" w:type="dxa"/>
                  <w:tcBorders>
                    <w:top w:val="single" w:color="auto" w:sz="12" w:space="0"/>
                  </w:tcBorders>
                  <w:noWrap w:val="0"/>
                  <w:vAlign w:val="center"/>
                </w:tcPr>
                <w:p w14:paraId="2F203AE8">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贮存周期</w:t>
                  </w:r>
                </w:p>
              </w:tc>
            </w:tr>
            <w:tr w14:paraId="11E95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noWrap w:val="0"/>
                  <w:vAlign w:val="center"/>
                </w:tcPr>
                <w:p w14:paraId="53241F21">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废机油</w:t>
                  </w:r>
                </w:p>
              </w:tc>
              <w:tc>
                <w:tcPr>
                  <w:tcW w:w="1346" w:type="dxa"/>
                  <w:noWrap w:val="0"/>
                  <w:vAlign w:val="center"/>
                </w:tcPr>
                <w:p w14:paraId="1C69FE09">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HW08</w:t>
                  </w:r>
                </w:p>
              </w:tc>
              <w:tc>
                <w:tcPr>
                  <w:tcW w:w="1424" w:type="dxa"/>
                  <w:noWrap w:val="0"/>
                  <w:vAlign w:val="center"/>
                </w:tcPr>
                <w:p w14:paraId="1CE55187">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900-217-08</w:t>
                  </w:r>
                </w:p>
              </w:tc>
              <w:tc>
                <w:tcPr>
                  <w:tcW w:w="1094" w:type="dxa"/>
                  <w:noWrap w:val="0"/>
                  <w:vAlign w:val="center"/>
                </w:tcPr>
                <w:p w14:paraId="53680E41">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0.</w:t>
                  </w:r>
                  <w:r>
                    <w:rPr>
                      <w:rFonts w:hint="default" w:ascii="Times New Roman" w:hAnsi="Times New Roman" w:cs="Times New Roman"/>
                      <w:bCs/>
                      <w:color w:val="auto"/>
                      <w:sz w:val="18"/>
                      <w:szCs w:val="18"/>
                      <w:highlight w:val="none"/>
                      <w:lang w:val="en-US" w:eastAsia="zh-CN"/>
                    </w:rPr>
                    <w:t>0</w:t>
                  </w:r>
                  <w:r>
                    <w:rPr>
                      <w:rFonts w:hint="eastAsia" w:cs="Times New Roman"/>
                      <w:bCs/>
                      <w:color w:val="auto"/>
                      <w:sz w:val="18"/>
                      <w:szCs w:val="18"/>
                      <w:highlight w:val="none"/>
                      <w:lang w:val="en-US" w:eastAsia="zh-CN"/>
                    </w:rPr>
                    <w:t>2t</w:t>
                  </w:r>
                </w:p>
              </w:tc>
              <w:tc>
                <w:tcPr>
                  <w:tcW w:w="1680" w:type="dxa"/>
                  <w:noWrap w:val="0"/>
                  <w:vAlign w:val="center"/>
                </w:tcPr>
                <w:p w14:paraId="20B23ECB">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暂存于</w:t>
                  </w:r>
                  <w:r>
                    <w:rPr>
                      <w:rFonts w:hint="default" w:ascii="Times New Roman" w:hAnsi="Times New Roman" w:cs="Times New Roman"/>
                      <w:color w:val="auto"/>
                      <w:sz w:val="18"/>
                      <w:szCs w:val="18"/>
                      <w:highlight w:val="none"/>
                      <w:lang w:val="en-US" w:eastAsia="zh-CN"/>
                    </w:rPr>
                    <w:t>危险废物贮存点</w:t>
                  </w:r>
                </w:p>
              </w:tc>
              <w:tc>
                <w:tcPr>
                  <w:tcW w:w="983" w:type="dxa"/>
                  <w:noWrap w:val="0"/>
                  <w:vAlign w:val="center"/>
                </w:tcPr>
                <w:p w14:paraId="55C0D95E">
                  <w:pPr>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30</w:t>
                  </w:r>
                  <w:r>
                    <w:rPr>
                      <w:rFonts w:hint="default" w:ascii="Times New Roman" w:hAnsi="Times New Roman" w:cs="Times New Roman"/>
                      <w:bCs/>
                      <w:color w:val="auto"/>
                      <w:sz w:val="18"/>
                      <w:szCs w:val="18"/>
                      <w:highlight w:val="none"/>
                      <w:lang w:val="en-US" w:eastAsia="zh-CN"/>
                    </w:rPr>
                    <w:t>kg</w:t>
                  </w:r>
                </w:p>
              </w:tc>
              <w:tc>
                <w:tcPr>
                  <w:tcW w:w="978" w:type="dxa"/>
                  <w:noWrap w:val="0"/>
                  <w:vAlign w:val="center"/>
                </w:tcPr>
                <w:p w14:paraId="19A343D9">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100</w:t>
                  </w:r>
                  <w:r>
                    <w:rPr>
                      <w:rFonts w:hint="default" w:ascii="Times New Roman" w:hAnsi="Times New Roman" w:eastAsia="宋体" w:cs="Times New Roman"/>
                      <w:bCs/>
                      <w:color w:val="auto"/>
                      <w:sz w:val="18"/>
                      <w:szCs w:val="18"/>
                      <w:highlight w:val="none"/>
                      <w:lang w:val="en-US" w:eastAsia="zh-CN"/>
                    </w:rPr>
                    <w:t>d</w:t>
                  </w:r>
                </w:p>
              </w:tc>
            </w:tr>
            <w:tr w14:paraId="4C1439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bottom w:val="single" w:color="auto" w:sz="12" w:space="0"/>
                  </w:tcBorders>
                  <w:shd w:val="clear" w:color="auto" w:fill="auto"/>
                  <w:noWrap w:val="0"/>
                  <w:vAlign w:val="center"/>
                </w:tcPr>
                <w:p w14:paraId="31872CBA">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废弃含油抹布</w:t>
                  </w:r>
                  <w:r>
                    <w:rPr>
                      <w:rFonts w:hint="eastAsia" w:cs="Times New Roman"/>
                      <w:bCs/>
                      <w:color w:val="auto"/>
                      <w:sz w:val="18"/>
                      <w:szCs w:val="18"/>
                      <w:highlight w:val="none"/>
                      <w:lang w:val="en-US" w:eastAsia="zh-CN"/>
                    </w:rPr>
                    <w:t>手套、废机油桶</w:t>
                  </w:r>
                </w:p>
              </w:tc>
              <w:tc>
                <w:tcPr>
                  <w:tcW w:w="1346" w:type="dxa"/>
                  <w:tcBorders>
                    <w:bottom w:val="single" w:color="auto" w:sz="12" w:space="0"/>
                  </w:tcBorders>
                  <w:shd w:val="clear" w:color="auto" w:fill="auto"/>
                  <w:noWrap w:val="0"/>
                  <w:vAlign w:val="center"/>
                </w:tcPr>
                <w:p w14:paraId="2802334C">
                  <w:pPr>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eastAsia="zh-CN"/>
                    </w:rPr>
                    <w:t>HW08</w:t>
                  </w:r>
                </w:p>
              </w:tc>
              <w:tc>
                <w:tcPr>
                  <w:tcW w:w="1424" w:type="dxa"/>
                  <w:tcBorders>
                    <w:bottom w:val="single" w:color="auto" w:sz="12" w:space="0"/>
                  </w:tcBorders>
                  <w:shd w:val="clear" w:color="auto" w:fill="auto"/>
                  <w:noWrap w:val="0"/>
                  <w:vAlign w:val="center"/>
                </w:tcPr>
                <w:p w14:paraId="02A42699">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900-041-49</w:t>
                  </w:r>
                </w:p>
              </w:tc>
              <w:tc>
                <w:tcPr>
                  <w:tcW w:w="1094" w:type="dxa"/>
                  <w:tcBorders>
                    <w:bottom w:val="single" w:color="auto" w:sz="12" w:space="0"/>
                  </w:tcBorders>
                  <w:shd w:val="clear" w:color="auto" w:fill="auto"/>
                  <w:noWrap w:val="0"/>
                  <w:vAlign w:val="center"/>
                </w:tcPr>
                <w:p w14:paraId="2B5390BB">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0.01</w:t>
                  </w:r>
                  <w:r>
                    <w:rPr>
                      <w:rFonts w:hint="eastAsia" w:cs="Times New Roman"/>
                      <w:bCs/>
                      <w:color w:val="auto"/>
                      <w:sz w:val="18"/>
                      <w:szCs w:val="18"/>
                      <w:highlight w:val="none"/>
                      <w:lang w:val="en-US" w:eastAsia="zh-CN"/>
                    </w:rPr>
                    <w:t>t</w:t>
                  </w:r>
                </w:p>
              </w:tc>
              <w:tc>
                <w:tcPr>
                  <w:tcW w:w="1680" w:type="dxa"/>
                  <w:tcBorders>
                    <w:bottom w:val="single" w:color="auto" w:sz="12" w:space="0"/>
                  </w:tcBorders>
                  <w:shd w:val="clear" w:color="auto" w:fill="auto"/>
                  <w:noWrap w:val="0"/>
                  <w:vAlign w:val="center"/>
                </w:tcPr>
                <w:p w14:paraId="31D81EC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宋体" w:cs="Times New Roman"/>
                      <w:bCs/>
                      <w:color w:val="auto"/>
                      <w:sz w:val="18"/>
                      <w:szCs w:val="18"/>
                      <w:highlight w:val="none"/>
                      <w:lang w:val="en-US" w:eastAsia="zh-CN"/>
                    </w:rPr>
                    <w:t>暂存</w:t>
                  </w:r>
                  <w:r>
                    <w:rPr>
                      <w:rFonts w:hint="default" w:ascii="Times New Roman" w:hAnsi="Times New Roman" w:cs="Times New Roman"/>
                      <w:color w:val="auto"/>
                      <w:sz w:val="18"/>
                      <w:szCs w:val="18"/>
                      <w:highlight w:val="none"/>
                      <w:lang w:val="en-US" w:eastAsia="zh-CN"/>
                    </w:rPr>
                    <w:t>危险废物贮存点</w:t>
                  </w:r>
                  <w:r>
                    <w:rPr>
                      <w:rFonts w:hint="default" w:ascii="Times New Roman" w:hAnsi="Times New Roman" w:eastAsia="宋体" w:cs="Times New Roman"/>
                      <w:bCs/>
                      <w:color w:val="auto"/>
                      <w:sz w:val="18"/>
                      <w:szCs w:val="18"/>
                      <w:highlight w:val="none"/>
                      <w:lang w:val="en-US" w:eastAsia="zh-CN"/>
                    </w:rPr>
                    <w:t>内</w:t>
                  </w:r>
                  <w:r>
                    <w:rPr>
                      <w:rFonts w:hint="default" w:ascii="Times New Roman" w:hAnsi="Times New Roman" w:cs="Times New Roman"/>
                      <w:bCs/>
                      <w:color w:val="auto"/>
                      <w:sz w:val="18"/>
                      <w:szCs w:val="18"/>
                      <w:highlight w:val="none"/>
                      <w:lang w:val="en-US" w:eastAsia="zh-CN"/>
                    </w:rPr>
                    <w:t>密闭容器内</w:t>
                  </w:r>
                </w:p>
              </w:tc>
              <w:tc>
                <w:tcPr>
                  <w:tcW w:w="983" w:type="dxa"/>
                  <w:tcBorders>
                    <w:bottom w:val="single" w:color="auto" w:sz="12" w:space="0"/>
                  </w:tcBorders>
                  <w:shd w:val="clear" w:color="auto" w:fill="auto"/>
                  <w:noWrap w:val="0"/>
                  <w:vAlign w:val="center"/>
                </w:tcPr>
                <w:p w14:paraId="6A79E232">
                  <w:pPr>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20</w:t>
                  </w:r>
                  <w:r>
                    <w:rPr>
                      <w:rFonts w:hint="default" w:ascii="Times New Roman" w:hAnsi="Times New Roman" w:cs="Times New Roman"/>
                      <w:bCs/>
                      <w:color w:val="auto"/>
                      <w:sz w:val="18"/>
                      <w:szCs w:val="18"/>
                      <w:highlight w:val="none"/>
                      <w:lang w:val="en-US" w:eastAsia="zh-CN"/>
                    </w:rPr>
                    <w:t>kg</w:t>
                  </w:r>
                </w:p>
              </w:tc>
              <w:tc>
                <w:tcPr>
                  <w:tcW w:w="978" w:type="dxa"/>
                  <w:tcBorders>
                    <w:bottom w:val="single" w:color="auto" w:sz="12" w:space="0"/>
                  </w:tcBorders>
                  <w:shd w:val="clear" w:color="auto" w:fill="auto"/>
                  <w:noWrap w:val="0"/>
                  <w:vAlign w:val="center"/>
                </w:tcPr>
                <w:p w14:paraId="0856F84B">
                  <w:pPr>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100</w:t>
                  </w:r>
                  <w:r>
                    <w:rPr>
                      <w:rFonts w:hint="default" w:ascii="Times New Roman" w:hAnsi="Times New Roman" w:eastAsia="宋体" w:cs="Times New Roman"/>
                      <w:bCs/>
                      <w:color w:val="auto"/>
                      <w:sz w:val="18"/>
                      <w:szCs w:val="18"/>
                      <w:highlight w:val="none"/>
                      <w:lang w:val="en-US" w:eastAsia="zh-CN"/>
                    </w:rPr>
                    <w:t>d</w:t>
                  </w:r>
                </w:p>
              </w:tc>
            </w:tr>
          </w:tbl>
          <w:p w14:paraId="022B440E">
            <w:pPr>
              <w:keepNext w:val="0"/>
              <w:keepLines w:val="0"/>
              <w:pageBreakBefore w:val="0"/>
              <w:widowControl/>
              <w:numPr>
                <w:ilvl w:val="0"/>
                <w:numId w:val="0"/>
              </w:numP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eastAsia="宋体" w:cs="Times New Roman"/>
                <w:color w:val="auto"/>
                <w:sz w:val="21"/>
                <w:szCs w:val="21"/>
                <w:highlight w:val="none"/>
                <w:lang w:val="en-US" w:eastAsia="zh-CN"/>
              </w:rPr>
              <w:t>环境管理要求</w:t>
            </w:r>
          </w:p>
          <w:p w14:paraId="023C6ECF">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w:t>
            </w:r>
            <w:r>
              <w:rPr>
                <w:rFonts w:hint="default" w:ascii="Times New Roman" w:hAnsi="Times New Roman" w:cs="Times New Roman"/>
                <w:bCs/>
                <w:color w:val="auto"/>
                <w:sz w:val="21"/>
                <w:szCs w:val="21"/>
                <w:highlight w:val="none"/>
                <w:lang w:eastAsia="zh-CN"/>
              </w:rPr>
              <w:t>危险废物贮存点</w:t>
            </w:r>
            <w:r>
              <w:rPr>
                <w:rFonts w:hint="default" w:ascii="Times New Roman" w:hAnsi="Times New Roman" w:cs="Times New Roman"/>
                <w:bCs/>
                <w:color w:val="auto"/>
                <w:sz w:val="21"/>
                <w:szCs w:val="21"/>
                <w:highlight w:val="none"/>
              </w:rPr>
              <w:t>的设置应按《危险废物贮存污染控制标准》（GB18597-20</w:t>
            </w:r>
            <w:r>
              <w:rPr>
                <w:rFonts w:hint="default" w:ascii="Times New Roman" w:hAnsi="Times New Roman" w:cs="Times New Roman"/>
                <w:bCs/>
                <w:color w:val="auto"/>
                <w:sz w:val="21"/>
                <w:szCs w:val="21"/>
                <w:highlight w:val="none"/>
                <w:lang w:val="en-US" w:eastAsia="zh-CN"/>
              </w:rPr>
              <w:t>23</w:t>
            </w:r>
            <w:r>
              <w:rPr>
                <w:rFonts w:hint="default" w:ascii="Times New Roman" w:hAnsi="Times New Roman" w:cs="Times New Roman"/>
                <w:bCs/>
                <w:color w:val="auto"/>
                <w:sz w:val="21"/>
                <w:szCs w:val="21"/>
                <w:highlight w:val="none"/>
              </w:rPr>
              <w:t>）相关要求进行设置，并做到以下几点：</w:t>
            </w:r>
          </w:p>
          <w:p w14:paraId="01A2CAF9">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①危险废物贮存设施必须按《环境保护图形标志》（GB15562-1995）的规定设置警示标志，危险废物识别标识包括危险废物信息公开栏、贮存设施警示标志牌和包装识别标签；</w:t>
            </w:r>
          </w:p>
          <w:p w14:paraId="57A5E9DF">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②危险废物贮存场所应设置成防风、防雨、防晒、防渗，废物贮存设施周围应设置围墙或其它防护栅栏；</w:t>
            </w:r>
          </w:p>
          <w:p w14:paraId="7683E9BC">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③废物贮存设施应配备通讯设备、照明设施、安全防护服装及工具，并设有应急防护设施，危废仓库出入口、仓库内部以及危险废物运输车辆通道等关键位置按照危险废物贮存设施视频监控布设要求设置视频监控，并与企业中控室联网；</w:t>
            </w:r>
          </w:p>
          <w:p w14:paraId="157A81AF">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④废物贮存设施内清理出来的泄漏物，一律按危险废物处理；</w:t>
            </w:r>
          </w:p>
          <w:p w14:paraId="4DF6F7AC">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⑤装载液体危险废物的容器内须留足够空间，容器顶部与液体表面之间保留100mm以上的空间；</w:t>
            </w:r>
          </w:p>
          <w:p w14:paraId="27E838F9">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⑥应当使用符合标准的容器盛装危险废物</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盛装</w:t>
            </w:r>
            <w:r>
              <w:rPr>
                <w:rFonts w:hint="default" w:ascii="Times New Roman" w:hAnsi="Times New Roman" w:cs="Times New Roman"/>
                <w:bCs/>
                <w:color w:val="auto"/>
                <w:sz w:val="21"/>
                <w:szCs w:val="21"/>
                <w:highlight w:val="none"/>
                <w:lang w:val="en-US" w:eastAsia="zh-CN"/>
              </w:rPr>
              <w:t>易挥发危险废物的容器严格密闭，防止其挥发</w:t>
            </w:r>
            <w:r>
              <w:rPr>
                <w:rFonts w:hint="default" w:ascii="Times New Roman" w:hAnsi="Times New Roman" w:cs="Times New Roman"/>
                <w:bCs/>
                <w:color w:val="auto"/>
                <w:sz w:val="21"/>
                <w:szCs w:val="21"/>
                <w:highlight w:val="none"/>
              </w:rPr>
              <w:t>；</w:t>
            </w:r>
          </w:p>
          <w:p w14:paraId="7B060C57">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⑦危险废物贮存前应进行检验，确保同预定接收的危险废物一致，并注册登记，</w:t>
            </w:r>
            <w:r>
              <w:rPr>
                <w:rFonts w:hint="default" w:ascii="Times New Roman" w:hAnsi="Times New Roman" w:cs="Times New Roman"/>
                <w:bCs/>
                <w:color w:val="auto"/>
                <w:sz w:val="21"/>
                <w:szCs w:val="21"/>
                <w:highlight w:val="none"/>
                <w:lang w:eastAsia="zh-CN"/>
              </w:rPr>
              <w:t>做好</w:t>
            </w:r>
            <w:r>
              <w:rPr>
                <w:rFonts w:hint="default" w:ascii="Times New Roman" w:hAnsi="Times New Roman" w:cs="Times New Roman"/>
                <w:bCs/>
                <w:color w:val="auto"/>
                <w:sz w:val="21"/>
                <w:szCs w:val="21"/>
                <w:highlight w:val="none"/>
              </w:rPr>
              <w:t>记录，记录上须注明危险废物的名称、来源、数量、特性和包装容器的类别、入库日期、存放库位、废物出库日期及</w:t>
            </w:r>
            <w:r>
              <w:rPr>
                <w:rFonts w:hint="default" w:ascii="Times New Roman" w:hAnsi="Times New Roman" w:cs="Times New Roman"/>
                <w:bCs/>
                <w:color w:val="auto"/>
                <w:sz w:val="21"/>
                <w:szCs w:val="21"/>
                <w:highlight w:val="none"/>
                <w:lang w:eastAsia="zh-CN"/>
              </w:rPr>
              <w:t>接收单位</w:t>
            </w:r>
            <w:r>
              <w:rPr>
                <w:rFonts w:hint="default" w:ascii="Times New Roman" w:hAnsi="Times New Roman" w:cs="Times New Roman"/>
                <w:bCs/>
                <w:color w:val="auto"/>
                <w:sz w:val="21"/>
                <w:szCs w:val="21"/>
                <w:highlight w:val="none"/>
              </w:rPr>
              <w:t>名称；</w:t>
            </w:r>
          </w:p>
          <w:p w14:paraId="711ED6F0">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⑧必须定期对贮存危险废物的包装容器及贮存设施进行检查，发现破损，应及时采取措施清理更换；</w:t>
            </w:r>
          </w:p>
          <w:p w14:paraId="31AD64A6">
            <w:pPr>
              <w:pStyle w:val="22"/>
              <w:keepNext w:val="0"/>
              <w:keepLines w:val="0"/>
              <w:pageBreakBefore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 xml:space="preserve">    ⑨危险废物贮存点做好防渗措施，</w:t>
            </w:r>
            <w:r>
              <w:rPr>
                <w:rFonts w:hint="default" w:ascii="Times New Roman" w:hAnsi="Times New Roman" w:eastAsia="宋体" w:cs="Times New Roman"/>
                <w:color w:val="auto"/>
                <w:sz w:val="21"/>
                <w:szCs w:val="21"/>
                <w:highlight w:val="none"/>
                <w:lang w:val="en-US" w:eastAsia="zh-CN"/>
              </w:rPr>
              <w:t>防渗层</w:t>
            </w:r>
            <w:r>
              <w:rPr>
                <w:rFonts w:hint="eastAsia"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lang w:val="en-US" w:eastAsia="zh-CN"/>
              </w:rPr>
              <w:t>2mm厚的防渗人工材</w:t>
            </w:r>
            <w:r>
              <w:rPr>
                <w:rFonts w:hint="default" w:ascii="Times New Roman" w:hAnsi="Times New Roman" w:eastAsia="宋体" w:cs="Times New Roman"/>
                <w:color w:val="auto"/>
                <w:kern w:val="2"/>
                <w:sz w:val="21"/>
                <w:szCs w:val="21"/>
                <w:highlight w:val="none"/>
                <w:lang w:val="en-US" w:eastAsia="zh-CN" w:bidi="ar-SA"/>
              </w:rPr>
              <w:t>料，</w:t>
            </w:r>
            <w:r>
              <w:rPr>
                <w:rFonts w:hint="eastAsia" w:ascii="Times New Roman" w:hAnsi="Times New Roman" w:cs="Times New Roman"/>
                <w:color w:val="auto"/>
                <w:kern w:val="2"/>
                <w:sz w:val="21"/>
                <w:szCs w:val="21"/>
                <w:highlight w:val="none"/>
                <w:lang w:val="en-US" w:eastAsia="zh-CN" w:bidi="ar-SA"/>
              </w:rPr>
              <w:t>地面与裙脚</w:t>
            </w:r>
            <w:r>
              <w:rPr>
                <w:rFonts w:hint="eastAsia" w:ascii="Times New Roman" w:hAnsi="Times New Roman" w:eastAsia="宋体" w:cs="Times New Roman"/>
                <w:color w:val="auto"/>
                <w:kern w:val="2"/>
                <w:sz w:val="21"/>
                <w:szCs w:val="21"/>
                <w:highlight w:val="none"/>
                <w:lang w:val="en-US" w:eastAsia="zh-CN" w:bidi="ar-SA"/>
              </w:rPr>
              <w:t>使用水泥硬化</w:t>
            </w:r>
            <w:r>
              <w:rPr>
                <w:rFonts w:hint="eastAsia" w:ascii="Times New Roman" w:hAnsi="Times New Roman" w:cs="Times New Roman"/>
                <w:color w:val="auto"/>
                <w:kern w:val="2"/>
                <w:sz w:val="21"/>
                <w:szCs w:val="21"/>
                <w:highlight w:val="none"/>
                <w:lang w:val="en-US" w:eastAsia="zh-CN" w:bidi="ar-SA"/>
              </w:rPr>
              <w:t>防渗处理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防渗系数≤10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p>
          <w:p w14:paraId="3C6A76DF">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对于委托处理的固体废物，其运输转移过程中需做到以下几点：</w:t>
            </w:r>
          </w:p>
          <w:p w14:paraId="6D825042">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①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23CD4BF4">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cs="Times New Roman"/>
                <w:bCs/>
                <w:color w:val="auto"/>
                <w:sz w:val="21"/>
                <w:szCs w:val="21"/>
                <w:highlight w:val="none"/>
              </w:rPr>
              <w:t>②本项目在危险废物转移的过程中严格执行《危险废物转移管理办法》（生态环境部 公安部 交通运输部 部令 第23号），危险废物的转运必须填写</w:t>
            </w:r>
            <w:r>
              <w:rPr>
                <w:rFonts w:hint="eastAsia" w:ascii="宋体" w:hAnsi="宋体" w:eastAsia="宋体" w:cs="宋体"/>
                <w:bCs/>
                <w:color w:val="auto"/>
                <w:sz w:val="21"/>
                <w:szCs w:val="21"/>
                <w:highlight w:val="none"/>
                <w:lang w:eastAsia="zh-CN"/>
              </w:rPr>
              <w:t>“</w:t>
            </w:r>
            <w:r>
              <w:rPr>
                <w:rFonts w:hint="eastAsia" w:ascii="宋体" w:hAnsi="宋体" w:eastAsia="宋体" w:cs="宋体"/>
                <w:bCs/>
                <w:color w:val="auto"/>
                <w:sz w:val="21"/>
                <w:szCs w:val="21"/>
                <w:highlight w:val="none"/>
              </w:rPr>
              <w:t>五联单</w:t>
            </w:r>
            <w:r>
              <w:rPr>
                <w:rFonts w:hint="eastAsia" w:ascii="宋体" w:hAnsi="宋体" w:eastAsia="宋体" w:cs="宋体"/>
                <w:bCs/>
                <w:color w:val="auto"/>
                <w:sz w:val="21"/>
                <w:szCs w:val="21"/>
                <w:highlight w:val="none"/>
                <w:lang w:eastAsia="zh-CN"/>
              </w:rPr>
              <w:t>”</w:t>
            </w:r>
            <w:r>
              <w:rPr>
                <w:rFonts w:hint="default" w:ascii="Times New Roman" w:hAnsi="Times New Roman" w:cs="Times New Roman"/>
                <w:bCs/>
                <w:color w:val="auto"/>
                <w:sz w:val="21"/>
                <w:szCs w:val="21"/>
                <w:highlight w:val="none"/>
              </w:rPr>
              <w:t>，且必须</w:t>
            </w:r>
            <w:r>
              <w:rPr>
                <w:rFonts w:hint="default" w:ascii="Times New Roman" w:hAnsi="Times New Roman" w:eastAsia="宋体" w:cs="Times New Roman"/>
                <w:bCs/>
                <w:color w:val="auto"/>
                <w:sz w:val="21"/>
                <w:szCs w:val="21"/>
                <w:highlight w:val="none"/>
              </w:rPr>
              <w:t>符合国家及</w:t>
            </w:r>
            <w:r>
              <w:rPr>
                <w:rFonts w:hint="default" w:ascii="Times New Roman" w:hAnsi="Times New Roman" w:eastAsia="宋体" w:cs="Times New Roman"/>
                <w:bCs/>
                <w:color w:val="auto"/>
                <w:sz w:val="21"/>
                <w:szCs w:val="21"/>
                <w:highlight w:val="none"/>
                <w:lang w:val="en-US" w:eastAsia="zh-CN"/>
              </w:rPr>
              <w:t>黑龙江</w:t>
            </w:r>
            <w:r>
              <w:rPr>
                <w:rFonts w:hint="default" w:ascii="Times New Roman" w:hAnsi="Times New Roman" w:eastAsia="宋体" w:cs="Times New Roman"/>
                <w:bCs/>
                <w:color w:val="auto"/>
                <w:sz w:val="21"/>
                <w:szCs w:val="21"/>
                <w:highlight w:val="none"/>
              </w:rPr>
              <w:t>省对危险废物转运的相关规定；</w:t>
            </w:r>
          </w:p>
          <w:p w14:paraId="5B203496">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③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default" w:ascii="Times New Roman" w:hAnsi="Times New Roman" w:cs="Times New Roman"/>
                <w:bCs/>
                <w:color w:val="auto"/>
                <w:sz w:val="21"/>
                <w:szCs w:val="21"/>
                <w:highlight w:val="none"/>
                <w:lang w:eastAsia="zh-CN"/>
              </w:rPr>
              <w:t>做出</w:t>
            </w:r>
            <w:r>
              <w:rPr>
                <w:rFonts w:hint="default" w:ascii="Times New Roman" w:hAnsi="Times New Roman" w:eastAsia="宋体" w:cs="Times New Roman"/>
                <w:bCs/>
                <w:color w:val="auto"/>
                <w:sz w:val="21"/>
                <w:szCs w:val="21"/>
                <w:highlight w:val="none"/>
              </w:rPr>
              <w:t>周密的运输计划和行驶路线，其中包括有效的废物</w:t>
            </w:r>
            <w:r>
              <w:rPr>
                <w:rFonts w:hint="default" w:ascii="Times New Roman" w:hAnsi="Times New Roman" w:cs="Times New Roman"/>
                <w:bCs/>
                <w:color w:val="auto"/>
                <w:sz w:val="21"/>
                <w:szCs w:val="21"/>
                <w:highlight w:val="none"/>
                <w:lang w:eastAsia="zh-CN"/>
              </w:rPr>
              <w:t>泄漏</w:t>
            </w:r>
            <w:r>
              <w:rPr>
                <w:rFonts w:hint="default" w:ascii="Times New Roman" w:hAnsi="Times New Roman" w:eastAsia="宋体" w:cs="Times New Roman"/>
                <w:bCs/>
                <w:color w:val="auto"/>
                <w:sz w:val="21"/>
                <w:szCs w:val="21"/>
                <w:highlight w:val="none"/>
              </w:rPr>
              <w:t>情况下的应急措施；</w:t>
            </w:r>
          </w:p>
          <w:p w14:paraId="0B53D7E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④生活垃圾清运车辆（包括机动车辆和非机动车辆）运输垃圾应符合下列质量要求：车容应整洁，车体外部无污物、灰垢，标志应清晰；运输垃圾应密闭，在运输过程中无垃圾扬、撒、拖挂和污水滴漏；垃圾装运量应以车辆的额定荷载和有效容积为限，不得超重、超高运输；装卸垃圾应符合作业要求，不得乱倒、乱卸、乱抛垃圾；运输作业结束，应将车辆清洗干净</w:t>
            </w:r>
            <w:r>
              <w:rPr>
                <w:rFonts w:hint="default" w:ascii="Times New Roman" w:hAnsi="Times New Roman" w:eastAsia="宋体" w:cs="Times New Roman"/>
                <w:bCs/>
                <w:color w:val="auto"/>
                <w:sz w:val="21"/>
                <w:szCs w:val="21"/>
                <w:highlight w:val="none"/>
                <w:lang w:eastAsia="zh-CN"/>
              </w:rPr>
              <w:t>。</w:t>
            </w:r>
          </w:p>
          <w:p w14:paraId="1F336AE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5</w:t>
            </w:r>
            <w:r>
              <w:rPr>
                <w:rFonts w:hint="default" w:ascii="Times New Roman" w:hAnsi="Times New Roman" w:cs="Times New Roman"/>
                <w:b/>
                <w:color w:val="auto"/>
                <w:sz w:val="21"/>
                <w:szCs w:val="21"/>
                <w:highlight w:val="none"/>
              </w:rPr>
              <w:t>、地下水</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土壤</w:t>
            </w:r>
          </w:p>
          <w:p w14:paraId="195DDD2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根据《建设项目环境影响报告表编制技术指南</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污染影响类</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试行</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本项目不涉及集中式饮用水水源和热水、矿泉水、温泉等特殊地下水资源保护区，可不开展地下水专项评价工作；土壤不开展专项评价工作。</w:t>
            </w:r>
          </w:p>
          <w:p w14:paraId="543A2D2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污染源、污染途径</w:t>
            </w:r>
          </w:p>
          <w:p w14:paraId="7EC0912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本项目运营期废水主要为职工生活污水和厂区初期雨水。正常状况下，上述废水可做到无废水外排</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不存在对地下水和土壤污染的途径</w:t>
            </w:r>
            <w:r>
              <w:rPr>
                <w:rFonts w:hint="default" w:ascii="Times New Roman" w:hAnsi="Times New Roman" w:cs="Times New Roman"/>
                <w:color w:val="auto"/>
                <w:sz w:val="21"/>
                <w:szCs w:val="21"/>
                <w:highlight w:val="none"/>
              </w:rPr>
              <w:t>。废水对地下水、土壤可能造成污染的主要途径为非正常状态</w:t>
            </w:r>
            <w:r>
              <w:rPr>
                <w:rFonts w:hint="default" w:ascii="Times New Roman" w:hAnsi="Times New Roman" w:cs="Times New Roman"/>
                <w:color w:val="auto"/>
                <w:sz w:val="21"/>
                <w:szCs w:val="21"/>
                <w:highlight w:val="none"/>
                <w:lang w:eastAsia="zh-CN"/>
              </w:rPr>
              <w:t>初期雨水收集池</w:t>
            </w:r>
            <w:r>
              <w:rPr>
                <w:rFonts w:hint="default" w:ascii="Times New Roman" w:hAnsi="Times New Roman" w:cs="Times New Roman"/>
                <w:color w:val="auto"/>
                <w:sz w:val="21"/>
                <w:szCs w:val="21"/>
                <w:highlight w:val="none"/>
              </w:rPr>
              <w:t>破损时发生的渗漏。</w:t>
            </w:r>
          </w:p>
          <w:p w14:paraId="470361F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污染物类型</w:t>
            </w:r>
          </w:p>
          <w:p w14:paraId="1FFE700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污染物通过土层垂直下渗首先经过表土，再进入包气带，在包气带污染物可以得到一定程度的净化，不能被净化或固定的污染物随入渗水进入地下水层。本项目废水污染物以有机物及悬浮物为主。</w:t>
            </w:r>
          </w:p>
          <w:p w14:paraId="617402B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地下水、土壤环境保护措施</w:t>
            </w:r>
          </w:p>
          <w:p w14:paraId="391E271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①源头控制</w:t>
            </w:r>
          </w:p>
          <w:p w14:paraId="320C0B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源头控制措施主要包括在</w:t>
            </w:r>
            <w:r>
              <w:rPr>
                <w:rFonts w:hint="default" w:ascii="Times New Roman" w:hAnsi="Times New Roman" w:cs="Times New Roman"/>
                <w:color w:val="auto"/>
                <w:sz w:val="21"/>
                <w:szCs w:val="21"/>
                <w:highlight w:val="none"/>
                <w:lang w:eastAsia="zh-CN"/>
              </w:rPr>
              <w:t>初期雨水收集池</w:t>
            </w:r>
            <w:r>
              <w:rPr>
                <w:rFonts w:hint="default" w:ascii="Times New Roman" w:hAnsi="Times New Roman" w:eastAsia="宋体" w:cs="Times New Roman"/>
                <w:color w:val="auto"/>
                <w:sz w:val="21"/>
                <w:szCs w:val="21"/>
                <w:highlight w:val="none"/>
                <w:lang w:eastAsia="zh-CN"/>
              </w:rPr>
              <w:t>等构筑物采取相应措施，降低污染物渗漏的环境风险。本项目生活污水、初期雨水可以做到全部回用，无废水外排，从源头上减少了废水的排放量。</w:t>
            </w:r>
          </w:p>
          <w:p w14:paraId="1627292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②分区防控</w:t>
            </w:r>
          </w:p>
          <w:p w14:paraId="72D9305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根据建设项目场地天然包气带防污性能、污染控制难易程度和污染物特性，提出以下防渗技术要求。</w:t>
            </w:r>
          </w:p>
          <w:p w14:paraId="4C709473">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9</w:t>
            </w:r>
            <w:r>
              <w:rPr>
                <w:rFonts w:hint="default" w:ascii="Times New Roman" w:hAnsi="Times New Roman" w:eastAsia="宋体" w:cs="Times New Roman"/>
                <w:b/>
                <w:bCs/>
                <w:color w:val="auto"/>
                <w:kern w:val="2"/>
                <w:sz w:val="21"/>
                <w:szCs w:val="21"/>
                <w:highlight w:val="none"/>
                <w:lang w:val="en-US" w:eastAsia="zh-CN" w:bidi="ar-SA"/>
              </w:rPr>
              <w:t xml:space="preserve"> 分区防控措施</w:t>
            </w:r>
          </w:p>
          <w:tbl>
            <w:tblPr>
              <w:tblStyle w:val="25"/>
              <w:tblW w:w="0" w:type="auto"/>
              <w:tblInd w:w="5"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1"/>
              <w:gridCol w:w="1738"/>
              <w:gridCol w:w="1312"/>
              <w:gridCol w:w="5236"/>
            </w:tblGrid>
            <w:tr w14:paraId="215BA5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top w:val="single" w:color="auto" w:sz="12" w:space="0"/>
                  </w:tcBorders>
                  <w:vAlign w:val="center"/>
                </w:tcPr>
                <w:p w14:paraId="499013C6">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序号</w:t>
                  </w:r>
                </w:p>
              </w:tc>
              <w:tc>
                <w:tcPr>
                  <w:tcW w:w="1738" w:type="dxa"/>
                  <w:tcBorders>
                    <w:top w:val="single" w:color="auto" w:sz="12" w:space="0"/>
                  </w:tcBorders>
                  <w:vAlign w:val="center"/>
                </w:tcPr>
                <w:p w14:paraId="52DCD100">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场地</w:t>
                  </w:r>
                </w:p>
              </w:tc>
              <w:tc>
                <w:tcPr>
                  <w:tcW w:w="1312" w:type="dxa"/>
                  <w:tcBorders>
                    <w:top w:val="single" w:color="auto" w:sz="12" w:space="0"/>
                  </w:tcBorders>
                  <w:vAlign w:val="center"/>
                </w:tcPr>
                <w:p w14:paraId="739AD593">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防渗分区</w:t>
                  </w:r>
                </w:p>
              </w:tc>
              <w:tc>
                <w:tcPr>
                  <w:tcW w:w="5236" w:type="dxa"/>
                  <w:tcBorders>
                    <w:top w:val="single" w:color="auto" w:sz="12" w:space="0"/>
                  </w:tcBorders>
                  <w:vAlign w:val="center"/>
                </w:tcPr>
                <w:p w14:paraId="105C7D3E">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防渗技术要求</w:t>
                  </w:r>
                </w:p>
              </w:tc>
            </w:tr>
            <w:tr w14:paraId="58E1C5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vAlign w:val="center"/>
                </w:tcPr>
                <w:p w14:paraId="2B3B70C5">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1</w:t>
                  </w:r>
                </w:p>
              </w:tc>
              <w:tc>
                <w:tcPr>
                  <w:tcW w:w="1738" w:type="dxa"/>
                  <w:vAlign w:val="center"/>
                </w:tcPr>
                <w:p w14:paraId="6AE9DB71">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煤炭堆场</w:t>
                  </w:r>
                </w:p>
              </w:tc>
              <w:tc>
                <w:tcPr>
                  <w:tcW w:w="1312" w:type="dxa"/>
                  <w:vMerge w:val="restart"/>
                  <w:vAlign w:val="center"/>
                </w:tcPr>
                <w:p w14:paraId="735BE018">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一般防渗区</w:t>
                  </w:r>
                </w:p>
              </w:tc>
              <w:tc>
                <w:tcPr>
                  <w:tcW w:w="5236" w:type="dxa"/>
                  <w:vMerge w:val="restart"/>
                  <w:vAlign w:val="center"/>
                </w:tcPr>
                <w:p w14:paraId="39E7BFC1">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防渗层采用</w:t>
                  </w:r>
                  <w:r>
                    <w:rPr>
                      <w:rFonts w:hint="default" w:ascii="Times New Roman" w:hAnsi="Times New Roman" w:eastAsia="宋体" w:cs="Times New Roman"/>
                      <w:color w:val="auto"/>
                      <w:sz w:val="18"/>
                      <w:szCs w:val="18"/>
                      <w:highlight w:val="none"/>
                      <w:lang w:val="en-US" w:eastAsia="zh-CN"/>
                    </w:rPr>
                    <w:t>高密度聚乙烯膜，厚度不小于2.0</w:t>
                  </w:r>
                  <w:r>
                    <w:rPr>
                      <w:rFonts w:hint="eastAsia" w:ascii="Times New Roman" w:hAnsi="Times New Roman" w:eastAsia="宋体" w:cs="Times New Roman"/>
                      <w:color w:val="auto"/>
                      <w:sz w:val="18"/>
                      <w:szCs w:val="18"/>
                      <w:highlight w:val="none"/>
                      <w:lang w:val="en-US" w:eastAsia="zh-CN"/>
                    </w:rPr>
                    <w:t>mm</w:t>
                  </w:r>
                  <w:r>
                    <w:rPr>
                      <w:rFonts w:hint="default" w:ascii="Times New Roman" w:hAnsi="Times New Roman" w:eastAsia="宋体" w:cs="Times New Roman"/>
                      <w:color w:val="auto"/>
                      <w:sz w:val="18"/>
                      <w:szCs w:val="18"/>
                      <w:highlight w:val="none"/>
                      <w:lang w:val="en-US" w:eastAsia="zh-CN"/>
                    </w:rPr>
                    <w:t>，防渗层下为厚度不小于0.75m的</w:t>
                  </w:r>
                  <w:r>
                    <w:rPr>
                      <w:rFonts w:hint="eastAsia" w:ascii="Times New Roman" w:hAnsi="Times New Roman" w:eastAsia="宋体" w:cs="Times New Roman"/>
                      <w:color w:val="auto"/>
                      <w:sz w:val="18"/>
                      <w:szCs w:val="18"/>
                      <w:highlight w:val="none"/>
                      <w:lang w:val="en-US" w:eastAsia="zh-CN"/>
                    </w:rPr>
                    <w:t>天然粘土防渗衬层或</w:t>
                  </w:r>
                  <w:r>
                    <w:rPr>
                      <w:rFonts w:ascii="宋体" w:hAnsi="宋体" w:eastAsia="宋体" w:cs="宋体"/>
                      <w:color w:val="auto"/>
                      <w:sz w:val="18"/>
                      <w:szCs w:val="18"/>
                      <w:highlight w:val="none"/>
                    </w:rPr>
                    <w:t>改性粘土防渗衬层</w:t>
                  </w:r>
                  <w:r>
                    <w:rPr>
                      <w:rFonts w:hint="eastAsia" w:ascii="Times New Roman" w:hAnsi="Times New Roman" w:eastAsia="宋体"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防渗技术要求达到</w:t>
                  </w:r>
                  <w:r>
                    <w:rPr>
                      <w:rFonts w:hint="default" w:ascii="Times New Roman" w:hAnsi="Times New Roman" w:cs="Times New Roman"/>
                      <w:color w:val="auto"/>
                      <w:sz w:val="18"/>
                      <w:szCs w:val="18"/>
                      <w:highlight w:val="none"/>
                    </w:rPr>
                    <w:t>等效黏土防渗层Mb≥1.5m</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渗透系数≤10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cm/s</w:t>
                  </w:r>
                  <w:r>
                    <w:rPr>
                      <w:rFonts w:hint="eastAsia" w:ascii="Times New Roman" w:hAnsi="Times New Roman" w:cs="Times New Roman"/>
                      <w:color w:val="auto"/>
                      <w:sz w:val="18"/>
                      <w:szCs w:val="18"/>
                      <w:highlight w:val="none"/>
                      <w:lang w:eastAsia="zh-CN"/>
                    </w:rPr>
                    <w:t>）</w:t>
                  </w:r>
                </w:p>
              </w:tc>
            </w:tr>
            <w:tr w14:paraId="4D49F8E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vAlign w:val="center"/>
                </w:tcPr>
                <w:p w14:paraId="529185BC">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2</w:t>
                  </w:r>
                </w:p>
              </w:tc>
              <w:tc>
                <w:tcPr>
                  <w:tcW w:w="1738" w:type="dxa"/>
                  <w:vAlign w:val="center"/>
                </w:tcPr>
                <w:p w14:paraId="6202E06F">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厂内旱厕</w:t>
                  </w:r>
                </w:p>
              </w:tc>
              <w:tc>
                <w:tcPr>
                  <w:tcW w:w="1312" w:type="dxa"/>
                  <w:vMerge w:val="continue"/>
                  <w:vAlign w:val="center"/>
                </w:tcPr>
                <w:p w14:paraId="1E9DDB76">
                  <w:pPr>
                    <w:jc w:val="center"/>
                    <w:rPr>
                      <w:rFonts w:hint="default" w:ascii="Times New Roman" w:hAnsi="Times New Roman" w:eastAsia="宋体" w:cs="Times New Roman"/>
                      <w:bCs/>
                      <w:color w:val="auto"/>
                      <w:sz w:val="18"/>
                      <w:szCs w:val="18"/>
                      <w:highlight w:val="none"/>
                      <w:lang w:val="en-US" w:eastAsia="zh-CN"/>
                    </w:rPr>
                  </w:pPr>
                </w:p>
              </w:tc>
              <w:tc>
                <w:tcPr>
                  <w:tcW w:w="5236" w:type="dxa"/>
                  <w:vMerge w:val="continue"/>
                  <w:vAlign w:val="center"/>
                </w:tcPr>
                <w:p w14:paraId="3FF37DDB">
                  <w:pPr>
                    <w:jc w:val="center"/>
                    <w:rPr>
                      <w:rFonts w:hint="default" w:ascii="Times New Roman" w:hAnsi="Times New Roman" w:cs="Times New Roman"/>
                      <w:bCs/>
                      <w:color w:val="auto"/>
                      <w:sz w:val="18"/>
                      <w:szCs w:val="18"/>
                      <w:highlight w:val="none"/>
                      <w:lang w:val="en-US" w:eastAsia="zh-CN"/>
                    </w:rPr>
                  </w:pPr>
                </w:p>
              </w:tc>
            </w:tr>
            <w:tr w14:paraId="515ADB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vAlign w:val="center"/>
                </w:tcPr>
                <w:p w14:paraId="19E58ADF">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3</w:t>
                  </w:r>
                </w:p>
              </w:tc>
              <w:tc>
                <w:tcPr>
                  <w:tcW w:w="1738" w:type="dxa"/>
                  <w:vAlign w:val="center"/>
                </w:tcPr>
                <w:p w14:paraId="3B45E578">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初期雨水收集池</w:t>
                  </w:r>
                </w:p>
              </w:tc>
              <w:tc>
                <w:tcPr>
                  <w:tcW w:w="1312" w:type="dxa"/>
                  <w:vMerge w:val="continue"/>
                  <w:vAlign w:val="center"/>
                </w:tcPr>
                <w:p w14:paraId="6FF0F13D">
                  <w:pPr>
                    <w:jc w:val="center"/>
                    <w:rPr>
                      <w:rFonts w:hint="default" w:ascii="Times New Roman" w:hAnsi="Times New Roman" w:eastAsia="宋体" w:cs="Times New Roman"/>
                      <w:bCs/>
                      <w:color w:val="auto"/>
                      <w:sz w:val="18"/>
                      <w:szCs w:val="18"/>
                      <w:highlight w:val="none"/>
                      <w:lang w:val="en-US" w:eastAsia="zh-CN"/>
                    </w:rPr>
                  </w:pPr>
                </w:p>
              </w:tc>
              <w:tc>
                <w:tcPr>
                  <w:tcW w:w="5236" w:type="dxa"/>
                  <w:vMerge w:val="continue"/>
                  <w:vAlign w:val="center"/>
                </w:tcPr>
                <w:p w14:paraId="100A30BF">
                  <w:pPr>
                    <w:jc w:val="center"/>
                    <w:rPr>
                      <w:rFonts w:hint="default" w:ascii="Times New Roman" w:hAnsi="Times New Roman" w:eastAsia="宋体" w:cs="Times New Roman"/>
                      <w:bCs/>
                      <w:color w:val="auto"/>
                      <w:sz w:val="18"/>
                      <w:szCs w:val="18"/>
                      <w:highlight w:val="none"/>
                      <w:lang w:val="en-US" w:eastAsia="zh-CN"/>
                    </w:rPr>
                  </w:pPr>
                </w:p>
              </w:tc>
            </w:tr>
            <w:tr w14:paraId="3361F17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vAlign w:val="center"/>
                </w:tcPr>
                <w:p w14:paraId="2CE6EA38">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4</w:t>
                  </w:r>
                </w:p>
              </w:tc>
              <w:tc>
                <w:tcPr>
                  <w:tcW w:w="1738" w:type="dxa"/>
                  <w:vAlign w:val="center"/>
                </w:tcPr>
                <w:p w14:paraId="1FA1ABD8">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危险废物贮存点</w:t>
                  </w:r>
                </w:p>
              </w:tc>
              <w:tc>
                <w:tcPr>
                  <w:tcW w:w="1312" w:type="dxa"/>
                  <w:vAlign w:val="center"/>
                </w:tcPr>
                <w:p w14:paraId="120A49B3">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bCs/>
                      <w:color w:val="auto"/>
                      <w:sz w:val="18"/>
                      <w:szCs w:val="18"/>
                      <w:highlight w:val="none"/>
                      <w:lang w:val="en-US" w:eastAsia="zh-CN"/>
                    </w:rPr>
                    <w:t>重点防渗区</w:t>
                  </w:r>
                </w:p>
              </w:tc>
              <w:tc>
                <w:tcPr>
                  <w:tcW w:w="5236" w:type="dxa"/>
                  <w:vAlign w:val="center"/>
                </w:tcPr>
                <w:p w14:paraId="166A9CEB">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防渗层</w:t>
                  </w:r>
                  <w:r>
                    <w:rPr>
                      <w:rFonts w:hint="eastAsia" w:ascii="Times New Roman" w:hAnsi="Times New Roman" w:eastAsia="宋体" w:cs="Times New Roman"/>
                      <w:color w:val="auto"/>
                      <w:sz w:val="18"/>
                      <w:szCs w:val="18"/>
                      <w:highlight w:val="none"/>
                      <w:lang w:val="en-US" w:eastAsia="zh-CN"/>
                    </w:rPr>
                    <w:t>采用</w:t>
                  </w:r>
                  <w:r>
                    <w:rPr>
                      <w:rFonts w:hint="default" w:ascii="Times New Roman" w:hAnsi="Times New Roman" w:eastAsia="宋体" w:cs="Times New Roman"/>
                      <w:color w:val="auto"/>
                      <w:sz w:val="18"/>
                      <w:szCs w:val="18"/>
                      <w:highlight w:val="none"/>
                      <w:lang w:val="en-US" w:eastAsia="zh-CN"/>
                    </w:rPr>
                    <w:t>2mm厚的防渗人工材</w:t>
                  </w:r>
                  <w:r>
                    <w:rPr>
                      <w:rFonts w:hint="default" w:ascii="Times New Roman" w:hAnsi="Times New Roman" w:eastAsia="宋体" w:cs="Times New Roman"/>
                      <w:color w:val="auto"/>
                      <w:kern w:val="2"/>
                      <w:sz w:val="18"/>
                      <w:szCs w:val="18"/>
                      <w:highlight w:val="none"/>
                      <w:lang w:val="en-US" w:eastAsia="zh-CN" w:bidi="ar-SA"/>
                    </w:rPr>
                    <w:t>料，</w:t>
                  </w:r>
                  <w:r>
                    <w:rPr>
                      <w:rFonts w:hint="eastAsia" w:ascii="Times New Roman" w:hAnsi="Times New Roman" w:cs="Times New Roman"/>
                      <w:color w:val="auto"/>
                      <w:kern w:val="2"/>
                      <w:sz w:val="18"/>
                      <w:szCs w:val="18"/>
                      <w:highlight w:val="none"/>
                      <w:lang w:val="en-US" w:eastAsia="zh-CN" w:bidi="ar-SA"/>
                    </w:rPr>
                    <w:t>地面与裙脚</w:t>
                  </w:r>
                  <w:r>
                    <w:rPr>
                      <w:rFonts w:hint="eastAsia" w:ascii="Times New Roman" w:hAnsi="Times New Roman" w:eastAsia="宋体" w:cs="Times New Roman"/>
                      <w:color w:val="auto"/>
                      <w:kern w:val="2"/>
                      <w:sz w:val="18"/>
                      <w:szCs w:val="18"/>
                      <w:highlight w:val="none"/>
                      <w:lang w:val="en-US" w:eastAsia="zh-CN" w:bidi="ar-SA"/>
                    </w:rPr>
                    <w:t>使用水泥硬化</w:t>
                  </w:r>
                  <w:r>
                    <w:rPr>
                      <w:rFonts w:hint="eastAsia" w:ascii="Times New Roman" w:hAnsi="Times New Roman" w:cs="Times New Roman"/>
                      <w:color w:val="auto"/>
                      <w:kern w:val="2"/>
                      <w:sz w:val="18"/>
                      <w:szCs w:val="18"/>
                      <w:highlight w:val="none"/>
                      <w:lang w:val="en-US" w:eastAsia="zh-CN" w:bidi="ar-SA"/>
                    </w:rPr>
                    <w:t>防渗处理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防渗系数≤10</w:t>
                  </w:r>
                  <w:r>
                    <w:rPr>
                      <w:rFonts w:hint="default" w:ascii="Times New Roman" w:hAnsi="Times New Roman" w:eastAsia="宋体" w:cs="Times New Roman"/>
                      <w:color w:val="auto"/>
                      <w:kern w:val="2"/>
                      <w:sz w:val="18"/>
                      <w:szCs w:val="18"/>
                      <w:highlight w:val="none"/>
                      <w:vertAlign w:val="superscript"/>
                      <w:lang w:val="en-US" w:eastAsia="zh-CN" w:bidi="ar-SA"/>
                    </w:rPr>
                    <w:t>-10</w:t>
                  </w:r>
                  <w:r>
                    <w:rPr>
                      <w:rFonts w:hint="default" w:ascii="Times New Roman" w:hAnsi="Times New Roman" w:eastAsia="宋体" w:cs="Times New Roman"/>
                      <w:color w:val="auto"/>
                      <w:kern w:val="2"/>
                      <w:sz w:val="18"/>
                      <w:szCs w:val="18"/>
                      <w:highlight w:val="none"/>
                      <w:lang w:val="en-US" w:eastAsia="zh-CN" w:bidi="ar-SA"/>
                    </w:rPr>
                    <w:t>cm/s。</w:t>
                  </w:r>
                </w:p>
              </w:tc>
            </w:tr>
            <w:tr w14:paraId="66DDBF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dxa"/>
                  <w:tcBorders>
                    <w:bottom w:val="single" w:color="auto" w:sz="12" w:space="0"/>
                  </w:tcBorders>
                  <w:vAlign w:val="center"/>
                </w:tcPr>
                <w:p w14:paraId="1B35012A">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5</w:t>
                  </w:r>
                </w:p>
              </w:tc>
              <w:tc>
                <w:tcPr>
                  <w:tcW w:w="1738" w:type="dxa"/>
                  <w:tcBorders>
                    <w:bottom w:val="single" w:color="auto" w:sz="12" w:space="0"/>
                  </w:tcBorders>
                  <w:vAlign w:val="center"/>
                </w:tcPr>
                <w:p w14:paraId="03647E1B">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其他区域</w:t>
                  </w:r>
                </w:p>
              </w:tc>
              <w:tc>
                <w:tcPr>
                  <w:tcW w:w="1312" w:type="dxa"/>
                  <w:tcBorders>
                    <w:bottom w:val="single" w:color="auto" w:sz="12" w:space="0"/>
                  </w:tcBorders>
                  <w:vAlign w:val="center"/>
                </w:tcPr>
                <w:p w14:paraId="61F50F13">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简单防渗区</w:t>
                  </w:r>
                </w:p>
              </w:tc>
              <w:tc>
                <w:tcPr>
                  <w:tcW w:w="5236" w:type="dxa"/>
                  <w:tcBorders>
                    <w:bottom w:val="single" w:color="auto" w:sz="12" w:space="0"/>
                  </w:tcBorders>
                  <w:vAlign w:val="center"/>
                </w:tcPr>
                <w:p w14:paraId="356D8FC6">
                  <w:pPr>
                    <w:jc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车辆进出口及主要通道使用水泥硬化</w:t>
                  </w:r>
                  <w:r>
                    <w:rPr>
                      <w:rFonts w:hint="eastAsia" w:cs="Times New Roman"/>
                      <w:color w:val="auto"/>
                      <w:sz w:val="18"/>
                      <w:szCs w:val="18"/>
                      <w:highlight w:val="none"/>
                      <w:lang w:val="en-US" w:eastAsia="zh-CN"/>
                    </w:rPr>
                    <w:t>简单防渗</w:t>
                  </w:r>
                </w:p>
              </w:tc>
            </w:tr>
          </w:tbl>
          <w:p w14:paraId="236B7231">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6</w:t>
            </w:r>
            <w:r>
              <w:rPr>
                <w:rFonts w:hint="default" w:ascii="Times New Roman" w:hAnsi="Times New Roman" w:cs="Times New Roman"/>
                <w:b/>
                <w:color w:val="auto"/>
                <w:sz w:val="21"/>
                <w:szCs w:val="21"/>
                <w:highlight w:val="none"/>
                <w:lang w:val="en-US" w:eastAsia="zh-CN"/>
              </w:rPr>
              <w:t>、生态影响</w:t>
            </w:r>
          </w:p>
          <w:p w14:paraId="63168E27">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本项目地块位于</w:t>
            </w:r>
            <w:r>
              <w:rPr>
                <w:rFonts w:hint="eastAsia" w:cs="Times New Roman"/>
                <w:color w:val="auto"/>
                <w:sz w:val="21"/>
                <w:szCs w:val="21"/>
                <w:highlight w:val="none"/>
                <w:lang w:val="en-US" w:eastAsia="zh-CN"/>
              </w:rPr>
              <w:t>鸡西市恒山区红旗乡义安村</w:t>
            </w:r>
            <w:r>
              <w:rPr>
                <w:rFonts w:hint="default" w:ascii="Times New Roman" w:hAnsi="Times New Roman" w:cs="Times New Roman"/>
                <w:color w:val="auto"/>
                <w:sz w:val="21"/>
                <w:szCs w:val="21"/>
                <w:highlight w:val="none"/>
                <w:lang w:val="en-US" w:eastAsia="zh-CN"/>
              </w:rPr>
              <w:t>，土地类型为</w:t>
            </w:r>
            <w:r>
              <w:rPr>
                <w:rFonts w:hint="eastAsia" w:cs="Times New Roman"/>
                <w:color w:val="auto"/>
                <w:sz w:val="21"/>
                <w:szCs w:val="21"/>
                <w:highlight w:val="none"/>
                <w:lang w:val="en-US" w:eastAsia="zh-CN"/>
              </w:rPr>
              <w:t>采矿用地</w:t>
            </w:r>
            <w:r>
              <w:rPr>
                <w:rFonts w:hint="default" w:ascii="Times New Roman" w:hAnsi="Times New Roman" w:cs="Times New Roman"/>
                <w:color w:val="auto"/>
                <w:sz w:val="21"/>
                <w:szCs w:val="21"/>
                <w:highlight w:val="none"/>
                <w:lang w:val="en-US" w:eastAsia="zh-CN"/>
              </w:rPr>
              <w:t>。</w:t>
            </w:r>
          </w:p>
          <w:p w14:paraId="6AAAD299">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项目地块面积</w:t>
            </w:r>
            <w:r>
              <w:rPr>
                <w:rFonts w:hint="eastAsia" w:cs="Times New Roman"/>
                <w:color w:val="auto"/>
                <w:sz w:val="21"/>
                <w:szCs w:val="21"/>
                <w:highlight w:val="none"/>
                <w:lang w:val="en-US" w:eastAsia="zh-CN"/>
              </w:rPr>
              <w:t>10327.83</w:t>
            </w:r>
            <w:r>
              <w:rPr>
                <w:rFonts w:hint="default" w:ascii="Times New Roman" w:hAnsi="Times New Roman" w:cs="Times New Roman"/>
                <w:color w:val="auto"/>
                <w:sz w:val="21"/>
                <w:szCs w:val="21"/>
                <w:highlight w:val="none"/>
                <w:lang w:val="en-US" w:eastAsia="zh-CN"/>
              </w:rPr>
              <w:t>平方米，项目周边环境主要为</w:t>
            </w:r>
            <w:r>
              <w:rPr>
                <w:rFonts w:hint="eastAsia" w:cs="Times New Roman"/>
                <w:color w:val="auto"/>
                <w:sz w:val="21"/>
                <w:szCs w:val="21"/>
                <w:highlight w:val="none"/>
                <w:lang w:val="en-US" w:eastAsia="zh-CN"/>
              </w:rPr>
              <w:t>村庄、耕地</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洗煤厂</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厂区南侧、东侧约30米处存在一般生态空间</w:t>
            </w:r>
            <w:r>
              <w:rPr>
                <w:rFonts w:hint="default" w:ascii="Times New Roman" w:hAnsi="Times New Roman" w:cs="Times New Roman"/>
                <w:color w:val="auto"/>
                <w:sz w:val="21"/>
                <w:szCs w:val="21"/>
                <w:highlight w:val="none"/>
                <w:lang w:val="en-US" w:eastAsia="zh-CN"/>
              </w:rPr>
              <w:t>，本</w:t>
            </w:r>
            <w:r>
              <w:rPr>
                <w:rFonts w:hint="eastAsia" w:cs="Times New Roman"/>
                <w:color w:val="auto"/>
                <w:sz w:val="21"/>
                <w:szCs w:val="21"/>
                <w:highlight w:val="none"/>
                <w:lang w:val="en-US" w:eastAsia="zh-CN"/>
              </w:rPr>
              <w:t>项目在采矿用地范围内进行建设，不涉及生态保护红线、一般生态空间。运营期</w:t>
            </w:r>
            <w:r>
              <w:rPr>
                <w:rFonts w:hint="default" w:ascii="Times New Roman" w:hAnsi="Times New Roman" w:cs="Times New Roman"/>
                <w:color w:val="auto"/>
                <w:sz w:val="21"/>
                <w:szCs w:val="21"/>
                <w:highlight w:val="none"/>
                <w:lang w:val="en-US" w:eastAsia="zh-CN"/>
              </w:rPr>
              <w:t>仅用于煤炭的贮存、销售，</w:t>
            </w:r>
            <w:r>
              <w:rPr>
                <w:rFonts w:hint="default" w:ascii="Times New Roman" w:hAnsi="Times New Roman" w:cs="Times New Roman"/>
                <w:color w:val="auto"/>
                <w:sz w:val="21"/>
                <w:szCs w:val="21"/>
                <w:highlight w:val="none"/>
              </w:rPr>
              <w:t>项目施</w:t>
            </w:r>
            <w:r>
              <w:rPr>
                <w:rFonts w:hint="default" w:ascii="Times New Roman" w:hAnsi="Times New Roman" w:cs="Times New Roman"/>
                <w:color w:val="auto"/>
                <w:sz w:val="21"/>
                <w:szCs w:val="21"/>
                <w:highlight w:val="none"/>
                <w:lang w:val="en-US" w:eastAsia="zh-CN"/>
              </w:rPr>
              <w:t>工</w:t>
            </w:r>
            <w:r>
              <w:rPr>
                <w:rFonts w:hint="default" w:ascii="Times New Roman" w:hAnsi="Times New Roman" w:cs="Times New Roman"/>
                <w:color w:val="auto"/>
                <w:sz w:val="21"/>
                <w:szCs w:val="21"/>
                <w:highlight w:val="none"/>
              </w:rPr>
              <w:t>运营过程中</w:t>
            </w:r>
            <w:r>
              <w:rPr>
                <w:rFonts w:hint="default" w:ascii="Times New Roman" w:hAnsi="Times New Roman" w:cs="Times New Roman"/>
                <w:color w:val="auto"/>
                <w:sz w:val="21"/>
                <w:szCs w:val="21"/>
                <w:highlight w:val="none"/>
                <w:lang w:val="en-US" w:eastAsia="zh-CN"/>
              </w:rPr>
              <w:t>仅产生少量扬尘，在落实储煤点四周设置闭合防风抑尘网，场内堆存煤炭使用</w:t>
            </w:r>
            <w:r>
              <w:rPr>
                <w:rFonts w:hint="eastAsia" w:cs="Times New Roman"/>
                <w:color w:val="auto"/>
                <w:sz w:val="21"/>
                <w:szCs w:val="21"/>
                <w:highlight w:val="none"/>
                <w:lang w:val="en-US" w:eastAsia="zh-CN"/>
              </w:rPr>
              <w:t>苫布</w:t>
            </w:r>
            <w:r>
              <w:rPr>
                <w:rFonts w:hint="default" w:ascii="Times New Roman" w:hAnsi="Times New Roman" w:cs="Times New Roman"/>
                <w:color w:val="auto"/>
                <w:sz w:val="21"/>
                <w:szCs w:val="21"/>
                <w:highlight w:val="none"/>
                <w:lang w:val="en-US" w:eastAsia="zh-CN"/>
              </w:rPr>
              <w:t>苫盖；定期洒水降尘等措施后，运营期间产生的扬尘对生态环境</w:t>
            </w:r>
            <w:r>
              <w:rPr>
                <w:rFonts w:hint="default" w:ascii="Times New Roman" w:hAnsi="Times New Roman" w:cs="Times New Roman"/>
                <w:color w:val="auto"/>
                <w:sz w:val="21"/>
                <w:szCs w:val="21"/>
                <w:highlight w:val="none"/>
              </w:rPr>
              <w:t>的影响很小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项目无生产废水产生，生活污水</w:t>
            </w:r>
            <w:r>
              <w:rPr>
                <w:rFonts w:hint="eastAsia" w:cs="Times New Roman"/>
                <w:color w:val="auto"/>
                <w:sz w:val="21"/>
                <w:szCs w:val="21"/>
                <w:highlight w:val="none"/>
                <w:lang w:val="en-US" w:eastAsia="zh-CN"/>
              </w:rPr>
              <w:t>排入</w:t>
            </w:r>
            <w:r>
              <w:rPr>
                <w:rFonts w:hint="default" w:ascii="Times New Roman" w:hAnsi="Times New Roman" w:cs="Times New Roman"/>
                <w:color w:val="auto"/>
                <w:sz w:val="21"/>
                <w:szCs w:val="21"/>
                <w:highlight w:val="none"/>
                <w:lang w:val="en-US" w:eastAsia="zh-CN"/>
              </w:rPr>
              <w:t>防渗旱厕</w:t>
            </w:r>
            <w:r>
              <w:rPr>
                <w:rFonts w:hint="eastAsia" w:cs="Times New Roman"/>
                <w:color w:val="auto"/>
                <w:sz w:val="21"/>
                <w:szCs w:val="21"/>
                <w:highlight w:val="none"/>
                <w:lang w:val="en-US" w:eastAsia="zh-CN"/>
              </w:rPr>
              <w:t>，定期清掏外运堆肥，初期雨水经厂区四周设置的导流沟收集至初期雨水收集池回用洒水降尘使用，无废水外排。</w:t>
            </w:r>
          </w:p>
          <w:p w14:paraId="72B04FA0">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综上，项目营运期污染物均得到有效处理和处置，对生态环境影响不大。</w:t>
            </w:r>
          </w:p>
          <w:p w14:paraId="6CD4626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lang w:val="en-US" w:eastAsia="zh-CN"/>
              </w:rPr>
              <w:t>、环境风险</w:t>
            </w:r>
          </w:p>
          <w:p w14:paraId="2047E5D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（1）</w:t>
            </w:r>
            <w:r>
              <w:rPr>
                <w:rFonts w:hint="default" w:ascii="Times New Roman" w:hAnsi="Times New Roman" w:eastAsia="宋体" w:cs="Times New Roman"/>
                <w:color w:val="auto"/>
                <w:sz w:val="21"/>
                <w:szCs w:val="21"/>
                <w:highlight w:val="none"/>
                <w:lang w:val="en-US" w:eastAsia="zh-CN"/>
              </w:rPr>
              <w:t>环境风险</w:t>
            </w:r>
            <w:r>
              <w:rPr>
                <w:rFonts w:hint="eastAsia" w:cs="Times New Roman"/>
                <w:color w:val="auto"/>
                <w:sz w:val="21"/>
                <w:szCs w:val="21"/>
                <w:highlight w:val="none"/>
                <w:lang w:val="en-US" w:eastAsia="zh-CN"/>
              </w:rPr>
              <w:t>物质</w:t>
            </w:r>
            <w:r>
              <w:rPr>
                <w:rFonts w:hint="default" w:ascii="Times New Roman" w:hAnsi="Times New Roman" w:eastAsia="宋体" w:cs="Times New Roman"/>
                <w:color w:val="auto"/>
                <w:sz w:val="21"/>
                <w:szCs w:val="21"/>
                <w:highlight w:val="none"/>
                <w:lang w:val="en-US" w:eastAsia="zh-CN"/>
              </w:rPr>
              <w:t>识别</w:t>
            </w:r>
          </w:p>
          <w:p w14:paraId="60CC6FC1">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依据《建设项目环境风险评价技术导则》（HJ169-2018）中的危险物质或危险化学品，对项目的环境风险物质进行判断，本项目</w:t>
            </w:r>
            <w:r>
              <w:rPr>
                <w:rFonts w:hint="eastAsia" w:cs="Times New Roman"/>
                <w:color w:val="auto"/>
                <w:sz w:val="21"/>
                <w:szCs w:val="21"/>
                <w:highlight w:val="none"/>
                <w:lang w:val="en-US" w:eastAsia="zh-CN"/>
              </w:rPr>
              <w:t>厂区内不贮存机油，仅在维修需要时外购，</w:t>
            </w:r>
            <w:r>
              <w:rPr>
                <w:rFonts w:hint="default" w:ascii="Times New Roman" w:hAnsi="Times New Roman" w:eastAsia="宋体" w:cs="Times New Roman"/>
                <w:color w:val="auto"/>
                <w:sz w:val="21"/>
                <w:szCs w:val="21"/>
                <w:highlight w:val="none"/>
                <w:lang w:val="en-US"/>
              </w:rPr>
              <w:t>风险物质</w:t>
            </w:r>
            <w:r>
              <w:rPr>
                <w:rFonts w:hint="default" w:ascii="Times New Roman" w:hAnsi="Times New Roman" w:eastAsia="宋体" w:cs="Times New Roman"/>
                <w:color w:val="auto"/>
                <w:sz w:val="21"/>
                <w:szCs w:val="21"/>
                <w:highlight w:val="none"/>
                <w:lang w:val="en-US" w:eastAsia="zh-CN"/>
              </w:rPr>
              <w:t>为废机油</w:t>
            </w:r>
            <w:r>
              <w:rPr>
                <w:rFonts w:hint="default" w:ascii="Times New Roman" w:hAnsi="Times New Roman" w:eastAsia="宋体" w:cs="Times New Roman"/>
                <w:color w:val="auto"/>
                <w:sz w:val="21"/>
                <w:szCs w:val="21"/>
                <w:highlight w:val="none"/>
                <w:lang w:val="en-US"/>
              </w:rPr>
              <w:t>。</w:t>
            </w:r>
          </w:p>
          <w:p w14:paraId="557C2936">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w:t>
            </w:r>
            <w:r>
              <w:rPr>
                <w:rFonts w:hint="eastAsia" w:cs="Times New Roman"/>
                <w:b/>
                <w:bCs/>
                <w:color w:val="auto"/>
                <w:kern w:val="2"/>
                <w:sz w:val="21"/>
                <w:szCs w:val="21"/>
                <w:highlight w:val="none"/>
                <w:lang w:val="en-US" w:eastAsia="zh-CN" w:bidi="ar-SA"/>
              </w:rPr>
              <w:t>0废机油理化性质、危险特性一览</w:t>
            </w:r>
            <w:r>
              <w:rPr>
                <w:rFonts w:hint="eastAsia" w:ascii="Times New Roman" w:hAnsi="Times New Roman" w:eastAsia="宋体" w:cs="Times New Roman"/>
                <w:b/>
                <w:bCs/>
                <w:color w:val="auto"/>
                <w:kern w:val="2"/>
                <w:sz w:val="21"/>
                <w:szCs w:val="21"/>
                <w:highlight w:val="none"/>
                <w:lang w:val="en-US" w:eastAsia="zh-CN" w:bidi="ar-SA"/>
              </w:rPr>
              <w:t>表</w:t>
            </w:r>
          </w:p>
          <w:tbl>
            <w:tblPr>
              <w:tblStyle w:val="25"/>
              <w:tblW w:w="889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5"/>
              <w:gridCol w:w="639"/>
              <w:gridCol w:w="7725"/>
            </w:tblGrid>
            <w:tr w14:paraId="0CF17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535" w:type="dxa"/>
                  <w:vMerge w:val="restart"/>
                  <w:tcBorders>
                    <w:tl2br w:val="nil"/>
                    <w:tr2bl w:val="nil"/>
                  </w:tcBorders>
                  <w:vAlign w:val="center"/>
                </w:tcPr>
                <w:p w14:paraId="4C9236C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理化性质</w:t>
                  </w:r>
                </w:p>
              </w:tc>
              <w:tc>
                <w:tcPr>
                  <w:tcW w:w="639" w:type="dxa"/>
                  <w:tcBorders>
                    <w:tl2br w:val="nil"/>
                    <w:tr2bl w:val="nil"/>
                  </w:tcBorders>
                  <w:vAlign w:val="center"/>
                </w:tcPr>
                <w:p w14:paraId="17B43DF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外观与状态</w:t>
                  </w:r>
                </w:p>
              </w:tc>
              <w:tc>
                <w:tcPr>
                  <w:tcW w:w="7725" w:type="dxa"/>
                  <w:tcBorders>
                    <w:tl2br w:val="nil"/>
                    <w:tr2bl w:val="nil"/>
                  </w:tcBorders>
                  <w:vAlign w:val="center"/>
                </w:tcPr>
                <w:p w14:paraId="1A1D564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常温下通常为深褐色至黑色的粘稠液体，部分因混入杂质（如金属碎屑、灰尘、水分）可能呈现浑浊状，流动性随温度变化明显，低温时粘度增大甚至凝固，高温时粘度降低。</w:t>
                  </w:r>
                </w:p>
              </w:tc>
            </w:tr>
            <w:tr w14:paraId="09938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35" w:type="dxa"/>
                  <w:vMerge w:val="continue"/>
                  <w:tcBorders>
                    <w:tl2br w:val="nil"/>
                    <w:tr2bl w:val="nil"/>
                  </w:tcBorders>
                  <w:vAlign w:val="center"/>
                </w:tcPr>
                <w:p w14:paraId="5896668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639" w:type="dxa"/>
                  <w:tcBorders>
                    <w:tl2br w:val="nil"/>
                    <w:tr2bl w:val="nil"/>
                  </w:tcBorders>
                  <w:vAlign w:val="center"/>
                </w:tcPr>
                <w:p w14:paraId="4479008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密度与溶解性</w:t>
                  </w:r>
                </w:p>
              </w:tc>
              <w:tc>
                <w:tcPr>
                  <w:tcW w:w="7725" w:type="dxa"/>
                  <w:tcBorders>
                    <w:tl2br w:val="nil"/>
                    <w:tr2bl w:val="nil"/>
                  </w:tcBorders>
                  <w:vAlign w:val="center"/>
                </w:tcPr>
                <w:p w14:paraId="6966673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密度一般在0.85-0.95g/cm</w:t>
                  </w:r>
                  <w:r>
                    <w:rPr>
                      <w:rFonts w:hint="eastAsia" w:ascii="Times New Roman" w:hAnsi="Times New Roman" w:eastAsia="宋体" w:cs="Times New Roman"/>
                      <w:b w:val="0"/>
                      <w:bCs w:val="0"/>
                      <w:color w:val="auto"/>
                      <w:kern w:val="2"/>
                      <w:sz w:val="18"/>
                      <w:szCs w:val="18"/>
                      <w:highlight w:val="none"/>
                      <w:vertAlign w:val="superscript"/>
                      <w:lang w:val="en-US" w:eastAsia="zh-CN" w:bidi="ar-SA"/>
                    </w:rPr>
                    <w:t>3</w:t>
                  </w:r>
                  <w:r>
                    <w:rPr>
                      <w:rFonts w:hint="default" w:ascii="Times New Roman" w:hAnsi="Times New Roman" w:eastAsia="宋体" w:cs="Times New Roman"/>
                      <w:b w:val="0"/>
                      <w:bCs w:val="0"/>
                      <w:color w:val="auto"/>
                      <w:kern w:val="2"/>
                      <w:sz w:val="18"/>
                      <w:szCs w:val="18"/>
                      <w:highlight w:val="none"/>
                      <w:vertAlign w:val="baseline"/>
                      <w:lang w:val="en-US" w:eastAsia="zh-CN" w:bidi="ar-SA"/>
                    </w:rPr>
                    <w:t>之间，略小于水；不溶于水，易溶于苯、汽油、柴油等有机溶剂，会在水体表面形成油膜。</w:t>
                  </w:r>
                </w:p>
              </w:tc>
            </w:tr>
            <w:tr w14:paraId="1E72D6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35" w:type="dxa"/>
                  <w:vMerge w:val="continue"/>
                  <w:tcBorders>
                    <w:tl2br w:val="nil"/>
                    <w:tr2bl w:val="nil"/>
                  </w:tcBorders>
                  <w:vAlign w:val="center"/>
                </w:tcPr>
                <w:p w14:paraId="7FF0C78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639" w:type="dxa"/>
                  <w:tcBorders>
                    <w:tl2br w:val="nil"/>
                    <w:tr2bl w:val="nil"/>
                  </w:tcBorders>
                  <w:vAlign w:val="center"/>
                </w:tcPr>
                <w:p w14:paraId="2A6E176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沸点与闪点</w:t>
                  </w:r>
                </w:p>
              </w:tc>
              <w:tc>
                <w:tcPr>
                  <w:tcW w:w="7725" w:type="dxa"/>
                  <w:tcBorders>
                    <w:tl2br w:val="nil"/>
                    <w:tr2bl w:val="nil"/>
                  </w:tcBorders>
                  <w:vAlign w:val="center"/>
                </w:tcPr>
                <w:p w14:paraId="7DECF22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沸点不固定，因原油来源、使用过程中的分解变质，沸点范围通常在150-400℃；闪点多为120-200℃，属于可燃液体，其中部分废机油因轻质组分挥发，闪点可能降低，火灾风险升高。</w:t>
                  </w:r>
                </w:p>
              </w:tc>
            </w:tr>
            <w:tr w14:paraId="16D19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535" w:type="dxa"/>
                  <w:vMerge w:val="continue"/>
                  <w:tcBorders>
                    <w:tl2br w:val="nil"/>
                    <w:tr2bl w:val="nil"/>
                  </w:tcBorders>
                  <w:vAlign w:val="center"/>
                </w:tcPr>
                <w:p w14:paraId="00D14E5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639" w:type="dxa"/>
                  <w:tcBorders>
                    <w:tl2br w:val="nil"/>
                    <w:tr2bl w:val="nil"/>
                  </w:tcBorders>
                  <w:vAlign w:val="center"/>
                </w:tcPr>
                <w:p w14:paraId="0BEC3DC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其他特性</w:t>
                  </w:r>
                </w:p>
              </w:tc>
              <w:tc>
                <w:tcPr>
                  <w:tcW w:w="7725" w:type="dxa"/>
                  <w:tcBorders>
                    <w:tl2br w:val="nil"/>
                    <w:tr2bl w:val="nil"/>
                  </w:tcBorders>
                  <w:vAlign w:val="center"/>
                </w:tcPr>
                <w:p w14:paraId="04E6669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含有硫、磷、氮化合物及重金属（如铅、镉、铬）、添加剂残留（如抗磨剂、抗氧化剂）等成分，化学稳定性较差，长期储存易发生氧化、酸化，产生腐蚀性物质。</w:t>
                  </w:r>
                </w:p>
              </w:tc>
            </w:tr>
            <w:tr w14:paraId="481B4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35" w:type="dxa"/>
                  <w:vMerge w:val="restart"/>
                  <w:tcBorders>
                    <w:tl2br w:val="nil"/>
                    <w:tr2bl w:val="nil"/>
                  </w:tcBorders>
                  <w:vAlign w:val="center"/>
                </w:tcPr>
                <w:p w14:paraId="1FC95E5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危险特性</w:t>
                  </w:r>
                </w:p>
              </w:tc>
              <w:tc>
                <w:tcPr>
                  <w:tcW w:w="639" w:type="dxa"/>
                  <w:tcBorders>
                    <w:tl2br w:val="nil"/>
                    <w:tr2bl w:val="nil"/>
                  </w:tcBorders>
                  <w:vAlign w:val="center"/>
                </w:tcPr>
                <w:p w14:paraId="2AC6583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易燃性</w:t>
                  </w:r>
                </w:p>
              </w:tc>
              <w:tc>
                <w:tcPr>
                  <w:tcW w:w="7725" w:type="dxa"/>
                  <w:tcBorders>
                    <w:tl2br w:val="nil"/>
                    <w:tr2bl w:val="nil"/>
                  </w:tcBorders>
                  <w:vAlign w:val="center"/>
                </w:tcPr>
                <w:p w14:paraId="4E66DA1B">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废机油中的轻质烃类成分具有可燃性，遇明火、高温（如焊接、暴晒）或静电火花会引发燃烧，燃烧时释放一氧化碳、二氧化硫等有毒有害气体，且火势蔓延快，扑救难度较大。</w:t>
                  </w:r>
                </w:p>
              </w:tc>
            </w:tr>
            <w:tr w14:paraId="68EA9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535" w:type="dxa"/>
                  <w:vMerge w:val="continue"/>
                  <w:tcBorders>
                    <w:tl2br w:val="nil"/>
                    <w:tr2bl w:val="nil"/>
                  </w:tcBorders>
                  <w:vAlign w:val="center"/>
                </w:tcPr>
                <w:p w14:paraId="77DDBDD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639" w:type="dxa"/>
                  <w:tcBorders>
                    <w:tl2br w:val="nil"/>
                    <w:tr2bl w:val="nil"/>
                  </w:tcBorders>
                  <w:vAlign w:val="center"/>
                </w:tcPr>
                <w:p w14:paraId="76C5AE1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毒性</w:t>
                  </w:r>
                </w:p>
              </w:tc>
              <w:tc>
                <w:tcPr>
                  <w:tcW w:w="7725" w:type="dxa"/>
                  <w:tcBorders>
                    <w:tl2br w:val="nil"/>
                    <w:tr2bl w:val="nil"/>
                  </w:tcBorders>
                  <w:vAlign w:val="center"/>
                </w:tcPr>
                <w:p w14:paraId="4198B58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其含有的重金属和多环芳烃等物质具有急性和慢性毒性。短期接触可能刺激皮肤、呼吸道，引发皮炎、咳嗽等症状；长期接触或误食，重金属会在人体肝肾等器官蓄积，多环芳烃具有致癌、致畸、致突变性，严重危害健康。此外，废机油若渗入土壤或水体，会污染地下水和农作物，通过食物链危害生态系统。</w:t>
                  </w:r>
                </w:p>
              </w:tc>
            </w:tr>
            <w:tr w14:paraId="0EBA0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535" w:type="dxa"/>
                  <w:vMerge w:val="continue"/>
                  <w:tcBorders>
                    <w:tl2br w:val="nil"/>
                    <w:tr2bl w:val="nil"/>
                  </w:tcBorders>
                  <w:vAlign w:val="center"/>
                </w:tcPr>
                <w:p w14:paraId="5B0684F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p>
              </w:tc>
              <w:tc>
                <w:tcPr>
                  <w:tcW w:w="639" w:type="dxa"/>
                  <w:tcBorders>
                    <w:tl2br w:val="nil"/>
                    <w:tr2bl w:val="nil"/>
                  </w:tcBorders>
                  <w:vAlign w:val="center"/>
                </w:tcPr>
                <w:p w14:paraId="61F3522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环境危害性</w:t>
                  </w:r>
                </w:p>
              </w:tc>
              <w:tc>
                <w:tcPr>
                  <w:tcW w:w="7725" w:type="dxa"/>
                  <w:tcBorders>
                    <w:tl2br w:val="nil"/>
                    <w:tr2bl w:val="nil"/>
                  </w:tcBorders>
                  <w:vAlign w:val="center"/>
                </w:tcPr>
                <w:p w14:paraId="651C2063">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kern w:val="2"/>
                      <w:sz w:val="18"/>
                      <w:szCs w:val="18"/>
                      <w:highlight w:val="none"/>
                      <w:vertAlign w:val="baseline"/>
                      <w:lang w:val="en-US" w:eastAsia="zh-CN" w:bidi="ar-SA"/>
                    </w:rPr>
                    <w:t>废机油不溶于水，泄漏后会在水体表面形成油膜，阻碍水体与空气的氧气交换，导致水生生物缺氧死亡；渗入土壤后，会破坏土壤结构，抑制植物生长，且土壤和水体的污染治理难度大、周期长。</w:t>
                  </w:r>
                </w:p>
              </w:tc>
            </w:tr>
          </w:tbl>
          <w:p w14:paraId="5962C0C2">
            <w:pPr>
              <w:keepNext w:val="0"/>
              <w:keepLines w:val="0"/>
              <w:pageBreakBefore w:val="0"/>
              <w:widowControl/>
              <w:suppressLineNumbers w:val="0"/>
              <w:kinsoku/>
              <w:wordWrap/>
              <w:overflowPunct/>
              <w:topLinePunct w:val="0"/>
              <w:autoSpaceDE/>
              <w:autoSpaceDN/>
              <w:bidi w:val="0"/>
              <w:adjustRightInd w:val="0"/>
              <w:snapToGrid w:val="0"/>
              <w:spacing w:before="157" w:beforeLines="50" w:line="360" w:lineRule="auto"/>
              <w:ind w:firstLine="420" w:firstLineChars="2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2</w:t>
            </w:r>
            <w:r>
              <w:rPr>
                <w:rFonts w:hint="eastAsia" w:ascii="宋体" w:hAnsi="宋体" w:eastAsia="宋体" w:cs="宋体"/>
                <w:color w:val="auto"/>
                <w:kern w:val="0"/>
                <w:sz w:val="21"/>
                <w:szCs w:val="21"/>
                <w:highlight w:val="none"/>
                <w:lang w:val="en-US" w:eastAsia="zh-CN" w:bidi="ar"/>
              </w:rPr>
              <w:t>）环境风险潜势划分</w:t>
            </w:r>
          </w:p>
          <w:p w14:paraId="6AD2276B">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根据《建设项目环境风险评价技术导则》（</w:t>
            </w:r>
            <w:r>
              <w:rPr>
                <w:rFonts w:hint="default" w:ascii="Times New Roman" w:hAnsi="Times New Roman" w:eastAsia="宋体" w:cs="Times New Roman"/>
                <w:color w:val="auto"/>
                <w:kern w:val="0"/>
                <w:sz w:val="21"/>
                <w:szCs w:val="21"/>
                <w:highlight w:val="none"/>
                <w:lang w:val="en-US" w:eastAsia="zh-CN" w:bidi="ar"/>
              </w:rPr>
              <w:t>HJ 169-2018</w:t>
            </w:r>
            <w:r>
              <w:rPr>
                <w:rFonts w:hint="eastAsia" w:ascii="宋体" w:hAnsi="宋体" w:eastAsia="宋体" w:cs="宋体"/>
                <w:color w:val="auto"/>
                <w:kern w:val="0"/>
                <w:sz w:val="21"/>
                <w:szCs w:val="21"/>
                <w:highlight w:val="none"/>
                <w:lang w:val="en-US" w:eastAsia="zh-CN" w:bidi="ar"/>
              </w:rPr>
              <w:t xml:space="preserve">），计算本项目所涉及的每种危险物质在厂界内的最大存在总量与其在附录 </w:t>
            </w:r>
            <w:r>
              <w:rPr>
                <w:rFonts w:hint="default" w:ascii="Times New Roman" w:hAnsi="Times New Roman" w:eastAsia="宋体" w:cs="Times New Roman"/>
                <w:color w:val="auto"/>
                <w:kern w:val="0"/>
                <w:sz w:val="21"/>
                <w:szCs w:val="21"/>
                <w:highlight w:val="none"/>
                <w:lang w:val="en-US" w:eastAsia="zh-CN" w:bidi="ar"/>
              </w:rPr>
              <w:t xml:space="preserve">B </w:t>
            </w:r>
            <w:r>
              <w:rPr>
                <w:rFonts w:hint="eastAsia" w:ascii="宋体" w:hAnsi="宋体" w:eastAsia="宋体" w:cs="宋体"/>
                <w:color w:val="auto"/>
                <w:kern w:val="0"/>
                <w:sz w:val="21"/>
                <w:szCs w:val="21"/>
                <w:highlight w:val="none"/>
                <w:lang w:val="en-US" w:eastAsia="zh-CN" w:bidi="ar"/>
              </w:rPr>
              <w:t xml:space="preserve">中对应临界量的比值 </w:t>
            </w:r>
            <w:r>
              <w:rPr>
                <w:rFonts w:hint="default" w:ascii="Times New Roman" w:hAnsi="Times New Roman" w:eastAsia="宋体" w:cs="Times New Roman"/>
                <w:color w:val="auto"/>
                <w:kern w:val="0"/>
                <w:sz w:val="21"/>
                <w:szCs w:val="21"/>
                <w:highlight w:val="none"/>
                <w:lang w:val="en-US" w:eastAsia="zh-CN" w:bidi="ar"/>
              </w:rPr>
              <w:t>Q</w:t>
            </w:r>
            <w:r>
              <w:rPr>
                <w:rFonts w:hint="eastAsia" w:ascii="宋体" w:hAnsi="宋体" w:eastAsia="宋体" w:cs="宋体"/>
                <w:color w:val="auto"/>
                <w:kern w:val="0"/>
                <w:sz w:val="21"/>
                <w:szCs w:val="21"/>
                <w:highlight w:val="none"/>
                <w:lang w:val="en-US" w:eastAsia="zh-CN" w:bidi="ar"/>
              </w:rPr>
              <w:t xml:space="preserve">。当只涉及一种危险物质时，计算该物质的总量与其临界量比值，即为 </w:t>
            </w:r>
            <w:r>
              <w:rPr>
                <w:rFonts w:hint="default" w:ascii="Times New Roman" w:hAnsi="Times New Roman" w:eastAsia="宋体" w:cs="Times New Roman"/>
                <w:color w:val="auto"/>
                <w:kern w:val="0"/>
                <w:sz w:val="21"/>
                <w:szCs w:val="21"/>
                <w:highlight w:val="none"/>
                <w:lang w:val="en-US" w:eastAsia="zh-CN" w:bidi="ar"/>
              </w:rPr>
              <w:t>Q</w:t>
            </w:r>
            <w:r>
              <w:rPr>
                <w:rFonts w:hint="eastAsia" w:ascii="宋体" w:hAnsi="宋体" w:eastAsia="宋体" w:cs="宋体"/>
                <w:color w:val="auto"/>
                <w:kern w:val="0"/>
                <w:sz w:val="21"/>
                <w:szCs w:val="21"/>
                <w:highlight w:val="none"/>
                <w:lang w:val="en-US" w:eastAsia="zh-CN" w:bidi="ar"/>
              </w:rPr>
              <w:t>；当存在多种危险物质时，则按式（</w:t>
            </w:r>
            <w:r>
              <w:rPr>
                <w:rFonts w:hint="default" w:ascii="Times New Roman" w:hAnsi="Times New Roman" w:eastAsia="宋体" w:cs="Times New Roman"/>
                <w:color w:val="auto"/>
                <w:kern w:val="0"/>
                <w:sz w:val="21"/>
                <w:szCs w:val="21"/>
                <w:highlight w:val="none"/>
                <w:lang w:val="en-US" w:eastAsia="zh-CN" w:bidi="ar"/>
              </w:rPr>
              <w:t>C.1</w:t>
            </w:r>
            <w:r>
              <w:rPr>
                <w:rFonts w:hint="eastAsia" w:ascii="宋体" w:hAnsi="宋体" w:eastAsia="宋体" w:cs="宋体"/>
                <w:color w:val="auto"/>
                <w:kern w:val="0"/>
                <w:sz w:val="21"/>
                <w:szCs w:val="21"/>
                <w:highlight w:val="none"/>
                <w:lang w:val="en-US" w:eastAsia="zh-CN" w:bidi="ar"/>
              </w:rPr>
              <w:t>）计算物质总量与其临界量比值（</w:t>
            </w:r>
            <w:r>
              <w:rPr>
                <w:rFonts w:hint="default" w:ascii="Times New Roman" w:hAnsi="Times New Roman" w:eastAsia="宋体" w:cs="Times New Roman"/>
                <w:color w:val="auto"/>
                <w:kern w:val="0"/>
                <w:sz w:val="21"/>
                <w:szCs w:val="21"/>
                <w:highlight w:val="none"/>
                <w:lang w:val="en-US" w:eastAsia="zh-CN" w:bidi="ar"/>
              </w:rPr>
              <w:t>Q</w:t>
            </w:r>
            <w:r>
              <w:rPr>
                <w:rFonts w:hint="eastAsia" w:ascii="宋体" w:hAnsi="宋体" w:eastAsia="宋体" w:cs="宋体"/>
                <w:color w:val="auto"/>
                <w:kern w:val="0"/>
                <w:sz w:val="21"/>
                <w:szCs w:val="21"/>
                <w:highlight w:val="none"/>
                <w:lang w:val="en-US" w:eastAsia="zh-CN" w:bidi="ar"/>
              </w:rPr>
              <w:t>）</w:t>
            </w:r>
            <w:r>
              <w:rPr>
                <w:rFonts w:hint="eastAsia" w:ascii="宋体" w:hAnsi="宋体" w:cs="宋体"/>
                <w:color w:val="auto"/>
                <w:kern w:val="0"/>
                <w:sz w:val="21"/>
                <w:szCs w:val="21"/>
                <w:highlight w:val="none"/>
                <w:lang w:val="en-US" w:eastAsia="zh-CN" w:bidi="ar"/>
              </w:rPr>
              <w:t>。</w:t>
            </w:r>
          </w:p>
          <w:p w14:paraId="5016BBAB">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color w:val="auto"/>
                <w:sz w:val="21"/>
                <w:szCs w:val="21"/>
                <w:highlight w:val="none"/>
              </w:rPr>
            </w:pPr>
            <w:r>
              <w:rPr>
                <w:color w:val="auto"/>
                <w:sz w:val="21"/>
                <w:szCs w:val="21"/>
                <w:highlight w:val="none"/>
              </w:rPr>
              <w:drawing>
                <wp:inline distT="0" distB="0" distL="114300" distR="114300">
                  <wp:extent cx="1752600" cy="485775"/>
                  <wp:effectExtent l="0" t="0" r="0"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9"/>
                          <a:stretch>
                            <a:fillRect/>
                          </a:stretch>
                        </pic:blipFill>
                        <pic:spPr>
                          <a:xfrm>
                            <a:off x="0" y="0"/>
                            <a:ext cx="1752600" cy="485775"/>
                          </a:xfrm>
                          <a:prstGeom prst="rect">
                            <a:avLst/>
                          </a:prstGeom>
                          <a:noFill/>
                          <a:ln>
                            <a:noFill/>
                          </a:ln>
                        </pic:spPr>
                      </pic:pic>
                    </a:graphicData>
                  </a:graphic>
                </wp:inline>
              </w:drawing>
            </w:r>
          </w:p>
          <w:p w14:paraId="4C7FD1A5">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式中：</w:t>
            </w:r>
            <w:r>
              <w:rPr>
                <w:rFonts w:hint="default" w:ascii="Times New Roman" w:hAnsi="Times New Roman" w:eastAsia="宋体" w:cs="Times New Roman"/>
                <w:color w:val="auto"/>
                <w:kern w:val="0"/>
                <w:sz w:val="21"/>
                <w:szCs w:val="21"/>
                <w:highlight w:val="none"/>
                <w:lang w:val="en-US" w:eastAsia="zh-CN" w:bidi="ar"/>
              </w:rPr>
              <w:t>q1</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q3</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qn——</w:t>
            </w:r>
            <w:r>
              <w:rPr>
                <w:rFonts w:hint="eastAsia" w:ascii="宋体" w:hAnsi="宋体" w:eastAsia="宋体" w:cs="宋体"/>
                <w:color w:val="auto"/>
                <w:kern w:val="0"/>
                <w:sz w:val="21"/>
                <w:szCs w:val="21"/>
                <w:highlight w:val="none"/>
                <w:lang w:val="en-US" w:eastAsia="zh-CN" w:bidi="ar"/>
              </w:rPr>
              <w:t>每种危险物质的最大存在总量，</w:t>
            </w:r>
            <w:r>
              <w:rPr>
                <w:rFonts w:hint="default" w:ascii="Times New Roman" w:hAnsi="Times New Roman" w:eastAsia="宋体" w:cs="Times New Roman"/>
                <w:color w:val="auto"/>
                <w:kern w:val="0"/>
                <w:sz w:val="21"/>
                <w:szCs w:val="21"/>
                <w:highlight w:val="none"/>
                <w:lang w:val="en-US" w:eastAsia="zh-CN" w:bidi="ar"/>
              </w:rPr>
              <w:t>t</w:t>
            </w:r>
            <w:r>
              <w:rPr>
                <w:rFonts w:hint="eastAsia" w:ascii="宋体" w:hAnsi="宋体" w:eastAsia="宋体" w:cs="宋体"/>
                <w:color w:val="auto"/>
                <w:kern w:val="0"/>
                <w:sz w:val="21"/>
                <w:szCs w:val="21"/>
                <w:highlight w:val="none"/>
                <w:lang w:val="en-US" w:eastAsia="zh-CN" w:bidi="ar"/>
              </w:rPr>
              <w:t>；</w:t>
            </w:r>
          </w:p>
          <w:p w14:paraId="1961467D">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1050" w:firstLineChars="500"/>
              <w:jc w:val="left"/>
              <w:textAlignment w:val="auto"/>
              <w:rPr>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Q1</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Qn——</w:t>
            </w:r>
            <w:r>
              <w:rPr>
                <w:rFonts w:hint="eastAsia" w:ascii="宋体" w:hAnsi="宋体" w:eastAsia="宋体" w:cs="宋体"/>
                <w:color w:val="auto"/>
                <w:kern w:val="0"/>
                <w:sz w:val="21"/>
                <w:szCs w:val="21"/>
                <w:highlight w:val="none"/>
                <w:lang w:val="en-US" w:eastAsia="zh-CN" w:bidi="ar"/>
              </w:rPr>
              <w:t>每种危险物质的临界量，</w:t>
            </w:r>
            <w:r>
              <w:rPr>
                <w:rFonts w:hint="default" w:ascii="Times New Roman" w:hAnsi="Times New Roman" w:eastAsia="宋体" w:cs="Times New Roman"/>
                <w:color w:val="auto"/>
                <w:kern w:val="0"/>
                <w:sz w:val="21"/>
                <w:szCs w:val="21"/>
                <w:highlight w:val="none"/>
                <w:lang w:val="en-US" w:eastAsia="zh-CN" w:bidi="ar"/>
              </w:rPr>
              <w:t>t</w:t>
            </w:r>
            <w:r>
              <w:rPr>
                <w:rFonts w:hint="eastAsia" w:ascii="宋体" w:hAnsi="宋体" w:eastAsia="宋体" w:cs="宋体"/>
                <w:color w:val="auto"/>
                <w:kern w:val="0"/>
                <w:sz w:val="21"/>
                <w:szCs w:val="21"/>
                <w:highlight w:val="none"/>
                <w:lang w:val="en-US" w:eastAsia="zh-CN" w:bidi="ar"/>
              </w:rPr>
              <w:t xml:space="preserve">。 </w:t>
            </w:r>
          </w:p>
          <w:p w14:paraId="55573009">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1050" w:firstLineChars="5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当 </w:t>
            </w:r>
            <w:r>
              <w:rPr>
                <w:rFonts w:hint="default" w:ascii="Times New Roman" w:hAnsi="Times New Roman" w:eastAsia="宋体" w:cs="Times New Roman"/>
                <w:color w:val="auto"/>
                <w:kern w:val="0"/>
                <w:sz w:val="21"/>
                <w:szCs w:val="21"/>
                <w:highlight w:val="none"/>
                <w:lang w:val="en-US" w:eastAsia="zh-CN" w:bidi="ar"/>
              </w:rPr>
              <w:t>Q</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 xml:space="preserve">1 </w:t>
            </w:r>
            <w:r>
              <w:rPr>
                <w:rFonts w:hint="eastAsia" w:ascii="宋体" w:hAnsi="宋体" w:eastAsia="宋体" w:cs="宋体"/>
                <w:color w:val="auto"/>
                <w:kern w:val="0"/>
                <w:sz w:val="21"/>
                <w:szCs w:val="21"/>
                <w:highlight w:val="none"/>
                <w:lang w:val="en-US" w:eastAsia="zh-CN" w:bidi="ar"/>
              </w:rPr>
              <w:t>时，该项目环境风险潜势为</w:t>
            </w:r>
            <w:r>
              <w:rPr>
                <w:rFonts w:hint="default" w:ascii="Times New Roman" w:hAnsi="Times New Roman" w:eastAsia="宋体" w:cs="Times New Roman"/>
                <w:color w:val="auto"/>
                <w:kern w:val="0"/>
                <w:sz w:val="21"/>
                <w:szCs w:val="21"/>
                <w:highlight w:val="none"/>
                <w:lang w:val="en-US" w:eastAsia="zh-CN" w:bidi="ar"/>
              </w:rPr>
              <w:t>Ⅰ</w:t>
            </w:r>
            <w:r>
              <w:rPr>
                <w:rFonts w:hint="eastAsia" w:ascii="宋体" w:hAnsi="宋体" w:eastAsia="宋体" w:cs="宋体"/>
                <w:color w:val="auto"/>
                <w:kern w:val="0"/>
                <w:sz w:val="21"/>
                <w:szCs w:val="21"/>
                <w:highlight w:val="none"/>
                <w:lang w:val="en-US" w:eastAsia="zh-CN" w:bidi="ar"/>
              </w:rPr>
              <w:t xml:space="preserve">。 </w:t>
            </w:r>
          </w:p>
          <w:p w14:paraId="19640D1F">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1050" w:firstLineChars="500"/>
              <w:jc w:val="left"/>
              <w:textAlignment w:val="auto"/>
              <w:rPr>
                <w:color w:val="auto"/>
                <w:sz w:val="21"/>
                <w:szCs w:val="21"/>
                <w:highlight w:val="none"/>
              </w:rPr>
            </w:pPr>
            <w:r>
              <w:rPr>
                <w:rFonts w:hint="eastAsia" w:ascii="宋体" w:hAnsi="宋体" w:eastAsia="宋体" w:cs="宋体"/>
                <w:color w:val="auto"/>
                <w:kern w:val="0"/>
                <w:sz w:val="21"/>
                <w:szCs w:val="21"/>
                <w:highlight w:val="none"/>
                <w:lang w:val="en-US" w:eastAsia="zh-CN" w:bidi="ar"/>
              </w:rPr>
              <w:t xml:space="preserve">当 </w:t>
            </w:r>
            <w:r>
              <w:rPr>
                <w:rFonts w:hint="default" w:ascii="Times New Roman" w:hAnsi="Times New Roman" w:eastAsia="宋体" w:cs="Times New Roman"/>
                <w:color w:val="auto"/>
                <w:kern w:val="0"/>
                <w:sz w:val="21"/>
                <w:szCs w:val="21"/>
                <w:highlight w:val="none"/>
                <w:lang w:val="en-US" w:eastAsia="zh-CN" w:bidi="ar"/>
              </w:rPr>
              <w:t xml:space="preserve">Q≥1 </w:t>
            </w:r>
            <w:r>
              <w:rPr>
                <w:rFonts w:hint="eastAsia" w:ascii="宋体" w:hAnsi="宋体" w:eastAsia="宋体" w:cs="宋体"/>
                <w:color w:val="auto"/>
                <w:kern w:val="0"/>
                <w:sz w:val="21"/>
                <w:szCs w:val="21"/>
                <w:highlight w:val="none"/>
                <w:lang w:val="en-US" w:eastAsia="zh-CN" w:bidi="ar"/>
              </w:rPr>
              <w:t xml:space="preserve">时，将 </w:t>
            </w:r>
            <w:r>
              <w:rPr>
                <w:rFonts w:hint="default" w:ascii="Times New Roman" w:hAnsi="Times New Roman" w:eastAsia="宋体" w:cs="Times New Roman"/>
                <w:color w:val="auto"/>
                <w:kern w:val="0"/>
                <w:sz w:val="21"/>
                <w:szCs w:val="21"/>
                <w:highlight w:val="none"/>
                <w:lang w:val="en-US" w:eastAsia="zh-CN" w:bidi="ar"/>
              </w:rPr>
              <w:t xml:space="preserve">Q </w:t>
            </w:r>
            <w:r>
              <w:rPr>
                <w:rFonts w:hint="eastAsia" w:ascii="宋体" w:hAnsi="宋体" w:eastAsia="宋体" w:cs="宋体"/>
                <w:color w:val="auto"/>
                <w:kern w:val="0"/>
                <w:sz w:val="21"/>
                <w:szCs w:val="21"/>
                <w:highlight w:val="none"/>
                <w:lang w:val="en-US" w:eastAsia="zh-CN" w:bidi="ar"/>
              </w:rPr>
              <w:t>值划分为：（</w:t>
            </w:r>
            <w:r>
              <w:rPr>
                <w:rFonts w:hint="default" w:ascii="Times New Roman" w:hAnsi="Times New Roman" w:eastAsia="宋体" w:cs="Times New Roman"/>
                <w:color w:val="auto"/>
                <w:kern w:val="0"/>
                <w:sz w:val="21"/>
                <w:szCs w:val="21"/>
                <w:highlight w:val="none"/>
                <w:lang w:val="en-US" w:eastAsia="zh-CN" w:bidi="ar"/>
              </w:rPr>
              <w:t>1</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1≤Q≤10</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10≤Q≤100</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3</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Q≥100</w:t>
            </w:r>
          </w:p>
          <w:p w14:paraId="089B694E">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left"/>
              <w:textAlignment w:val="auto"/>
              <w:rPr>
                <w:rFonts w:hint="eastAsia" w:ascii="宋体" w:hAnsi="宋体" w:eastAsia="宋体" w:cs="宋体"/>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对照《建设项目环境风险评价技术导则》（HJ169-2018）附录 B，本项目Q值确定见下表。</w:t>
            </w:r>
            <w:r>
              <w:rPr>
                <w:rFonts w:hint="eastAsia" w:ascii="宋体" w:hAnsi="宋体" w:eastAsia="宋体" w:cs="宋体"/>
                <w:color w:val="auto"/>
                <w:kern w:val="0"/>
                <w:sz w:val="21"/>
                <w:szCs w:val="21"/>
                <w:highlight w:val="none"/>
                <w:lang w:val="en-US" w:eastAsia="zh-CN" w:bidi="ar"/>
              </w:rPr>
              <w:t xml:space="preserve"> </w:t>
            </w:r>
          </w:p>
          <w:p w14:paraId="472B0EDB">
            <w:pPr>
              <w:adjustRightInd w:val="0"/>
              <w:snapToGrid w:val="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表4-1</w:t>
            </w:r>
            <w:r>
              <w:rPr>
                <w:rFonts w:hint="eastAsia" w:cs="Times New Roman"/>
                <w:b/>
                <w:bCs/>
                <w:color w:val="auto"/>
                <w:kern w:val="2"/>
                <w:sz w:val="21"/>
                <w:szCs w:val="21"/>
                <w:highlight w:val="none"/>
                <w:lang w:val="en-US" w:eastAsia="zh-CN" w:bidi="ar-SA"/>
              </w:rPr>
              <w:t>1</w:t>
            </w:r>
            <w:r>
              <w:rPr>
                <w:rFonts w:hint="default" w:ascii="Times New Roman" w:hAnsi="Times New Roman" w:eastAsia="宋体" w:cs="Times New Roman"/>
                <w:b/>
                <w:bCs/>
                <w:color w:val="auto"/>
                <w:kern w:val="2"/>
                <w:sz w:val="21"/>
                <w:szCs w:val="21"/>
                <w:highlight w:val="none"/>
                <w:lang w:val="en-US" w:eastAsia="zh-CN" w:bidi="ar-SA"/>
              </w:rPr>
              <w:t xml:space="preserve">  环境风险物质统计表</w:t>
            </w:r>
          </w:p>
          <w:tbl>
            <w:tblPr>
              <w:tblStyle w:val="24"/>
              <w:tblW w:w="4997" w:type="pct"/>
              <w:tblInd w:w="0" w:type="dxa"/>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52"/>
              <w:gridCol w:w="3411"/>
              <w:gridCol w:w="1099"/>
              <w:gridCol w:w="1562"/>
              <w:gridCol w:w="1267"/>
              <w:gridCol w:w="786"/>
            </w:tblGrid>
            <w:tr w14:paraId="1029A3B2">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tcBorders>
                    <w:top w:val="single" w:color="000000" w:sz="12" w:space="0"/>
                  </w:tcBorders>
                  <w:noWrap w:val="0"/>
                  <w:vAlign w:val="center"/>
                </w:tcPr>
                <w:p w14:paraId="077DB47F">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965" w:type="pct"/>
                  <w:tcBorders>
                    <w:top w:val="single" w:color="000000" w:sz="12" w:space="0"/>
                  </w:tcBorders>
                  <w:noWrap w:val="0"/>
                  <w:vAlign w:val="center"/>
                </w:tcPr>
                <w:p w14:paraId="30F13A3B">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危险物质</w:t>
                  </w:r>
                </w:p>
              </w:tc>
              <w:tc>
                <w:tcPr>
                  <w:tcW w:w="633" w:type="pct"/>
                  <w:tcBorders>
                    <w:top w:val="single" w:color="000000" w:sz="12" w:space="0"/>
                  </w:tcBorders>
                  <w:noWrap w:val="0"/>
                  <w:vAlign w:val="center"/>
                </w:tcPr>
                <w:p w14:paraId="6A9DDD87">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CAS号</w:t>
                  </w:r>
                </w:p>
              </w:tc>
              <w:tc>
                <w:tcPr>
                  <w:tcW w:w="900" w:type="pct"/>
                  <w:tcBorders>
                    <w:top w:val="single" w:color="000000" w:sz="12" w:space="0"/>
                  </w:tcBorders>
                  <w:noWrap w:val="0"/>
                  <w:vAlign w:val="center"/>
                </w:tcPr>
                <w:p w14:paraId="7D3B9848">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最大储存量（t）</w:t>
                  </w:r>
                </w:p>
              </w:tc>
              <w:tc>
                <w:tcPr>
                  <w:tcW w:w="729" w:type="pct"/>
                  <w:tcBorders>
                    <w:top w:val="single" w:color="000000" w:sz="12" w:space="0"/>
                  </w:tcBorders>
                  <w:noWrap w:val="0"/>
                  <w:vAlign w:val="center"/>
                </w:tcPr>
                <w:p w14:paraId="03ED51DF">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临界量（t）</w:t>
                  </w:r>
                </w:p>
              </w:tc>
              <w:tc>
                <w:tcPr>
                  <w:tcW w:w="453" w:type="pct"/>
                  <w:tcBorders>
                    <w:top w:val="single" w:color="000000" w:sz="12" w:space="0"/>
                  </w:tcBorders>
                  <w:noWrap w:val="0"/>
                  <w:vAlign w:val="center"/>
                </w:tcPr>
                <w:p w14:paraId="51C30367">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q值</w:t>
                  </w:r>
                </w:p>
              </w:tc>
            </w:tr>
            <w:tr w14:paraId="59231818">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noWrap w:val="0"/>
                  <w:vAlign w:val="center"/>
                </w:tcPr>
                <w:p w14:paraId="4615E76C">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965" w:type="pct"/>
                  <w:noWrap w:val="0"/>
                  <w:vAlign w:val="center"/>
                </w:tcPr>
                <w:p w14:paraId="6F2F6E42">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油类物质（矿物油类，如石油、汽油、柴油；生物柴油等）</w:t>
                  </w:r>
                </w:p>
              </w:tc>
              <w:tc>
                <w:tcPr>
                  <w:tcW w:w="633" w:type="pct"/>
                  <w:noWrap w:val="0"/>
                  <w:vAlign w:val="center"/>
                </w:tcPr>
                <w:p w14:paraId="02DD2D35">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00" w:type="pct"/>
                  <w:noWrap w:val="0"/>
                  <w:vAlign w:val="center"/>
                </w:tcPr>
                <w:p w14:paraId="4D487598">
                  <w:pPr>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2</w:t>
                  </w:r>
                </w:p>
              </w:tc>
              <w:tc>
                <w:tcPr>
                  <w:tcW w:w="729" w:type="pct"/>
                  <w:noWrap w:val="0"/>
                  <w:vAlign w:val="center"/>
                </w:tcPr>
                <w:p w14:paraId="38F4F2EE">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2500</w:t>
                  </w:r>
                </w:p>
              </w:tc>
              <w:tc>
                <w:tcPr>
                  <w:tcW w:w="453" w:type="pct"/>
                  <w:noWrap w:val="0"/>
                  <w:vAlign w:val="center"/>
                </w:tcPr>
                <w:p w14:paraId="02AEFB6F">
                  <w:pPr>
                    <w:bidi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w:t>
                  </w:r>
                  <w:r>
                    <w:rPr>
                      <w:rFonts w:hint="default" w:ascii="Times New Roman" w:hAnsi="Times New Roman" w:cs="Times New Roman"/>
                      <w:color w:val="auto"/>
                      <w:sz w:val="18"/>
                      <w:szCs w:val="18"/>
                      <w:highlight w:val="none"/>
                      <w:lang w:val="en-US" w:eastAsia="zh-CN"/>
                    </w:rPr>
                    <w:t>.0×10</w:t>
                  </w:r>
                  <w:r>
                    <w:rPr>
                      <w:rFonts w:hint="default" w:ascii="Times New Roman" w:hAnsi="Times New Roman" w:cs="Times New Roman"/>
                      <w:color w:val="auto"/>
                      <w:sz w:val="18"/>
                      <w:szCs w:val="18"/>
                      <w:highlight w:val="none"/>
                      <w:vertAlign w:val="superscript"/>
                      <w:lang w:val="en-US" w:eastAsia="zh-CN"/>
                    </w:rPr>
                    <w:t>-6</w:t>
                  </w:r>
                </w:p>
              </w:tc>
            </w:tr>
            <w:tr w14:paraId="20CDC674">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tcBorders>
                    <w:bottom w:val="single" w:color="000000" w:sz="12" w:space="0"/>
                  </w:tcBorders>
                  <w:noWrap w:val="0"/>
                  <w:vAlign w:val="center"/>
                </w:tcPr>
                <w:p w14:paraId="0C631909">
                  <w:pPr>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合计</w:t>
                  </w:r>
                </w:p>
              </w:tc>
              <w:tc>
                <w:tcPr>
                  <w:tcW w:w="453" w:type="pct"/>
                  <w:tcBorders>
                    <w:bottom w:val="single" w:color="000000" w:sz="12" w:space="0"/>
                  </w:tcBorders>
                  <w:noWrap w:val="0"/>
                  <w:vAlign w:val="center"/>
                </w:tcPr>
                <w:p w14:paraId="635A23DC">
                  <w:pPr>
                    <w:bidi w:val="0"/>
                    <w:jc w:val="center"/>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8</w:t>
                  </w:r>
                  <w:r>
                    <w:rPr>
                      <w:rFonts w:hint="default" w:ascii="Times New Roman" w:hAnsi="Times New Roman" w:cs="Times New Roman"/>
                      <w:color w:val="auto"/>
                      <w:sz w:val="18"/>
                      <w:szCs w:val="18"/>
                      <w:highlight w:val="none"/>
                      <w:lang w:val="en-US" w:eastAsia="zh-CN"/>
                    </w:rPr>
                    <w:t>.0×10</w:t>
                  </w:r>
                  <w:r>
                    <w:rPr>
                      <w:rFonts w:hint="default" w:ascii="Times New Roman" w:hAnsi="Times New Roman" w:cs="Times New Roman"/>
                      <w:color w:val="auto"/>
                      <w:sz w:val="18"/>
                      <w:szCs w:val="18"/>
                      <w:highlight w:val="none"/>
                      <w:vertAlign w:val="superscript"/>
                      <w:lang w:val="en-US" w:eastAsia="zh-CN"/>
                    </w:rPr>
                    <w:t>-6</w:t>
                  </w:r>
                </w:p>
              </w:tc>
            </w:tr>
          </w:tbl>
          <w:p w14:paraId="6A13E9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color w:val="auto"/>
                <w:highlight w:val="none"/>
              </w:rPr>
            </w:pPr>
            <w:r>
              <w:rPr>
                <w:rFonts w:hint="eastAsia"/>
                <w:bCs/>
                <w:color w:val="auto"/>
                <w:szCs w:val="21"/>
                <w:highlight w:val="none"/>
              </w:rPr>
              <w:t>根据《建设项目环境风险评价技术导则》（HJ169-2018）附录C，项目Q值＜1，可直接判定项目环境风险潜势为</w:t>
            </w:r>
            <w:r>
              <w:rPr>
                <w:rFonts w:hint="default" w:ascii="Times New Roman" w:hAnsi="Times New Roman" w:cs="Times New Roman"/>
                <w:bCs/>
                <w:color w:val="auto"/>
                <w:szCs w:val="21"/>
                <w:highlight w:val="none"/>
              </w:rPr>
              <w:t>Ⅰ</w:t>
            </w:r>
            <w:r>
              <w:rPr>
                <w:rFonts w:hint="eastAsia"/>
                <w:bCs/>
                <w:color w:val="auto"/>
                <w:szCs w:val="21"/>
                <w:highlight w:val="none"/>
                <w:lang w:eastAsia="zh-CN"/>
              </w:rPr>
              <w:t>，</w:t>
            </w:r>
            <w:r>
              <w:rPr>
                <w:rFonts w:hint="eastAsia"/>
                <w:bCs/>
                <w:color w:val="auto"/>
                <w:szCs w:val="21"/>
                <w:highlight w:val="none"/>
                <w:lang w:val="en-US" w:eastAsia="zh-CN"/>
              </w:rPr>
              <w:t>评价工作等级为简单分析</w:t>
            </w:r>
            <w:r>
              <w:rPr>
                <w:rFonts w:hint="eastAsia"/>
                <w:bCs/>
                <w:color w:val="auto"/>
                <w:szCs w:val="21"/>
                <w:highlight w:val="none"/>
              </w:rPr>
              <w:t>。</w:t>
            </w:r>
            <w:r>
              <w:rPr>
                <w:rFonts w:hint="eastAsia" w:ascii="宋体" w:hAnsi="宋体" w:eastAsia="宋体" w:cs="宋体"/>
                <w:color w:val="auto"/>
                <w:kern w:val="0"/>
                <w:sz w:val="24"/>
                <w:szCs w:val="24"/>
                <w:highlight w:val="none"/>
                <w:lang w:val="en-US" w:eastAsia="zh-CN" w:bidi="ar"/>
              </w:rPr>
              <w:t xml:space="preserve"> </w:t>
            </w:r>
          </w:p>
          <w:p w14:paraId="0429C28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kern w:val="0"/>
                <w:sz w:val="21"/>
                <w:szCs w:val="21"/>
                <w:highlight w:val="none"/>
                <w:lang w:val="en-US" w:eastAsia="zh-CN" w:bidi="ar"/>
              </w:rPr>
              <w:t>环境风险识别</w:t>
            </w:r>
          </w:p>
          <w:p w14:paraId="2AC6FC6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对照《建设项目环境风险评价技术导则》（HJ169-2018），建设项目所涉及主要危险物质环境风险识别见表 4-1</w:t>
            </w:r>
            <w:r>
              <w:rPr>
                <w:rFonts w:hint="eastAsia"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w:t>
            </w:r>
          </w:p>
          <w:p w14:paraId="05C804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表4-12建设项目主要危险物质环境风险识别</w:t>
            </w:r>
          </w:p>
          <w:tbl>
            <w:tblPr>
              <w:tblStyle w:val="25"/>
              <w:tblW w:w="875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7"/>
              <w:gridCol w:w="1701"/>
              <w:gridCol w:w="1904"/>
              <w:gridCol w:w="4326"/>
            </w:tblGrid>
            <w:tr w14:paraId="314A78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827" w:type="dxa"/>
                  <w:tcBorders>
                    <w:tl2br w:val="nil"/>
                    <w:tr2bl w:val="nil"/>
                  </w:tcBorders>
                  <w:vAlign w:val="center"/>
                </w:tcPr>
                <w:p w14:paraId="41897C3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序号</w:t>
                  </w:r>
                </w:p>
              </w:tc>
              <w:tc>
                <w:tcPr>
                  <w:tcW w:w="1701" w:type="dxa"/>
                  <w:tcBorders>
                    <w:tl2br w:val="nil"/>
                    <w:tr2bl w:val="nil"/>
                  </w:tcBorders>
                  <w:vAlign w:val="center"/>
                </w:tcPr>
                <w:p w14:paraId="372E23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风险单元</w:t>
                  </w:r>
                </w:p>
              </w:tc>
              <w:tc>
                <w:tcPr>
                  <w:tcW w:w="1904" w:type="dxa"/>
                  <w:tcBorders>
                    <w:tl2br w:val="nil"/>
                    <w:tr2bl w:val="nil"/>
                  </w:tcBorders>
                  <w:vAlign w:val="center"/>
                </w:tcPr>
                <w:p w14:paraId="3F61C5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涉及风险物质</w:t>
                  </w:r>
                </w:p>
              </w:tc>
              <w:tc>
                <w:tcPr>
                  <w:tcW w:w="4326" w:type="dxa"/>
                  <w:tcBorders>
                    <w:tl2br w:val="nil"/>
                    <w:tr2bl w:val="nil"/>
                  </w:tcBorders>
                  <w:vAlign w:val="center"/>
                </w:tcPr>
                <w:p w14:paraId="164B11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宋体" w:hAnsi="宋体" w:eastAsia="宋体" w:cs="宋体"/>
                      <w:color w:val="auto"/>
                      <w:kern w:val="0"/>
                      <w:sz w:val="18"/>
                      <w:szCs w:val="18"/>
                      <w:highlight w:val="none"/>
                      <w:lang w:val="en-US" w:eastAsia="zh-CN" w:bidi="ar"/>
                    </w:rPr>
                    <w:t>可能影响环境的途径</w:t>
                  </w:r>
                </w:p>
              </w:tc>
            </w:tr>
            <w:tr w14:paraId="34FDA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827" w:type="dxa"/>
                  <w:tcBorders>
                    <w:tl2br w:val="nil"/>
                    <w:tr2bl w:val="nil"/>
                  </w:tcBorders>
                  <w:vAlign w:val="center"/>
                </w:tcPr>
                <w:p w14:paraId="429323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w:t>
                  </w:r>
                </w:p>
              </w:tc>
              <w:tc>
                <w:tcPr>
                  <w:tcW w:w="1701" w:type="dxa"/>
                  <w:tcBorders>
                    <w:tl2br w:val="nil"/>
                    <w:tr2bl w:val="nil"/>
                  </w:tcBorders>
                  <w:vAlign w:val="center"/>
                </w:tcPr>
                <w:p w14:paraId="28193C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危废贮存点</w:t>
                  </w:r>
                </w:p>
              </w:tc>
              <w:tc>
                <w:tcPr>
                  <w:tcW w:w="1904" w:type="dxa"/>
                  <w:tcBorders>
                    <w:tl2br w:val="nil"/>
                    <w:tr2bl w:val="nil"/>
                  </w:tcBorders>
                  <w:vAlign w:val="center"/>
                </w:tcPr>
                <w:p w14:paraId="499850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废机油</w:t>
                  </w:r>
                </w:p>
              </w:tc>
              <w:tc>
                <w:tcPr>
                  <w:tcW w:w="4326" w:type="dxa"/>
                  <w:tcBorders>
                    <w:tl2br w:val="nil"/>
                    <w:tr2bl w:val="nil"/>
                  </w:tcBorders>
                  <w:vAlign w:val="center"/>
                </w:tcPr>
                <w:p w14:paraId="4368399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sz w:val="18"/>
                      <w:szCs w:val="18"/>
                      <w:highlight w:val="none"/>
                    </w:rPr>
                  </w:pPr>
                  <w:r>
                    <w:rPr>
                      <w:rFonts w:hint="eastAsia" w:ascii="宋体" w:hAnsi="宋体" w:eastAsia="宋体" w:cs="宋体"/>
                      <w:color w:val="auto"/>
                      <w:kern w:val="0"/>
                      <w:sz w:val="18"/>
                      <w:szCs w:val="18"/>
                      <w:highlight w:val="none"/>
                      <w:lang w:val="en-US" w:eastAsia="zh-CN" w:bidi="ar"/>
                    </w:rPr>
                    <w:t>泄漏以及火灾、爆炸等引起的伴生</w:t>
                  </w:r>
                </w:p>
                <w:p w14:paraId="7CF810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kern w:val="0"/>
                      <w:sz w:val="18"/>
                      <w:szCs w:val="18"/>
                      <w:highlight w:val="none"/>
                      <w:lang w:val="en-US" w:eastAsia="zh-CN" w:bidi="ar"/>
                    </w:rPr>
                    <w:t>/</w:t>
                  </w:r>
                  <w:r>
                    <w:rPr>
                      <w:rFonts w:hint="eastAsia" w:ascii="宋体" w:hAnsi="宋体" w:eastAsia="宋体" w:cs="宋体"/>
                      <w:color w:val="auto"/>
                      <w:kern w:val="0"/>
                      <w:sz w:val="18"/>
                      <w:szCs w:val="18"/>
                      <w:highlight w:val="none"/>
                      <w:lang w:val="en-US" w:eastAsia="zh-CN" w:bidi="ar"/>
                    </w:rPr>
                    <w:t>次生污染物排放</w:t>
                  </w:r>
                </w:p>
              </w:tc>
            </w:tr>
          </w:tbl>
          <w:p w14:paraId="13751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textAlignment w:val="auto"/>
              <w:rPr>
                <w:rFonts w:hint="eastAsia"/>
                <w:bCs/>
                <w:color w:val="auto"/>
                <w:szCs w:val="21"/>
                <w:highlight w:val="none"/>
              </w:rPr>
            </w:pPr>
            <w:r>
              <w:rPr>
                <w:rFonts w:hint="eastAsia"/>
                <w:bCs/>
                <w:color w:val="auto"/>
                <w:szCs w:val="21"/>
                <w:highlight w:val="none"/>
              </w:rPr>
              <w:t>（</w:t>
            </w:r>
            <w:r>
              <w:rPr>
                <w:rFonts w:hint="eastAsia"/>
                <w:bCs/>
                <w:color w:val="auto"/>
                <w:szCs w:val="21"/>
                <w:highlight w:val="none"/>
                <w:lang w:val="en-US" w:eastAsia="zh-CN"/>
              </w:rPr>
              <w:t>4</w:t>
            </w:r>
            <w:r>
              <w:rPr>
                <w:rFonts w:hint="eastAsia"/>
                <w:bCs/>
                <w:color w:val="auto"/>
                <w:szCs w:val="21"/>
                <w:highlight w:val="none"/>
              </w:rPr>
              <w:t>）可能影响途径</w:t>
            </w:r>
          </w:p>
          <w:p w14:paraId="2F349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rPr>
              <w:t>根据本项目油类物质理化特性，结合国内外同行业、同类型事故统计分析及典型事故案例资料，本项目环境风险类型主要为油类物质泄漏和火灾伴生/次生物排放，油类物质泄漏后溢流至</w:t>
            </w:r>
            <w:r>
              <w:rPr>
                <w:rFonts w:hint="eastAsia"/>
                <w:bCs/>
                <w:color w:val="auto"/>
                <w:szCs w:val="21"/>
                <w:highlight w:val="none"/>
                <w:lang w:val="en-US" w:eastAsia="zh-CN"/>
              </w:rPr>
              <w:t>厂区外</w:t>
            </w:r>
            <w:r>
              <w:rPr>
                <w:rFonts w:hint="eastAsia"/>
                <w:bCs/>
                <w:color w:val="auto"/>
                <w:szCs w:val="21"/>
                <w:highlight w:val="none"/>
              </w:rPr>
              <w:t>，可能通过入渗污染土壤及地下水；一旦发生火灾，则可能产生CO、SO</w:t>
            </w:r>
            <w:r>
              <w:rPr>
                <w:rFonts w:hint="eastAsia"/>
                <w:bCs/>
                <w:color w:val="auto"/>
                <w:szCs w:val="21"/>
                <w:highlight w:val="none"/>
                <w:vertAlign w:val="subscript"/>
              </w:rPr>
              <w:t>2</w:t>
            </w:r>
            <w:r>
              <w:rPr>
                <w:rFonts w:hint="eastAsia"/>
                <w:bCs/>
                <w:color w:val="auto"/>
                <w:szCs w:val="21"/>
                <w:highlight w:val="none"/>
              </w:rPr>
              <w:t>、NOx、非甲烷总烃等伴生/次生污染物大量向外环境排放。</w:t>
            </w:r>
          </w:p>
          <w:p w14:paraId="0E94D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lang w:eastAsia="zh-CN"/>
              </w:rPr>
              <w:t>（</w:t>
            </w:r>
            <w:r>
              <w:rPr>
                <w:rFonts w:hint="eastAsia"/>
                <w:bCs/>
                <w:color w:val="auto"/>
                <w:szCs w:val="21"/>
                <w:highlight w:val="none"/>
                <w:lang w:val="en-US" w:eastAsia="zh-CN"/>
              </w:rPr>
              <w:t>5</w:t>
            </w:r>
            <w:r>
              <w:rPr>
                <w:rFonts w:hint="eastAsia"/>
                <w:bCs/>
                <w:color w:val="auto"/>
                <w:szCs w:val="21"/>
                <w:highlight w:val="none"/>
                <w:lang w:eastAsia="zh-CN"/>
              </w:rPr>
              <w:t>）</w:t>
            </w:r>
            <w:r>
              <w:rPr>
                <w:rFonts w:hint="eastAsia"/>
                <w:bCs/>
                <w:color w:val="auto"/>
                <w:szCs w:val="21"/>
                <w:highlight w:val="none"/>
              </w:rPr>
              <w:t>环境风险防范措施</w:t>
            </w:r>
          </w:p>
          <w:p w14:paraId="6C363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rPr>
              <w:t>①建立、完善安全管理制度：严格按照规定进行工程建设情况的自查、整改和验收，并制定和执行相应的消防管理、安全防火培训、用火用电安全管理、灭火器材维护使用、岗位消防安全等一系列安全制度，并严格遵守执行。</w:t>
            </w:r>
          </w:p>
          <w:p w14:paraId="5F3B7D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lang w:val="en-US" w:eastAsia="zh-CN"/>
              </w:rPr>
              <w:t>②</w:t>
            </w:r>
            <w:r>
              <w:rPr>
                <w:rFonts w:hint="eastAsia"/>
                <w:bCs/>
                <w:color w:val="auto"/>
                <w:szCs w:val="21"/>
                <w:highlight w:val="none"/>
              </w:rPr>
              <w:t>厂区建筑物合理布局，严格控制各建、构筑物的安全防护距离。按有关规范设计设置有效的消防系统，做到以防为主，安全可靠；设置消防沙堆及灭火器。</w:t>
            </w:r>
          </w:p>
          <w:p w14:paraId="3C0395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lang w:val="en-US" w:eastAsia="zh-CN"/>
              </w:rPr>
              <w:t>③</w:t>
            </w:r>
            <w:r>
              <w:rPr>
                <w:rFonts w:hint="eastAsia"/>
                <w:bCs/>
                <w:color w:val="auto"/>
                <w:szCs w:val="21"/>
                <w:highlight w:val="none"/>
              </w:rPr>
              <w:t>应加强火灾风险防范措施，包括加强明火管理，严禁擅自乱拉、乱接电源线路，不得随意增设电器设备；各电气设备的导线、接点、开关不得有断线、老化、裸露、破损等。加强消防通道、安全疏散通道的管理，保障其通畅。加强公司假日及夜间消防安全管理等。</w:t>
            </w:r>
          </w:p>
          <w:p w14:paraId="023763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lang w:val="en-US" w:eastAsia="zh-CN"/>
              </w:rPr>
              <w:t>④</w:t>
            </w:r>
            <w:r>
              <w:rPr>
                <w:rFonts w:hint="eastAsia"/>
                <w:bCs/>
                <w:color w:val="auto"/>
                <w:szCs w:val="21"/>
                <w:highlight w:val="none"/>
              </w:rPr>
              <w:t>配备一定数目的小型移动式灭火器，用以扑灭初期小型火灾。同时应加强员工培训，使其熟练掌握灭火器的使用。另外还应加强对灭火器的维护保养，灭火器应正立在固定场所，严禁潮湿，日晒，撞击，定期检查筒内或瓶内干粉是否结块，CO</w:t>
            </w:r>
            <w:r>
              <w:rPr>
                <w:rFonts w:hint="eastAsia"/>
                <w:bCs/>
                <w:color w:val="auto"/>
                <w:szCs w:val="21"/>
                <w:highlight w:val="none"/>
                <w:vertAlign w:val="subscript"/>
              </w:rPr>
              <w:t>2</w:t>
            </w:r>
            <w:r>
              <w:rPr>
                <w:rFonts w:hint="eastAsia"/>
                <w:bCs/>
                <w:color w:val="auto"/>
                <w:szCs w:val="21"/>
                <w:highlight w:val="none"/>
              </w:rPr>
              <w:t>是否充足。制定项目应急预案，加强应急预案的演练和宣传教育，加强项目风险管理。</w:t>
            </w:r>
          </w:p>
          <w:p w14:paraId="46D914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Cs/>
                <w:color w:val="auto"/>
                <w:szCs w:val="21"/>
                <w:highlight w:val="none"/>
              </w:rPr>
            </w:pPr>
            <w:r>
              <w:rPr>
                <w:rFonts w:hint="eastAsia"/>
                <w:bCs/>
                <w:color w:val="auto"/>
                <w:szCs w:val="21"/>
                <w:highlight w:val="none"/>
                <w:lang w:eastAsia="zh-CN"/>
              </w:rPr>
              <w:t>（</w:t>
            </w:r>
            <w:r>
              <w:rPr>
                <w:rFonts w:hint="eastAsia"/>
                <w:bCs/>
                <w:color w:val="auto"/>
                <w:szCs w:val="21"/>
                <w:highlight w:val="none"/>
                <w:lang w:val="en-US" w:eastAsia="zh-CN"/>
              </w:rPr>
              <w:t>6</w:t>
            </w:r>
            <w:r>
              <w:rPr>
                <w:rFonts w:hint="eastAsia"/>
                <w:bCs/>
                <w:color w:val="auto"/>
                <w:szCs w:val="21"/>
                <w:highlight w:val="none"/>
                <w:lang w:eastAsia="zh-CN"/>
              </w:rPr>
              <w:t>）</w:t>
            </w:r>
            <w:r>
              <w:rPr>
                <w:rFonts w:hint="eastAsia"/>
                <w:bCs/>
                <w:color w:val="auto"/>
                <w:szCs w:val="21"/>
                <w:highlight w:val="none"/>
              </w:rPr>
              <w:t>风险评价结论</w:t>
            </w:r>
          </w:p>
          <w:p w14:paraId="53633693">
            <w:pPr>
              <w:pStyle w:val="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本项目不存在重大危险源，风险水平值较低。项目运营期存在一定潜在的环境风险事故，主要为</w:t>
            </w:r>
            <w:r>
              <w:rPr>
                <w:rFonts w:hint="eastAsia" w:cs="Times New Roman"/>
                <w:color w:val="auto"/>
                <w:sz w:val="21"/>
                <w:szCs w:val="21"/>
                <w:highlight w:val="none"/>
                <w:lang w:val="en-US" w:eastAsia="zh-CN"/>
              </w:rPr>
              <w:t>火灾事故以及</w:t>
            </w:r>
            <w:r>
              <w:rPr>
                <w:rFonts w:hint="default" w:ascii="Times New Roman" w:hAnsi="Times New Roman" w:eastAsia="宋体" w:cs="Times New Roman"/>
                <w:color w:val="auto"/>
                <w:sz w:val="21"/>
                <w:szCs w:val="21"/>
                <w:highlight w:val="none"/>
                <w:lang w:val="en-US" w:eastAsia="zh-CN"/>
              </w:rPr>
              <w:t>废机油</w:t>
            </w:r>
            <w:r>
              <w:rPr>
                <w:rFonts w:hint="default" w:ascii="Times New Roman" w:hAnsi="Times New Roman" w:cs="Times New Roman"/>
                <w:color w:val="auto"/>
                <w:sz w:val="21"/>
                <w:szCs w:val="21"/>
                <w:highlight w:val="none"/>
                <w:lang w:val="en-US" w:eastAsia="zh-CN"/>
              </w:rPr>
              <w:t>泄漏</w:t>
            </w:r>
            <w:r>
              <w:rPr>
                <w:rFonts w:hint="default" w:ascii="Times New Roman" w:hAnsi="Times New Roman" w:eastAsia="宋体" w:cs="Times New Roman"/>
                <w:color w:val="auto"/>
                <w:sz w:val="21"/>
                <w:szCs w:val="21"/>
                <w:highlight w:val="none"/>
                <w:lang w:val="en-US" w:eastAsia="zh-CN"/>
              </w:rPr>
              <w:t>对土壤、地下水造成污染</w:t>
            </w:r>
            <w:r>
              <w:rPr>
                <w:rFonts w:hint="default" w:ascii="Times New Roman" w:hAnsi="Times New Roman" w:eastAsia="宋体"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废机油</w:t>
            </w:r>
            <w:r>
              <w:rPr>
                <w:rFonts w:hint="eastAsia" w:cs="Times New Roman"/>
                <w:color w:val="auto"/>
                <w:sz w:val="21"/>
                <w:szCs w:val="21"/>
                <w:highlight w:val="none"/>
                <w:lang w:val="en-US" w:eastAsia="zh-CN"/>
              </w:rPr>
              <w:t>、废弃含油抹布手套、废机油桶</w:t>
            </w:r>
            <w:r>
              <w:rPr>
                <w:rFonts w:hint="default" w:ascii="Times New Roman" w:hAnsi="Times New Roman" w:eastAsia="宋体" w:cs="Times New Roman"/>
                <w:color w:val="auto"/>
                <w:sz w:val="21"/>
                <w:szCs w:val="21"/>
                <w:highlight w:val="none"/>
                <w:lang w:val="en-US" w:eastAsia="zh-CN"/>
              </w:rPr>
              <w:t>储存</w:t>
            </w:r>
            <w:r>
              <w:rPr>
                <w:rFonts w:hint="default" w:ascii="Times New Roman" w:hAnsi="Times New Roman" w:cs="Times New Roman"/>
                <w:color w:val="auto"/>
                <w:sz w:val="21"/>
                <w:szCs w:val="21"/>
                <w:highlight w:val="none"/>
                <w:lang w:val="en-US" w:eastAsia="zh-CN"/>
              </w:rPr>
              <w:t>在危险废物贮存点</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危险废物贮存点</w:t>
            </w:r>
            <w:r>
              <w:rPr>
                <w:rFonts w:hint="default" w:ascii="Times New Roman" w:hAnsi="Times New Roman" w:eastAsia="宋体" w:cs="Times New Roman"/>
                <w:color w:val="auto"/>
                <w:sz w:val="21"/>
                <w:szCs w:val="21"/>
                <w:highlight w:val="none"/>
                <w:lang w:val="en-US" w:eastAsia="zh-CN"/>
              </w:rPr>
              <w:t>防渗层</w:t>
            </w:r>
            <w:r>
              <w:rPr>
                <w:rFonts w:hint="eastAsia"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lang w:val="en-US" w:eastAsia="zh-CN"/>
              </w:rPr>
              <w:t>2mm厚的防渗人工材</w:t>
            </w:r>
            <w:r>
              <w:rPr>
                <w:rFonts w:hint="default" w:ascii="Times New Roman" w:hAnsi="Times New Roman" w:eastAsia="宋体" w:cs="Times New Roman"/>
                <w:color w:val="auto"/>
                <w:kern w:val="2"/>
                <w:sz w:val="21"/>
                <w:szCs w:val="21"/>
                <w:highlight w:val="none"/>
                <w:lang w:val="en-US" w:eastAsia="zh-CN" w:bidi="ar-SA"/>
              </w:rPr>
              <w:t>料，</w:t>
            </w:r>
            <w:r>
              <w:rPr>
                <w:rFonts w:hint="eastAsia" w:ascii="Times New Roman" w:hAnsi="Times New Roman" w:cs="Times New Roman"/>
                <w:color w:val="auto"/>
                <w:kern w:val="2"/>
                <w:sz w:val="21"/>
                <w:szCs w:val="21"/>
                <w:highlight w:val="none"/>
                <w:lang w:val="en-US" w:eastAsia="zh-CN" w:bidi="ar-SA"/>
              </w:rPr>
              <w:t>地面与裙脚</w:t>
            </w:r>
            <w:r>
              <w:rPr>
                <w:rFonts w:hint="eastAsia" w:ascii="Times New Roman" w:hAnsi="Times New Roman" w:eastAsia="宋体" w:cs="Times New Roman"/>
                <w:color w:val="auto"/>
                <w:kern w:val="2"/>
                <w:sz w:val="21"/>
                <w:szCs w:val="21"/>
                <w:highlight w:val="none"/>
                <w:lang w:val="en-US" w:eastAsia="zh-CN" w:bidi="ar-SA"/>
              </w:rPr>
              <w:t>使用水泥硬化</w:t>
            </w:r>
            <w:r>
              <w:rPr>
                <w:rFonts w:hint="eastAsia" w:ascii="Times New Roman" w:hAnsi="Times New Roman" w:cs="Times New Roman"/>
                <w:color w:val="auto"/>
                <w:kern w:val="2"/>
                <w:sz w:val="21"/>
                <w:szCs w:val="21"/>
                <w:highlight w:val="none"/>
                <w:lang w:val="en-US" w:eastAsia="zh-CN" w:bidi="ar-SA"/>
              </w:rPr>
              <w:t>防渗处理</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防渗系数≤10</w:t>
            </w:r>
            <w:r>
              <w:rPr>
                <w:rFonts w:hint="default" w:ascii="Times New Roman" w:hAnsi="Times New Roman" w:eastAsia="宋体" w:cs="Times New Roman"/>
                <w:color w:val="auto"/>
                <w:kern w:val="2"/>
                <w:sz w:val="21"/>
                <w:szCs w:val="21"/>
                <w:highlight w:val="none"/>
                <w:vertAlign w:val="super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cm/s。</w:t>
            </w:r>
            <w:r>
              <w:rPr>
                <w:rFonts w:hint="default" w:ascii="Times New Roman" w:hAnsi="Times New Roman" w:eastAsia="宋体" w:cs="Times New Roman"/>
                <w:color w:val="auto"/>
                <w:sz w:val="21"/>
                <w:szCs w:val="21"/>
                <w:highlight w:val="none"/>
                <w:lang w:val="en-US"/>
              </w:rPr>
              <w:t>只要建设单位加强风险管理，在项目建设、实施过程中认真落实各种环境风险防范措施，并在环境风险事故发生后，及时采取有效的风险应急措施，使环境风险事故得到有效的控制，将事故风险控制在可接受的范围内，项目环境风险值处于可接受水平范围内。</w:t>
            </w:r>
          </w:p>
          <w:p w14:paraId="54470E4D">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8、运输线路环境影响</w:t>
            </w:r>
          </w:p>
          <w:p w14:paraId="1EB4C46E">
            <w:pPr>
              <w:pStyle w:val="22"/>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（1）运输路线环境敏感目标</w:t>
            </w:r>
          </w:p>
          <w:p w14:paraId="78B0627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4"/>
                <w:sz w:val="21"/>
                <w:szCs w:val="21"/>
                <w:highlight w:val="none"/>
                <w:lang w:val="en-US" w:eastAsia="zh-CN"/>
              </w:rPr>
              <w:t>本</w:t>
            </w:r>
            <w:r>
              <w:rPr>
                <w:rFonts w:hint="default" w:ascii="Times New Roman" w:hAnsi="Times New Roman" w:eastAsia="宋体" w:cs="Times New Roman"/>
                <w:color w:val="auto"/>
                <w:kern w:val="24"/>
                <w:sz w:val="21"/>
                <w:szCs w:val="21"/>
                <w:highlight w:val="none"/>
              </w:rPr>
              <w:t>项目</w:t>
            </w:r>
            <w:r>
              <w:rPr>
                <w:rFonts w:hint="default" w:ascii="Times New Roman" w:hAnsi="Times New Roman" w:eastAsia="宋体" w:cs="Times New Roman"/>
                <w:bCs/>
                <w:color w:val="auto"/>
                <w:kern w:val="0"/>
                <w:sz w:val="21"/>
                <w:szCs w:val="21"/>
                <w:highlight w:val="none"/>
              </w:rPr>
              <w:t>运输车辆</w:t>
            </w:r>
            <w:r>
              <w:rPr>
                <w:rFonts w:hint="default" w:ascii="Times New Roman" w:hAnsi="Times New Roman" w:eastAsia="宋体" w:cs="Times New Roman"/>
                <w:bCs/>
                <w:color w:val="auto"/>
                <w:kern w:val="0"/>
                <w:sz w:val="21"/>
                <w:szCs w:val="21"/>
                <w:highlight w:val="none"/>
                <w:lang w:eastAsia="zh-CN"/>
              </w:rPr>
              <w:t>向</w:t>
            </w:r>
            <w:r>
              <w:rPr>
                <w:rFonts w:hint="eastAsia" w:cs="Times New Roman"/>
                <w:bCs/>
                <w:color w:val="auto"/>
                <w:kern w:val="0"/>
                <w:sz w:val="21"/>
                <w:szCs w:val="21"/>
                <w:highlight w:val="none"/>
                <w:lang w:val="en-US" w:eastAsia="zh-CN"/>
              </w:rPr>
              <w:t>西</w:t>
            </w:r>
            <w:r>
              <w:rPr>
                <w:rFonts w:hint="default" w:ascii="Times New Roman" w:hAnsi="Times New Roman" w:eastAsia="宋体" w:cs="Times New Roman"/>
                <w:bCs/>
                <w:color w:val="auto"/>
                <w:kern w:val="0"/>
                <w:sz w:val="21"/>
                <w:szCs w:val="21"/>
                <w:highlight w:val="none"/>
                <w:lang w:eastAsia="zh-CN"/>
              </w:rPr>
              <w:t>侧行驶</w:t>
            </w:r>
            <w:r>
              <w:rPr>
                <w:rFonts w:hint="eastAsia" w:cs="Times New Roman"/>
                <w:bCs/>
                <w:color w:val="auto"/>
                <w:kern w:val="0"/>
                <w:sz w:val="21"/>
                <w:szCs w:val="21"/>
                <w:highlight w:val="none"/>
                <w:lang w:val="en-US" w:eastAsia="zh-CN"/>
              </w:rPr>
              <w:t>500</w:t>
            </w:r>
            <w:r>
              <w:rPr>
                <w:rFonts w:hint="default" w:ascii="Times New Roman" w:hAnsi="Times New Roman" w:eastAsia="宋体" w:cs="Times New Roman"/>
                <w:bCs/>
                <w:color w:val="auto"/>
                <w:kern w:val="0"/>
                <w:sz w:val="21"/>
                <w:szCs w:val="21"/>
                <w:highlight w:val="none"/>
                <w:lang w:val="en-US" w:eastAsia="zh-CN"/>
              </w:rPr>
              <w:t>米进入</w:t>
            </w:r>
            <w:r>
              <w:rPr>
                <w:rFonts w:hint="eastAsia" w:cs="Times New Roman"/>
                <w:bCs/>
                <w:color w:val="auto"/>
                <w:kern w:val="0"/>
                <w:sz w:val="21"/>
                <w:szCs w:val="21"/>
                <w:highlight w:val="none"/>
                <w:lang w:val="en-US" w:eastAsia="zh-CN"/>
              </w:rPr>
              <w:t>113县道</w:t>
            </w:r>
            <w:r>
              <w:rPr>
                <w:rFonts w:hint="default" w:ascii="Times New Roman" w:hAnsi="Times New Roman" w:eastAsia="宋体" w:cs="Times New Roman"/>
                <w:bCs/>
                <w:color w:val="auto"/>
                <w:kern w:val="0"/>
                <w:sz w:val="21"/>
                <w:szCs w:val="21"/>
                <w:highlight w:val="none"/>
              </w:rPr>
              <w:t>，</w:t>
            </w:r>
            <w:r>
              <w:rPr>
                <w:rFonts w:hint="default" w:ascii="Times New Roman" w:hAnsi="Times New Roman" w:eastAsia="宋体" w:cs="Times New Roman"/>
                <w:bCs/>
                <w:color w:val="auto"/>
                <w:kern w:val="0"/>
                <w:sz w:val="21"/>
                <w:szCs w:val="21"/>
                <w:highlight w:val="none"/>
                <w:lang w:val="en-US" w:eastAsia="zh-CN"/>
              </w:rPr>
              <w:t>项目</w:t>
            </w:r>
            <w:r>
              <w:rPr>
                <w:rFonts w:hint="default" w:ascii="Times New Roman" w:hAnsi="Times New Roman" w:eastAsia="宋体" w:cs="Times New Roman"/>
                <w:color w:val="auto"/>
                <w:kern w:val="24"/>
                <w:sz w:val="21"/>
                <w:szCs w:val="21"/>
                <w:highlight w:val="none"/>
              </w:rPr>
              <w:t>运输路线环境敏感目标</w:t>
            </w:r>
            <w:r>
              <w:rPr>
                <w:rFonts w:hint="eastAsia" w:cs="Times New Roman"/>
                <w:color w:val="auto"/>
                <w:kern w:val="24"/>
                <w:sz w:val="21"/>
                <w:szCs w:val="21"/>
                <w:highlight w:val="none"/>
                <w:lang w:val="en-US" w:eastAsia="zh-CN"/>
              </w:rPr>
              <w:t>为义安村、大恒山街道</w:t>
            </w:r>
            <w:r>
              <w:rPr>
                <w:rFonts w:hint="default" w:ascii="Times New Roman" w:hAnsi="Times New Roman" w:eastAsia="宋体" w:cs="Times New Roman"/>
                <w:color w:val="auto"/>
                <w:kern w:val="24"/>
                <w:sz w:val="21"/>
                <w:szCs w:val="21"/>
                <w:highlight w:val="none"/>
                <w:lang w:eastAsia="zh-CN"/>
              </w:rPr>
              <w:t>。</w:t>
            </w:r>
          </w:p>
          <w:p w14:paraId="15CC6E85">
            <w:pPr>
              <w:pStyle w:val="22"/>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（2）运输噪声影响分析</w:t>
            </w:r>
          </w:p>
          <w:p w14:paraId="610F16B4">
            <w:pPr>
              <w:pStyle w:val="22"/>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运输车辆行驶噪声源强约为70~8</w:t>
            </w:r>
            <w:r>
              <w:rPr>
                <w:rFonts w:hint="default" w:ascii="Times New Roman" w:hAnsi="Times New Roman" w:cs="Times New Roman"/>
                <w:color w:val="auto"/>
                <w:kern w:val="2"/>
                <w:sz w:val="21"/>
                <w:szCs w:val="21"/>
                <w:highlight w:val="none"/>
                <w:lang w:val="en-US" w:eastAsia="zh-CN" w:bidi="ar-SA"/>
              </w:rPr>
              <w:t>0</w:t>
            </w:r>
            <w:r>
              <w:rPr>
                <w:rFonts w:hint="default" w:ascii="Times New Roman" w:hAnsi="Times New Roman" w:eastAsia="宋体" w:cs="Times New Roman"/>
                <w:color w:val="auto"/>
                <w:kern w:val="2"/>
                <w:sz w:val="21"/>
                <w:szCs w:val="21"/>
                <w:highlight w:val="none"/>
                <w:lang w:val="en-US" w:eastAsia="zh-CN" w:bidi="ar-SA"/>
              </w:rPr>
              <w:t>dB（A），对运输交通噪声，禁止使用超过噪声限值的运输车辆，汽车运输机械设备应安装消声器和禁用高音喇叭，机动车辆必须加强维修和保养，保持技术性能良好，应限制鸣笛、合理安排运输车辆工作时间，22</w:t>
            </w:r>
            <w:r>
              <w:rPr>
                <w:rFonts w:hint="default"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00</w:t>
            </w:r>
            <w:r>
              <w:rPr>
                <w:rFonts w:hint="default" w:ascii="Times New Roman" w:hAnsi="Times New Roman"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次日6:00禁止运输工作，产品运输均在昼间进行，加强对运输车辆管理，杜绝超载现象，按期保养车辆保持车辆良好工况，运输车辆在经过沿线敏感目标时控制行驶速度，通过采取以上措施运输沿线公路交通噪声影响是可以接受的。</w:t>
            </w:r>
          </w:p>
          <w:p w14:paraId="175F2B1F">
            <w:pPr>
              <w:pStyle w:val="22"/>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（3）运输道路扬尘影响</w:t>
            </w:r>
          </w:p>
          <w:p w14:paraId="786BEFEB">
            <w:pPr>
              <w:keepNext w:val="0"/>
              <w:keepLines w:val="0"/>
              <w:pageBreakBefore w:val="0"/>
              <w:widowControl w:val="0"/>
              <w:kinsoku/>
              <w:wordWrap/>
              <w:overflowPunct/>
              <w:topLinePunct w:val="0"/>
              <w:autoSpaceDE/>
              <w:autoSpaceDN/>
              <w:bidi w:val="0"/>
              <w:adjustRightInd w:val="0"/>
              <w:snapToGrid w:val="0"/>
              <w:spacing w:line="360" w:lineRule="auto"/>
              <w:ind w:right="0" w:firstLine="420" w:firstLineChars="200"/>
              <w:jc w:val="both"/>
              <w:textAlignment w:val="auto"/>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kern w:val="2"/>
                <w:sz w:val="21"/>
                <w:szCs w:val="21"/>
                <w:highlight w:val="none"/>
                <w:lang w:val="en-US" w:eastAsia="zh-CN" w:bidi="ar-SA"/>
              </w:rPr>
              <w:t>本项目运输过程中要加强</w:t>
            </w:r>
            <w:r>
              <w:rPr>
                <w:rFonts w:hint="default" w:ascii="Times New Roman" w:hAnsi="Times New Roman" w:cs="Times New Roman"/>
                <w:color w:val="auto"/>
                <w:kern w:val="2"/>
                <w:sz w:val="21"/>
                <w:szCs w:val="21"/>
                <w:highlight w:val="none"/>
                <w:lang w:val="en-US" w:eastAsia="zh-CN" w:bidi="ar-SA"/>
              </w:rPr>
              <w:t>厂区内</w:t>
            </w:r>
            <w:r>
              <w:rPr>
                <w:rFonts w:hint="default" w:ascii="Times New Roman" w:hAnsi="Times New Roman" w:eastAsia="宋体" w:cs="Times New Roman"/>
                <w:color w:val="auto"/>
                <w:kern w:val="2"/>
                <w:sz w:val="21"/>
                <w:szCs w:val="21"/>
                <w:highlight w:val="none"/>
                <w:lang w:val="en-US" w:eastAsia="zh-CN" w:bidi="ar-SA"/>
              </w:rPr>
              <w:t>道路养护，保障路面平整，控制汽车行驶速度，运输车辆采用苫布苫盖，同时采取洒水抑尘的措施，可有效降低汽车运输的起尘量，运输产生的扬尘环境空气的影响较小。</w:t>
            </w:r>
          </w:p>
        </w:tc>
      </w:tr>
    </w:tbl>
    <w:p w14:paraId="010C1AE2">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09F76CFD">
      <w:pPr>
        <w:pStyle w:val="20"/>
        <w:keepNext w:val="0"/>
        <w:keepLines w:val="0"/>
        <w:pageBreakBefore w:val="0"/>
        <w:widowControl/>
        <w:kinsoku/>
        <w:wordWrap/>
        <w:overflowPunct/>
        <w:topLinePunct w:val="0"/>
        <w:autoSpaceDE/>
        <w:autoSpaceDN/>
        <w:bidi w:val="0"/>
        <w:adjustRightInd/>
        <w:snapToGrid/>
        <w:spacing w:before="0" w:beforeAutospacing="0" w:after="313" w:afterLines="100" w:afterAutospacing="0"/>
        <w:jc w:val="center"/>
        <w:textAlignment w:val="auto"/>
        <w:outlineLvl w:val="0"/>
        <w:rPr>
          <w:rFonts w:hint="eastAsia" w:ascii="宋体" w:hAnsi="宋体" w:eastAsia="宋体" w:cs="宋体"/>
          <w:snapToGrid w:val="0"/>
          <w:color w:val="auto"/>
          <w:sz w:val="30"/>
          <w:szCs w:val="30"/>
          <w:highlight w:val="none"/>
        </w:rPr>
      </w:pPr>
      <w:bookmarkStart w:id="37" w:name="_Toc15003"/>
      <w:bookmarkStart w:id="38" w:name="_Toc27142"/>
      <w:bookmarkStart w:id="39" w:name="_Toc30012"/>
      <w:bookmarkStart w:id="40" w:name="_Toc30871"/>
      <w:r>
        <w:rPr>
          <w:rFonts w:hint="eastAsia" w:ascii="宋体" w:hAnsi="宋体" w:eastAsia="宋体" w:cs="宋体"/>
          <w:snapToGrid w:val="0"/>
          <w:color w:val="auto"/>
          <w:sz w:val="30"/>
          <w:szCs w:val="30"/>
          <w:highlight w:val="none"/>
        </w:rPr>
        <w:t>五、</w:t>
      </w:r>
      <w:bookmarkStart w:id="41" w:name="_Hlk54167917"/>
      <w:r>
        <w:rPr>
          <w:rFonts w:hint="eastAsia" w:ascii="宋体" w:hAnsi="宋体" w:eastAsia="宋体" w:cs="宋体"/>
          <w:snapToGrid w:val="0"/>
          <w:color w:val="auto"/>
          <w:sz w:val="30"/>
          <w:szCs w:val="30"/>
          <w:highlight w:val="none"/>
        </w:rPr>
        <w:t>环境保护措施监督检查清单</w:t>
      </w:r>
      <w:bookmarkEnd w:id="37"/>
      <w:bookmarkEnd w:id="38"/>
      <w:bookmarkEnd w:id="39"/>
      <w:bookmarkEnd w:id="40"/>
      <w:bookmarkEnd w:id="41"/>
    </w:p>
    <w:tbl>
      <w:tblPr>
        <w:tblStyle w:val="24"/>
        <w:tblW w:w="93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3390"/>
      </w:tblGrid>
      <w:tr w14:paraId="3DBD96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val="0"/>
            <w:vAlign w:val="top"/>
          </w:tcPr>
          <w:p w14:paraId="0BF27FE9">
            <w:pPr>
              <w:keepNext w:val="0"/>
              <w:keepLines w:val="0"/>
              <w:pageBreakBefore w:val="0"/>
              <w:kinsoku/>
              <w:wordWrap/>
              <w:overflowPunct/>
              <w:topLinePunct w:val="0"/>
              <w:autoSpaceDE/>
              <w:autoSpaceDN/>
              <w:bidi w:val="0"/>
              <w:adjustRightInd w:val="0"/>
              <w:snapToGrid w:val="0"/>
              <w:spacing w:line="240" w:lineRule="atLeast"/>
              <w:ind w:firstLine="360" w:firstLineChars="200"/>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内容</w:t>
            </w:r>
          </w:p>
          <w:p w14:paraId="0C18739B">
            <w:pPr>
              <w:keepNext w:val="0"/>
              <w:keepLines w:val="0"/>
              <w:pageBreakBefore w:val="0"/>
              <w:kinsoku/>
              <w:wordWrap/>
              <w:overflowPunct/>
              <w:topLinePunct w:val="0"/>
              <w:autoSpaceDE/>
              <w:autoSpaceDN/>
              <w:bidi w:val="0"/>
              <w:adjustRightInd w:val="0"/>
              <w:snapToGrid w:val="0"/>
              <w:spacing w:line="240" w:lineRule="atLeast"/>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要素</w:t>
            </w:r>
          </w:p>
        </w:tc>
        <w:tc>
          <w:tcPr>
            <w:tcW w:w="1560" w:type="dxa"/>
            <w:noWrap w:val="0"/>
            <w:vAlign w:val="center"/>
          </w:tcPr>
          <w:p w14:paraId="05793E56">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排放口</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编号、</w:t>
            </w:r>
          </w:p>
          <w:p w14:paraId="79DB5D7A">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名称</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/污染源</w:t>
            </w:r>
          </w:p>
        </w:tc>
        <w:tc>
          <w:tcPr>
            <w:tcW w:w="1320" w:type="dxa"/>
            <w:noWrap w:val="0"/>
            <w:vAlign w:val="center"/>
          </w:tcPr>
          <w:p w14:paraId="20203FF2">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污染物项目</w:t>
            </w:r>
          </w:p>
        </w:tc>
        <w:tc>
          <w:tcPr>
            <w:tcW w:w="1950" w:type="dxa"/>
            <w:noWrap w:val="0"/>
            <w:vAlign w:val="center"/>
          </w:tcPr>
          <w:p w14:paraId="18FB5F81">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环境保护措施</w:t>
            </w:r>
          </w:p>
        </w:tc>
        <w:tc>
          <w:tcPr>
            <w:tcW w:w="3390" w:type="dxa"/>
            <w:noWrap w:val="0"/>
            <w:vAlign w:val="center"/>
          </w:tcPr>
          <w:p w14:paraId="57526A9D">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14AC1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0142A024">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大气环境</w:t>
            </w:r>
          </w:p>
        </w:tc>
        <w:tc>
          <w:tcPr>
            <w:tcW w:w="1560" w:type="dxa"/>
            <w:noWrap w:val="0"/>
            <w:vAlign w:val="center"/>
          </w:tcPr>
          <w:p w14:paraId="12123E08">
            <w:pPr>
              <w:pStyle w:val="41"/>
              <w:keepNext w:val="0"/>
              <w:keepLines w:val="0"/>
              <w:pageBreakBefore w:val="0"/>
              <w:kinsoku/>
              <w:wordWrap/>
              <w:overflowPunct/>
              <w:topLinePunct w:val="0"/>
              <w:autoSpaceDE/>
              <w:autoSpaceDN/>
              <w:bidi w:val="0"/>
              <w:adjustRightInd w:val="0"/>
              <w:snapToGrid w:val="0"/>
              <w:spacing w:line="240" w:lineRule="atLeast"/>
              <w:ind w:left="0" w:leftChars="0" w:right="0" w:rightChars="0" w:firstLine="0" w:firstLineChars="0"/>
              <w:textAlignment w:val="auto"/>
              <w:rPr>
                <w:rFonts w:hint="eastAsia" w:ascii="宋体" w:hAnsi="宋体" w:eastAsia="宋体" w:cs="宋体"/>
                <w:color w:val="auto"/>
                <w:sz w:val="18"/>
                <w:szCs w:val="18"/>
                <w:highlight w:val="none"/>
                <w:lang w:val="en-US" w:eastAsia="zh-CN"/>
              </w:rPr>
            </w:pPr>
            <w:r>
              <w:rPr>
                <w:rFonts w:hint="eastAsia" w:ascii="宋体" w:hAnsi="宋体" w:eastAsia="宋体" w:cs="宋体"/>
                <w:color w:val="auto"/>
                <w:sz w:val="18"/>
                <w:szCs w:val="18"/>
                <w:highlight w:val="none"/>
                <w:lang w:val="en-US" w:eastAsia="zh-CN"/>
              </w:rPr>
              <w:t>储煤场、运输车辆</w:t>
            </w:r>
          </w:p>
        </w:tc>
        <w:tc>
          <w:tcPr>
            <w:tcW w:w="1320" w:type="dxa"/>
            <w:noWrap w:val="0"/>
            <w:vAlign w:val="center"/>
          </w:tcPr>
          <w:p w14:paraId="5A042BFA">
            <w:pPr>
              <w:pStyle w:val="38"/>
              <w:keepNext w:val="0"/>
              <w:keepLines w:val="0"/>
              <w:pageBreakBefore w:val="0"/>
              <w:kinsoku/>
              <w:wordWrap/>
              <w:overflowPunct/>
              <w:topLinePunct w:val="0"/>
              <w:autoSpaceDE/>
              <w:autoSpaceDN/>
              <w:bidi w:val="0"/>
              <w:adjustRightInd w:val="0"/>
              <w:snapToGrid w:val="0"/>
              <w:spacing w:line="240" w:lineRule="atLeast"/>
              <w:textAlignment w:val="auto"/>
              <w:rPr>
                <w:rFonts w:hint="eastAsia" w:ascii="宋体" w:hAnsi="宋体" w:eastAsia="宋体" w:cs="宋体"/>
                <w:color w:val="auto"/>
                <w:sz w:val="18"/>
                <w:szCs w:val="18"/>
                <w:highlight w:val="none"/>
                <w:lang w:val="en-US" w:eastAsia="zh-CN"/>
              </w:rPr>
            </w:pPr>
            <w:r>
              <w:rPr>
                <w:rFonts w:hint="eastAsia" w:ascii="宋体" w:hAnsi="宋体" w:eastAsia="宋体" w:cs="宋体"/>
                <w:color w:val="auto"/>
                <w:sz w:val="18"/>
                <w:szCs w:val="18"/>
                <w:highlight w:val="none"/>
                <w:lang w:val="en-US" w:eastAsia="zh-CN"/>
              </w:rPr>
              <w:t>颗粒物</w:t>
            </w:r>
          </w:p>
        </w:tc>
        <w:tc>
          <w:tcPr>
            <w:tcW w:w="1950" w:type="dxa"/>
            <w:noWrap w:val="0"/>
            <w:vAlign w:val="center"/>
          </w:tcPr>
          <w:p w14:paraId="796277CD">
            <w:pPr>
              <w:pStyle w:val="38"/>
              <w:keepNext w:val="0"/>
              <w:keepLines w:val="0"/>
              <w:pageBreakBefore w:val="0"/>
              <w:kinsoku/>
              <w:wordWrap/>
              <w:overflowPunct/>
              <w:topLinePunct w:val="0"/>
              <w:autoSpaceDE/>
              <w:autoSpaceDN/>
              <w:bidi w:val="0"/>
              <w:adjustRightInd w:val="0"/>
              <w:snapToGrid w:val="0"/>
              <w:spacing w:line="240" w:lineRule="atLeast"/>
              <w:textAlignment w:val="auto"/>
              <w:rPr>
                <w:rFonts w:hint="eastAsia" w:ascii="宋体" w:hAnsi="宋体" w:eastAsia="宋体" w:cs="宋体"/>
                <w:color w:val="auto"/>
                <w:sz w:val="18"/>
                <w:szCs w:val="18"/>
                <w:highlight w:val="none"/>
                <w:lang w:val="en-US" w:eastAsia="zh-CN"/>
              </w:rPr>
            </w:pPr>
            <w:r>
              <w:rPr>
                <w:rFonts w:hint="eastAsia" w:ascii="宋体" w:hAnsi="宋体" w:eastAsia="宋体" w:cs="宋体"/>
                <w:color w:val="auto"/>
                <w:sz w:val="18"/>
                <w:szCs w:val="18"/>
                <w:highlight w:val="none"/>
                <w:lang w:val="en-US" w:eastAsia="zh-CN"/>
              </w:rPr>
              <w:t>储煤点四周设置闭合防风抑尘网，场内堆存煤炭使用</w:t>
            </w:r>
            <w:r>
              <w:rPr>
                <w:rFonts w:hint="eastAsia" w:ascii="宋体" w:hAnsi="宋体" w:cs="宋体"/>
                <w:color w:val="auto"/>
                <w:sz w:val="18"/>
                <w:szCs w:val="18"/>
                <w:highlight w:val="none"/>
                <w:lang w:val="en-US" w:eastAsia="zh-CN"/>
              </w:rPr>
              <w:t>苫布</w:t>
            </w:r>
            <w:r>
              <w:rPr>
                <w:rFonts w:hint="eastAsia" w:ascii="宋体" w:hAnsi="宋体" w:eastAsia="宋体" w:cs="宋体"/>
                <w:color w:val="auto"/>
                <w:sz w:val="18"/>
                <w:szCs w:val="18"/>
                <w:highlight w:val="none"/>
                <w:lang w:val="en-US" w:eastAsia="zh-CN"/>
              </w:rPr>
              <w:t>苫盖；定期洒水降尘，</w:t>
            </w:r>
            <w:r>
              <w:rPr>
                <w:rFonts w:hint="eastAsia" w:ascii="宋体" w:hAnsi="宋体" w:cs="宋体"/>
                <w:color w:val="auto"/>
                <w:sz w:val="18"/>
                <w:szCs w:val="18"/>
                <w:highlight w:val="none"/>
                <w:lang w:val="en-US" w:eastAsia="zh-CN"/>
              </w:rPr>
              <w:t>装卸过程采取喷雾降尘，</w:t>
            </w:r>
            <w:r>
              <w:rPr>
                <w:rFonts w:hint="eastAsia" w:ascii="宋体" w:hAnsi="宋体" w:eastAsia="宋体" w:cs="宋体"/>
                <w:color w:val="auto"/>
                <w:sz w:val="18"/>
                <w:szCs w:val="18"/>
                <w:highlight w:val="none"/>
                <w:lang w:val="en-US" w:eastAsia="zh-CN"/>
              </w:rPr>
              <w:t>禁止在重污染天气、大风天气作业；运输车辆进行全面苫盖</w:t>
            </w:r>
          </w:p>
        </w:tc>
        <w:tc>
          <w:tcPr>
            <w:tcW w:w="3390" w:type="dxa"/>
            <w:noWrap w:val="0"/>
            <w:vAlign w:val="center"/>
          </w:tcPr>
          <w:p w14:paraId="7B390E0C">
            <w:pPr>
              <w:pStyle w:val="38"/>
              <w:keepNext w:val="0"/>
              <w:keepLines w:val="0"/>
              <w:pageBreakBefore w:val="0"/>
              <w:kinsoku/>
              <w:wordWrap/>
              <w:overflowPunct/>
              <w:topLinePunct w:val="0"/>
              <w:autoSpaceDE/>
              <w:autoSpaceDN/>
              <w:bidi w:val="0"/>
              <w:adjustRightInd w:val="0"/>
              <w:snapToGrid w:val="0"/>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《煤炭工业污染物排放标准》（GB20426-2006）中表5无组织</w:t>
            </w:r>
            <w:r>
              <w:rPr>
                <w:rFonts w:hint="eastAsia" w:cs="Times New Roman"/>
                <w:color w:val="auto"/>
                <w:sz w:val="18"/>
                <w:szCs w:val="18"/>
                <w:highlight w:val="none"/>
                <w:lang w:eastAsia="zh-CN"/>
              </w:rPr>
              <w:t>限值</w:t>
            </w:r>
            <w:r>
              <w:rPr>
                <w:rFonts w:hint="default" w:ascii="Times New Roman" w:hAnsi="Times New Roman" w:eastAsia="宋体" w:cs="Times New Roman"/>
                <w:color w:val="auto"/>
                <w:sz w:val="18"/>
                <w:szCs w:val="18"/>
                <w:highlight w:val="none"/>
              </w:rPr>
              <w:t>排放标准</w:t>
            </w:r>
          </w:p>
        </w:tc>
      </w:tr>
      <w:tr w14:paraId="7971A0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0"/>
            <w:vAlign w:val="center"/>
          </w:tcPr>
          <w:p w14:paraId="099F0844">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地表水环境</w:t>
            </w:r>
          </w:p>
        </w:tc>
        <w:tc>
          <w:tcPr>
            <w:tcW w:w="1560" w:type="dxa"/>
            <w:noWrap w:val="0"/>
            <w:vAlign w:val="center"/>
          </w:tcPr>
          <w:p w14:paraId="280811B0">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lang w:val="en-US" w:eastAsia="zh-CN"/>
              </w:rPr>
            </w:pPr>
            <w:r>
              <w:rPr>
                <w:rFonts w:hint="eastAsia" w:ascii="宋体" w:hAnsi="宋体" w:eastAsia="宋体" w:cs="宋体"/>
                <w:color w:val="auto"/>
                <w:sz w:val="18"/>
                <w:szCs w:val="18"/>
                <w:highlight w:val="none"/>
                <w:lang w:val="en-US" w:eastAsia="zh-CN"/>
              </w:rPr>
              <w:t>生活</w:t>
            </w:r>
            <w:r>
              <w:rPr>
                <w:rFonts w:hint="eastAsia" w:ascii="宋体" w:hAnsi="宋体" w:cs="宋体"/>
                <w:color w:val="auto"/>
                <w:sz w:val="18"/>
                <w:szCs w:val="18"/>
                <w:highlight w:val="none"/>
                <w:lang w:val="en-US" w:eastAsia="zh-CN"/>
              </w:rPr>
              <w:t>污</w:t>
            </w:r>
            <w:r>
              <w:rPr>
                <w:rFonts w:hint="eastAsia" w:ascii="宋体" w:hAnsi="宋体" w:eastAsia="宋体" w:cs="宋体"/>
                <w:color w:val="auto"/>
                <w:sz w:val="18"/>
                <w:szCs w:val="18"/>
                <w:highlight w:val="none"/>
                <w:lang w:val="en-US" w:eastAsia="zh-CN"/>
              </w:rPr>
              <w:t>水</w:t>
            </w:r>
          </w:p>
        </w:tc>
        <w:tc>
          <w:tcPr>
            <w:tcW w:w="1320" w:type="dxa"/>
            <w:noWrap w:val="0"/>
            <w:vAlign w:val="center"/>
          </w:tcPr>
          <w:p w14:paraId="00D340E2">
            <w:pPr>
              <w:pStyle w:val="38"/>
              <w:keepNext w:val="0"/>
              <w:keepLines w:val="0"/>
              <w:pageBreakBefore w:val="0"/>
              <w:kinsoku/>
              <w:wordWrap/>
              <w:overflowPunct/>
              <w:topLinePunct w:val="0"/>
              <w:autoSpaceDE/>
              <w:autoSpaceDN/>
              <w:bidi w:val="0"/>
              <w:adjustRightInd w:val="0"/>
              <w:snapToGrid w:val="0"/>
              <w:spacing w:line="240" w:lineRule="atLeast"/>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lang w:val="en-US" w:eastAsia="zh-CN"/>
              </w:rPr>
              <w:t>化学需氧量、五日生化需氧量、悬浮物、氨氮</w:t>
            </w:r>
          </w:p>
        </w:tc>
        <w:tc>
          <w:tcPr>
            <w:tcW w:w="1950" w:type="dxa"/>
            <w:noWrap w:val="0"/>
            <w:vAlign w:val="center"/>
          </w:tcPr>
          <w:p w14:paraId="4EB180A8">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排入防渗旱厕，定期清掏堆肥</w:t>
            </w:r>
          </w:p>
        </w:tc>
        <w:tc>
          <w:tcPr>
            <w:tcW w:w="3390" w:type="dxa"/>
            <w:vMerge w:val="restart"/>
            <w:noWrap w:val="0"/>
            <w:vAlign w:val="center"/>
          </w:tcPr>
          <w:p w14:paraId="269A2C0E">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不外排</w:t>
            </w:r>
          </w:p>
        </w:tc>
      </w:tr>
      <w:tr w14:paraId="74D57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0"/>
            <w:vAlign w:val="center"/>
          </w:tcPr>
          <w:p w14:paraId="1A56F2B8">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p>
        </w:tc>
        <w:tc>
          <w:tcPr>
            <w:tcW w:w="1560" w:type="dxa"/>
            <w:noWrap w:val="0"/>
            <w:vAlign w:val="center"/>
          </w:tcPr>
          <w:p w14:paraId="6B2DA64B">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初期雨水</w:t>
            </w:r>
          </w:p>
        </w:tc>
        <w:tc>
          <w:tcPr>
            <w:tcW w:w="1320" w:type="dxa"/>
            <w:noWrap w:val="0"/>
            <w:vAlign w:val="center"/>
          </w:tcPr>
          <w:p w14:paraId="363413E4">
            <w:pPr>
              <w:pStyle w:val="38"/>
              <w:keepNext w:val="0"/>
              <w:keepLines w:val="0"/>
              <w:pageBreakBefore w:val="0"/>
              <w:kinsoku/>
              <w:wordWrap/>
              <w:overflowPunct/>
              <w:topLinePunct w:val="0"/>
              <w:autoSpaceDE/>
              <w:autoSpaceDN/>
              <w:bidi w:val="0"/>
              <w:adjustRightInd w:val="0"/>
              <w:snapToGrid w:val="0"/>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悬浮物</w:t>
            </w:r>
          </w:p>
        </w:tc>
        <w:tc>
          <w:tcPr>
            <w:tcW w:w="1950" w:type="dxa"/>
            <w:noWrap w:val="0"/>
            <w:vAlign w:val="center"/>
          </w:tcPr>
          <w:p w14:paraId="425A0170">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建设</w:t>
            </w: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00m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初期雨水收集池处理将初期雨水收集沉淀后洒水降尘，不外排</w:t>
            </w:r>
          </w:p>
        </w:tc>
        <w:tc>
          <w:tcPr>
            <w:tcW w:w="3390" w:type="dxa"/>
            <w:vMerge w:val="continue"/>
            <w:noWrap w:val="0"/>
            <w:vAlign w:val="center"/>
          </w:tcPr>
          <w:p w14:paraId="13E5D40F">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p>
        </w:tc>
      </w:tr>
      <w:tr w14:paraId="43F84B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6C75EE6F">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声环境</w:t>
            </w:r>
          </w:p>
        </w:tc>
        <w:tc>
          <w:tcPr>
            <w:tcW w:w="1560" w:type="dxa"/>
            <w:noWrap w:val="0"/>
            <w:vAlign w:val="center"/>
          </w:tcPr>
          <w:p w14:paraId="07C71EE8">
            <w:pPr>
              <w:pStyle w:val="41"/>
              <w:keepNext w:val="0"/>
              <w:keepLines w:val="0"/>
              <w:pageBreakBefore w:val="0"/>
              <w:kinsoku/>
              <w:wordWrap/>
              <w:overflowPunct/>
              <w:topLinePunct w:val="0"/>
              <w:autoSpaceDE/>
              <w:autoSpaceDN/>
              <w:bidi w:val="0"/>
              <w:adjustRightInd w:val="0"/>
              <w:snapToGrid w:val="0"/>
              <w:spacing w:line="240" w:lineRule="atLeast"/>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设备噪声</w:t>
            </w:r>
          </w:p>
        </w:tc>
        <w:tc>
          <w:tcPr>
            <w:tcW w:w="1320" w:type="dxa"/>
            <w:noWrap w:val="0"/>
            <w:vAlign w:val="center"/>
          </w:tcPr>
          <w:p w14:paraId="4257D3B3">
            <w:pPr>
              <w:pStyle w:val="41"/>
              <w:keepNext w:val="0"/>
              <w:keepLines w:val="0"/>
              <w:pageBreakBefore w:val="0"/>
              <w:kinsoku/>
              <w:wordWrap/>
              <w:overflowPunct/>
              <w:topLinePunct w:val="0"/>
              <w:autoSpaceDE/>
              <w:autoSpaceDN/>
              <w:bidi w:val="0"/>
              <w:adjustRightInd w:val="0"/>
              <w:snapToGrid w:val="0"/>
              <w:spacing w:line="240" w:lineRule="atLeast"/>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1950" w:type="dxa"/>
            <w:noWrap w:val="0"/>
            <w:vAlign w:val="center"/>
          </w:tcPr>
          <w:p w14:paraId="036CEF1D">
            <w:pPr>
              <w:pStyle w:val="41"/>
              <w:keepNext w:val="0"/>
              <w:keepLines w:val="0"/>
              <w:pageBreakBefore w:val="0"/>
              <w:widowControl/>
              <w:kinsoku/>
              <w:wordWrap/>
              <w:overflowPunct/>
              <w:topLinePunct w:val="0"/>
              <w:autoSpaceDE/>
              <w:autoSpaceDN/>
              <w:bidi w:val="0"/>
              <w:adjustRightInd w:val="0"/>
              <w:snapToGrid w:val="0"/>
              <w:spacing w:line="240" w:lineRule="atLeast"/>
              <w:ind w:left="0" w:leftChars="0" w:right="0" w:rightChars="0" w:firstLine="0" w:firstLineChars="0"/>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选用低噪声设备，</w:t>
            </w:r>
            <w:r>
              <w:rPr>
                <w:rFonts w:hint="default" w:ascii="Times New Roman" w:hAnsi="Times New Roman" w:cs="Times New Roman"/>
                <w:color w:val="auto"/>
                <w:sz w:val="18"/>
                <w:szCs w:val="18"/>
                <w:highlight w:val="none"/>
                <w:lang w:val="en-US" w:eastAsia="zh-CN"/>
              </w:rPr>
              <w:t>加强设备维护</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厂区内限速</w:t>
            </w:r>
          </w:p>
        </w:tc>
        <w:tc>
          <w:tcPr>
            <w:tcW w:w="3390" w:type="dxa"/>
            <w:noWrap w:val="0"/>
            <w:vAlign w:val="center"/>
          </w:tcPr>
          <w:p w14:paraId="1C8D0EAF">
            <w:pPr>
              <w:pStyle w:val="41"/>
              <w:keepNext w:val="0"/>
              <w:keepLines w:val="0"/>
              <w:pageBreakBefore w:val="0"/>
              <w:widowControl/>
              <w:kinsoku/>
              <w:wordWrap/>
              <w:overflowPunct/>
              <w:topLinePunct w:val="0"/>
              <w:autoSpaceDE/>
              <w:autoSpaceDN/>
              <w:bidi w:val="0"/>
              <w:adjustRightInd w:val="0"/>
              <w:snapToGrid w:val="0"/>
              <w:spacing w:line="240" w:lineRule="atLeast"/>
              <w:ind w:left="0" w:leftChars="0" w:right="0" w:rightChars="0" w:firstLine="0" w:firstLineChars="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厂界噪声满足</w:t>
            </w:r>
            <w:r>
              <w:rPr>
                <w:rFonts w:hint="default" w:ascii="Times New Roman" w:hAnsi="Times New Roman" w:cs="Times New Roman"/>
                <w:bCs/>
                <w:color w:val="auto"/>
                <w:sz w:val="18"/>
                <w:szCs w:val="18"/>
                <w:highlight w:val="none"/>
              </w:rPr>
              <w:t>《工业企业厂界环境噪声排放标准》（GB12348-2008）</w:t>
            </w:r>
            <w:r>
              <w:rPr>
                <w:rFonts w:hint="default" w:ascii="Times New Roman" w:hAnsi="Times New Roman" w:cs="Times New Roman"/>
                <w:bCs/>
                <w:color w:val="auto"/>
                <w:sz w:val="18"/>
                <w:szCs w:val="18"/>
                <w:highlight w:val="none"/>
                <w:lang w:val="en-US" w:eastAsia="zh-CN"/>
              </w:rPr>
              <w:t>2</w:t>
            </w:r>
            <w:r>
              <w:rPr>
                <w:rFonts w:hint="default" w:ascii="Times New Roman" w:hAnsi="Times New Roman" w:cs="Times New Roman"/>
                <w:bCs/>
                <w:color w:val="auto"/>
                <w:sz w:val="18"/>
                <w:szCs w:val="18"/>
                <w:highlight w:val="none"/>
              </w:rPr>
              <w:t>类</w:t>
            </w:r>
            <w:r>
              <w:rPr>
                <w:rFonts w:hint="default" w:ascii="Times New Roman" w:hAnsi="Times New Roman" w:cs="Times New Roman"/>
                <w:color w:val="auto"/>
                <w:sz w:val="18"/>
                <w:szCs w:val="18"/>
                <w:highlight w:val="none"/>
              </w:rPr>
              <w:t>标准</w:t>
            </w:r>
          </w:p>
        </w:tc>
      </w:tr>
      <w:tr w14:paraId="21EB8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 w:hRule="atLeast"/>
          <w:jc w:val="center"/>
        </w:trPr>
        <w:tc>
          <w:tcPr>
            <w:tcW w:w="1084" w:type="dxa"/>
            <w:noWrap w:val="0"/>
            <w:vAlign w:val="center"/>
          </w:tcPr>
          <w:p w14:paraId="09242383">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电磁辐射</w:t>
            </w:r>
          </w:p>
        </w:tc>
        <w:tc>
          <w:tcPr>
            <w:tcW w:w="1560" w:type="dxa"/>
            <w:noWrap w:val="0"/>
            <w:vAlign w:val="center"/>
          </w:tcPr>
          <w:p w14:paraId="21C4CD89">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w:t>
            </w:r>
          </w:p>
        </w:tc>
        <w:tc>
          <w:tcPr>
            <w:tcW w:w="1320" w:type="dxa"/>
            <w:noWrap w:val="0"/>
            <w:vAlign w:val="center"/>
          </w:tcPr>
          <w:p w14:paraId="4B8598DE">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w:t>
            </w:r>
          </w:p>
        </w:tc>
        <w:tc>
          <w:tcPr>
            <w:tcW w:w="1950" w:type="dxa"/>
            <w:noWrap w:val="0"/>
            <w:vAlign w:val="center"/>
          </w:tcPr>
          <w:p w14:paraId="0344C682">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w:t>
            </w:r>
          </w:p>
        </w:tc>
        <w:tc>
          <w:tcPr>
            <w:tcW w:w="3390" w:type="dxa"/>
            <w:noWrap w:val="0"/>
            <w:vAlign w:val="center"/>
          </w:tcPr>
          <w:p w14:paraId="7595741B">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w:t>
            </w:r>
          </w:p>
        </w:tc>
      </w:tr>
      <w:tr w14:paraId="34909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1084" w:type="dxa"/>
            <w:noWrap w:val="0"/>
            <w:vAlign w:val="center"/>
          </w:tcPr>
          <w:p w14:paraId="3836C37B">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w:t>
            </w:r>
          </w:p>
        </w:tc>
        <w:tc>
          <w:tcPr>
            <w:tcW w:w="8220" w:type="dxa"/>
            <w:gridSpan w:val="4"/>
            <w:noWrap w:val="0"/>
            <w:vAlign w:val="center"/>
          </w:tcPr>
          <w:p w14:paraId="255DCDF2">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生活垃圾</w:t>
            </w:r>
            <w:r>
              <w:rPr>
                <w:rFonts w:hint="default" w:ascii="Times New Roman" w:hAnsi="Times New Roman" w:cs="Times New Roman"/>
                <w:color w:val="auto"/>
                <w:sz w:val="18"/>
                <w:szCs w:val="18"/>
                <w:highlight w:val="none"/>
                <w:lang w:val="en-US" w:eastAsia="zh-CN"/>
              </w:rPr>
              <w:t>依托</w:t>
            </w:r>
            <w:r>
              <w:rPr>
                <w:rFonts w:hint="default" w:ascii="Times New Roman" w:hAnsi="Times New Roman" w:cs="Times New Roman"/>
                <w:color w:val="auto"/>
                <w:sz w:val="18"/>
                <w:szCs w:val="18"/>
                <w:highlight w:val="none"/>
              </w:rPr>
              <w:t>当地环卫部门统一收集处理</w:t>
            </w:r>
            <w:r>
              <w:rPr>
                <w:rFonts w:hint="default" w:ascii="Times New Roman" w:hAnsi="Times New Roman" w:cs="Times New Roman"/>
                <w:color w:val="auto"/>
                <w:sz w:val="18"/>
                <w:szCs w:val="18"/>
                <w:highlight w:val="none"/>
                <w:lang w:val="en-US" w:eastAsia="zh-CN"/>
              </w:rPr>
              <w:t>；初期雨水收集池沉渣</w:t>
            </w:r>
            <w:r>
              <w:rPr>
                <w:rFonts w:hint="default" w:ascii="Times New Roman" w:hAnsi="Times New Roman" w:cs="Times New Roman"/>
                <w:bCs/>
                <w:color w:val="auto"/>
                <w:sz w:val="18"/>
                <w:szCs w:val="18"/>
                <w:highlight w:val="none"/>
              </w:rPr>
              <w:t>定期清理后外售综合利用</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废机油</w:t>
            </w:r>
            <w:r>
              <w:rPr>
                <w:rFonts w:hint="eastAsia" w:cs="Times New Roman"/>
                <w:color w:val="auto"/>
                <w:sz w:val="18"/>
                <w:szCs w:val="18"/>
                <w:highlight w:val="none"/>
                <w:lang w:val="en-US" w:eastAsia="zh-CN"/>
              </w:rPr>
              <w:t>、废弃含油抹布手套、废机油桶，</w:t>
            </w:r>
            <w:r>
              <w:rPr>
                <w:rFonts w:hint="default" w:ascii="Times New Roman" w:hAnsi="Times New Roman" w:cs="Times New Roman"/>
                <w:color w:val="auto"/>
                <w:sz w:val="18"/>
                <w:szCs w:val="18"/>
                <w:highlight w:val="none"/>
                <w:lang w:val="en-US" w:eastAsia="zh-CN"/>
              </w:rPr>
              <w:t>统一</w:t>
            </w:r>
            <w:r>
              <w:rPr>
                <w:rFonts w:hint="default" w:ascii="Times New Roman" w:hAnsi="Times New Roman" w:eastAsia="宋体" w:cs="Times New Roman"/>
                <w:color w:val="auto"/>
                <w:sz w:val="18"/>
                <w:szCs w:val="18"/>
                <w:highlight w:val="none"/>
                <w:lang w:val="en-US" w:eastAsia="zh-CN"/>
              </w:rPr>
              <w:t>暂存于</w:t>
            </w:r>
            <w:r>
              <w:rPr>
                <w:rFonts w:hint="default" w:ascii="Times New Roman" w:hAnsi="Times New Roman" w:cs="Times New Roman"/>
                <w:color w:val="auto"/>
                <w:sz w:val="18"/>
                <w:szCs w:val="18"/>
                <w:highlight w:val="none"/>
                <w:lang w:val="en-US" w:eastAsia="zh-CN"/>
              </w:rPr>
              <w:t>危险废物贮存点</w:t>
            </w:r>
            <w:r>
              <w:rPr>
                <w:rFonts w:hint="default" w:ascii="Times New Roman" w:hAnsi="Times New Roman" w:eastAsia="宋体" w:cs="Times New Roman"/>
                <w:color w:val="auto"/>
                <w:sz w:val="18"/>
                <w:szCs w:val="18"/>
                <w:highlight w:val="none"/>
                <w:lang w:val="en-US" w:eastAsia="zh-CN"/>
              </w:rPr>
              <w:t>，委托有资质单位处置</w:t>
            </w:r>
            <w:r>
              <w:rPr>
                <w:rFonts w:hint="default" w:ascii="Times New Roman" w:hAnsi="Times New Roman" w:eastAsia="宋体" w:cs="Times New Roman"/>
                <w:color w:val="auto"/>
                <w:sz w:val="18"/>
                <w:szCs w:val="18"/>
                <w:highlight w:val="none"/>
                <w:lang w:eastAsia="zh-CN"/>
              </w:rPr>
              <w:t>。</w:t>
            </w:r>
          </w:p>
        </w:tc>
      </w:tr>
      <w:tr w14:paraId="6595B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0"/>
            <w:vAlign w:val="center"/>
          </w:tcPr>
          <w:p w14:paraId="5E333DA4">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土壤及地下水污染防治措施</w:t>
            </w:r>
          </w:p>
        </w:tc>
        <w:tc>
          <w:tcPr>
            <w:tcW w:w="8220" w:type="dxa"/>
            <w:gridSpan w:val="4"/>
            <w:noWrap w:val="0"/>
            <w:vAlign w:val="center"/>
          </w:tcPr>
          <w:p w14:paraId="152D2B30">
            <w:pPr>
              <w:pStyle w:val="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煤</w:t>
            </w:r>
            <w:r>
              <w:rPr>
                <w:rFonts w:hint="default" w:ascii="Times New Roman" w:hAnsi="Times New Roman" w:cs="Times New Roman"/>
                <w:color w:val="auto"/>
                <w:sz w:val="18"/>
                <w:szCs w:val="18"/>
                <w:highlight w:val="none"/>
                <w:lang w:val="en-US" w:eastAsia="zh-CN"/>
              </w:rPr>
              <w:t>炭堆场、初期雨水收集池</w:t>
            </w:r>
            <w:r>
              <w:rPr>
                <w:rFonts w:hint="default" w:ascii="Times New Roman" w:hAnsi="Times New Roman" w:eastAsia="宋体" w:cs="Times New Roman"/>
                <w:color w:val="auto"/>
                <w:sz w:val="18"/>
                <w:szCs w:val="18"/>
                <w:highlight w:val="none"/>
                <w:lang w:val="en-US" w:eastAsia="zh-CN"/>
              </w:rPr>
              <w:t>、旱厕进行一般防渗</w:t>
            </w:r>
            <w:r>
              <w:rPr>
                <w:rFonts w:hint="default" w:ascii="Times New Roman" w:hAnsi="Times New Roman" w:cs="Times New Roman"/>
                <w:color w:val="auto"/>
                <w:sz w:val="18"/>
                <w:szCs w:val="18"/>
                <w:highlight w:val="none"/>
                <w:lang w:val="en-US" w:eastAsia="zh-CN"/>
              </w:rPr>
              <w:t>，防渗层采用</w:t>
            </w:r>
            <w:r>
              <w:rPr>
                <w:rFonts w:hint="default" w:ascii="Times New Roman" w:hAnsi="Times New Roman" w:eastAsia="宋体" w:cs="Times New Roman"/>
                <w:color w:val="auto"/>
                <w:sz w:val="18"/>
                <w:szCs w:val="18"/>
                <w:highlight w:val="none"/>
                <w:lang w:val="en-US" w:eastAsia="zh-CN"/>
              </w:rPr>
              <w:t>高密度聚乙烯膜，厚度不小于2.0</w:t>
            </w:r>
            <w:r>
              <w:rPr>
                <w:rFonts w:hint="eastAsia" w:ascii="Times New Roman" w:hAnsi="Times New Roman" w:eastAsia="宋体" w:cs="Times New Roman"/>
                <w:color w:val="auto"/>
                <w:sz w:val="18"/>
                <w:szCs w:val="18"/>
                <w:highlight w:val="none"/>
                <w:lang w:val="en-US" w:eastAsia="zh-CN"/>
              </w:rPr>
              <w:t>mm</w:t>
            </w:r>
            <w:r>
              <w:rPr>
                <w:rFonts w:hint="default" w:ascii="Times New Roman" w:hAnsi="Times New Roman" w:eastAsia="宋体" w:cs="Times New Roman"/>
                <w:color w:val="auto"/>
                <w:sz w:val="18"/>
                <w:szCs w:val="18"/>
                <w:highlight w:val="none"/>
                <w:lang w:val="en-US" w:eastAsia="zh-CN"/>
              </w:rPr>
              <w:t>，防渗层下为厚度不小于0.75m的</w:t>
            </w:r>
            <w:r>
              <w:rPr>
                <w:rFonts w:hint="eastAsia" w:ascii="Times New Roman" w:hAnsi="Times New Roman" w:eastAsia="宋体" w:cs="Times New Roman"/>
                <w:color w:val="auto"/>
                <w:sz w:val="18"/>
                <w:szCs w:val="18"/>
                <w:highlight w:val="none"/>
                <w:lang w:val="en-US" w:eastAsia="zh-CN"/>
              </w:rPr>
              <w:t>天然粘土防渗衬层或</w:t>
            </w:r>
            <w:r>
              <w:rPr>
                <w:rFonts w:ascii="宋体" w:hAnsi="宋体" w:eastAsia="宋体" w:cs="宋体"/>
                <w:color w:val="auto"/>
                <w:sz w:val="18"/>
                <w:szCs w:val="18"/>
                <w:highlight w:val="none"/>
              </w:rPr>
              <w:t>改性粘土防渗衬层</w:t>
            </w:r>
            <w:r>
              <w:rPr>
                <w:rFonts w:hint="eastAsia" w:ascii="Times New Roman" w:hAnsi="Times New Roman" w:eastAsia="宋体" w:cs="Times New Roman"/>
                <w:color w:val="auto"/>
                <w:sz w:val="18"/>
                <w:szCs w:val="18"/>
                <w:highlight w:val="none"/>
                <w:lang w:val="en-US" w:eastAsia="zh-CN"/>
              </w:rPr>
              <w:t>，</w:t>
            </w:r>
            <w:r>
              <w:rPr>
                <w:rFonts w:hint="eastAsia" w:ascii="Times New Roman" w:hAnsi="Times New Roman" w:cs="Times New Roman"/>
                <w:color w:val="auto"/>
                <w:sz w:val="18"/>
                <w:szCs w:val="18"/>
                <w:highlight w:val="none"/>
                <w:lang w:val="en-US" w:eastAsia="zh-CN"/>
              </w:rPr>
              <w:t>防渗技术要求达到</w:t>
            </w:r>
            <w:r>
              <w:rPr>
                <w:rFonts w:hint="default" w:ascii="Times New Roman" w:hAnsi="Times New Roman" w:cs="Times New Roman"/>
                <w:color w:val="auto"/>
                <w:sz w:val="18"/>
                <w:szCs w:val="18"/>
                <w:highlight w:val="none"/>
              </w:rPr>
              <w:t>等效黏土防渗层Mb≥1.5m</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渗透系数≤10</w:t>
            </w:r>
            <w:r>
              <w:rPr>
                <w:rFonts w:hint="default" w:ascii="Times New Roman" w:hAnsi="Times New Roman" w:cs="Times New Roman"/>
                <w:color w:val="auto"/>
                <w:sz w:val="18"/>
                <w:szCs w:val="18"/>
                <w:highlight w:val="none"/>
                <w:vertAlign w:val="superscript"/>
              </w:rPr>
              <w:t>-7</w:t>
            </w:r>
            <w:r>
              <w:rPr>
                <w:rFonts w:hint="default" w:ascii="Times New Roman" w:hAnsi="Times New Roman" w:cs="Times New Roman"/>
                <w:color w:val="auto"/>
                <w:sz w:val="18"/>
                <w:szCs w:val="18"/>
                <w:highlight w:val="none"/>
              </w:rPr>
              <w:t>cm/s</w:t>
            </w:r>
            <w:r>
              <w:rPr>
                <w:rFonts w:hint="eastAsia"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车辆进出口及主要通道使用水泥硬化</w:t>
            </w:r>
            <w:r>
              <w:rPr>
                <w:rFonts w:hint="eastAsia" w:cs="Times New Roman"/>
                <w:color w:val="auto"/>
                <w:sz w:val="18"/>
                <w:szCs w:val="18"/>
                <w:highlight w:val="none"/>
                <w:lang w:val="en-US" w:eastAsia="zh-CN"/>
              </w:rPr>
              <w:t>进行简单防渗</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危险废物贮存点采取重点防渗，</w:t>
            </w:r>
            <w:r>
              <w:rPr>
                <w:rFonts w:hint="default" w:ascii="Times New Roman" w:hAnsi="Times New Roman" w:eastAsia="宋体" w:cs="Times New Roman"/>
                <w:color w:val="auto"/>
                <w:sz w:val="18"/>
                <w:szCs w:val="18"/>
                <w:highlight w:val="none"/>
                <w:lang w:val="en-US" w:eastAsia="zh-CN"/>
              </w:rPr>
              <w:t>防渗层</w:t>
            </w:r>
            <w:r>
              <w:rPr>
                <w:rFonts w:hint="eastAsia" w:ascii="Times New Roman" w:hAnsi="Times New Roman" w:eastAsia="宋体" w:cs="Times New Roman"/>
                <w:color w:val="auto"/>
                <w:sz w:val="18"/>
                <w:szCs w:val="18"/>
                <w:highlight w:val="none"/>
                <w:lang w:val="en-US" w:eastAsia="zh-CN"/>
              </w:rPr>
              <w:t>采用</w:t>
            </w:r>
            <w:r>
              <w:rPr>
                <w:rFonts w:hint="default" w:ascii="Times New Roman" w:hAnsi="Times New Roman" w:eastAsia="宋体" w:cs="Times New Roman"/>
                <w:color w:val="auto"/>
                <w:sz w:val="18"/>
                <w:szCs w:val="18"/>
                <w:highlight w:val="none"/>
                <w:lang w:val="en-US" w:eastAsia="zh-CN"/>
              </w:rPr>
              <w:t>2mm厚的防渗人工材</w:t>
            </w:r>
            <w:r>
              <w:rPr>
                <w:rFonts w:hint="default" w:ascii="Times New Roman" w:hAnsi="Times New Roman" w:eastAsia="宋体" w:cs="Times New Roman"/>
                <w:color w:val="auto"/>
                <w:kern w:val="2"/>
                <w:sz w:val="18"/>
                <w:szCs w:val="18"/>
                <w:highlight w:val="none"/>
                <w:lang w:val="en-US" w:eastAsia="zh-CN" w:bidi="ar-SA"/>
              </w:rPr>
              <w:t>料，</w:t>
            </w:r>
            <w:r>
              <w:rPr>
                <w:rFonts w:hint="eastAsia" w:ascii="Times New Roman" w:hAnsi="Times New Roman" w:cs="Times New Roman"/>
                <w:color w:val="auto"/>
                <w:kern w:val="2"/>
                <w:sz w:val="18"/>
                <w:szCs w:val="18"/>
                <w:highlight w:val="none"/>
                <w:lang w:val="en-US" w:eastAsia="zh-CN" w:bidi="ar-SA"/>
              </w:rPr>
              <w:t>地面与裙脚</w:t>
            </w:r>
            <w:r>
              <w:rPr>
                <w:rFonts w:hint="eastAsia" w:ascii="Times New Roman" w:hAnsi="Times New Roman" w:eastAsia="宋体" w:cs="Times New Roman"/>
                <w:color w:val="auto"/>
                <w:kern w:val="2"/>
                <w:sz w:val="18"/>
                <w:szCs w:val="18"/>
                <w:highlight w:val="none"/>
                <w:lang w:val="en-US" w:eastAsia="zh-CN" w:bidi="ar-SA"/>
              </w:rPr>
              <w:t>使用水泥硬化</w:t>
            </w:r>
            <w:r>
              <w:rPr>
                <w:rFonts w:hint="eastAsia" w:ascii="Times New Roman" w:hAnsi="Times New Roman" w:cs="Times New Roman"/>
                <w:color w:val="auto"/>
                <w:kern w:val="2"/>
                <w:sz w:val="18"/>
                <w:szCs w:val="18"/>
                <w:highlight w:val="none"/>
                <w:lang w:val="en-US" w:eastAsia="zh-CN" w:bidi="ar-SA"/>
              </w:rPr>
              <w:t>防渗处理</w:t>
            </w:r>
            <w:r>
              <w:rPr>
                <w:rFonts w:hint="eastAsia" w:ascii="Times New Roman" w:hAnsi="Times New Roman" w:eastAsia="宋体" w:cs="Times New Roman"/>
                <w:color w:val="auto"/>
                <w:kern w:val="2"/>
                <w:sz w:val="18"/>
                <w:szCs w:val="18"/>
                <w:highlight w:val="none"/>
                <w:lang w:val="en-US" w:eastAsia="zh-CN" w:bidi="ar-SA"/>
              </w:rPr>
              <w:t>，</w:t>
            </w:r>
            <w:r>
              <w:rPr>
                <w:rFonts w:hint="default" w:ascii="Times New Roman" w:hAnsi="Times New Roman" w:eastAsia="宋体" w:cs="Times New Roman"/>
                <w:color w:val="auto"/>
                <w:kern w:val="2"/>
                <w:sz w:val="18"/>
                <w:szCs w:val="18"/>
                <w:highlight w:val="none"/>
                <w:lang w:val="en-US" w:eastAsia="zh-CN" w:bidi="ar-SA"/>
              </w:rPr>
              <w:t>防渗系数≤10</w:t>
            </w:r>
            <w:r>
              <w:rPr>
                <w:rFonts w:hint="default" w:ascii="Times New Roman" w:hAnsi="Times New Roman" w:eastAsia="宋体" w:cs="Times New Roman"/>
                <w:color w:val="auto"/>
                <w:kern w:val="2"/>
                <w:sz w:val="18"/>
                <w:szCs w:val="18"/>
                <w:highlight w:val="none"/>
                <w:vertAlign w:val="superscript"/>
                <w:lang w:val="en-US" w:eastAsia="zh-CN" w:bidi="ar-SA"/>
              </w:rPr>
              <w:t>-10</w:t>
            </w:r>
            <w:r>
              <w:rPr>
                <w:rFonts w:hint="default" w:ascii="Times New Roman" w:hAnsi="Times New Roman" w:eastAsia="宋体" w:cs="Times New Roman"/>
                <w:color w:val="auto"/>
                <w:kern w:val="2"/>
                <w:sz w:val="18"/>
                <w:szCs w:val="18"/>
                <w:highlight w:val="none"/>
                <w:lang w:val="en-US" w:eastAsia="zh-CN" w:bidi="ar-SA"/>
              </w:rPr>
              <w:t>cm/s。</w:t>
            </w:r>
          </w:p>
        </w:tc>
      </w:tr>
      <w:tr w14:paraId="35DF6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084" w:type="dxa"/>
            <w:noWrap w:val="0"/>
            <w:vAlign w:val="center"/>
          </w:tcPr>
          <w:p w14:paraId="68090829">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生态保护措施</w:t>
            </w:r>
          </w:p>
        </w:tc>
        <w:tc>
          <w:tcPr>
            <w:tcW w:w="8220" w:type="dxa"/>
            <w:gridSpan w:val="4"/>
            <w:noWrap w:val="0"/>
            <w:vAlign w:val="center"/>
          </w:tcPr>
          <w:p w14:paraId="6EB5EC9F">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18"/>
                <w:szCs w:val="18"/>
                <w:highlight w:val="none"/>
                <w:lang w:val="en-US" w:eastAsia="zh-CN"/>
              </w:rPr>
            </w:pPr>
            <w:r>
              <w:rPr>
                <w:rFonts w:hint="default" w:ascii="宋体" w:hAnsi="宋体" w:eastAsia="宋体" w:cs="宋体"/>
                <w:color w:val="auto"/>
                <w:sz w:val="18"/>
                <w:szCs w:val="18"/>
                <w:highlight w:val="none"/>
                <w:lang w:val="en-US" w:eastAsia="zh-CN"/>
              </w:rPr>
              <w:t>/</w:t>
            </w:r>
          </w:p>
        </w:tc>
      </w:tr>
      <w:tr w14:paraId="6FD51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1084" w:type="dxa"/>
            <w:noWrap w:val="0"/>
            <w:vAlign w:val="center"/>
          </w:tcPr>
          <w:p w14:paraId="1640D069">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环境风险</w:t>
            </w:r>
          </w:p>
          <w:p w14:paraId="7D9F45BB">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防范措施</w:t>
            </w:r>
          </w:p>
        </w:tc>
        <w:tc>
          <w:tcPr>
            <w:tcW w:w="8220" w:type="dxa"/>
            <w:gridSpan w:val="4"/>
            <w:noWrap w:val="0"/>
            <w:vAlign w:val="center"/>
          </w:tcPr>
          <w:p w14:paraId="41503ED7">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both"/>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厂区内</w:t>
            </w:r>
            <w:r>
              <w:rPr>
                <w:rFonts w:hint="default" w:ascii="Times New Roman" w:hAnsi="Times New Roman" w:eastAsia="宋体" w:cs="Times New Roman"/>
                <w:color w:val="auto"/>
                <w:sz w:val="18"/>
                <w:szCs w:val="18"/>
                <w:highlight w:val="none"/>
                <w:lang w:val="en-US" w:eastAsia="zh-CN"/>
              </w:rPr>
              <w:t>配置一定数量不同类型、不同规格的移动式灭火器材</w:t>
            </w:r>
            <w:r>
              <w:rPr>
                <w:rFonts w:hint="eastAsia" w:ascii="Times New Roman" w:hAnsi="Times New Roman" w:eastAsia="宋体" w:cs="Times New Roman"/>
                <w:color w:val="auto"/>
                <w:sz w:val="18"/>
                <w:szCs w:val="18"/>
                <w:highlight w:val="none"/>
                <w:lang w:val="en-US" w:eastAsia="zh-CN"/>
              </w:rPr>
              <w:t>。加强职工安全教育，杜绝风险事故发生。</w:t>
            </w:r>
            <w:r>
              <w:rPr>
                <w:rFonts w:hint="eastAsia" w:ascii="Times New Roman" w:hAnsi="Times New Roman" w:eastAsia="宋体" w:cs="Times New Roman"/>
                <w:color w:val="auto"/>
                <w:sz w:val="18"/>
                <w:szCs w:val="18"/>
                <w:highlight w:val="none"/>
                <w:lang w:val="en-GB" w:eastAsia="zh-CN"/>
              </w:rPr>
              <w:t>实际运营前，</w:t>
            </w:r>
            <w:r>
              <w:rPr>
                <w:rFonts w:hint="eastAsia" w:ascii="Times New Roman" w:hAnsi="Times New Roman" w:eastAsia="宋体" w:cs="Times New Roman"/>
                <w:color w:val="auto"/>
                <w:sz w:val="18"/>
                <w:szCs w:val="18"/>
                <w:highlight w:val="none"/>
                <w:lang w:val="en-US" w:eastAsia="zh-CN"/>
              </w:rPr>
              <w:t>建设单位应制定突发环境事件应急预案，定期演练，建立环境事故应急响应体系，并建立与市级突发环境事件应急预案的联动机制，对可能发生的事故采取相应的应急救援措施。</w:t>
            </w:r>
          </w:p>
        </w:tc>
      </w:tr>
      <w:tr w14:paraId="7DAA9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1084" w:type="dxa"/>
            <w:noWrap w:val="0"/>
            <w:vAlign w:val="center"/>
          </w:tcPr>
          <w:p w14:paraId="4B533F46">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其他环境</w:t>
            </w:r>
          </w:p>
          <w:p w14:paraId="09B89BB6">
            <w:pPr>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管理要求</w:t>
            </w:r>
          </w:p>
        </w:tc>
        <w:tc>
          <w:tcPr>
            <w:tcW w:w="8220" w:type="dxa"/>
            <w:gridSpan w:val="4"/>
            <w:noWrap w:val="0"/>
            <w:vAlign w:val="center"/>
          </w:tcPr>
          <w:p w14:paraId="749163D7">
            <w:pPr>
              <w:keepNext w:val="0"/>
              <w:keepLines w:val="0"/>
              <w:pageBreakBefore w:val="0"/>
              <w:numPr>
                <w:ilvl w:val="0"/>
                <w:numId w:val="0"/>
              </w:numPr>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bidi="ar-SA"/>
              </w:rPr>
              <w:t>1、</w:t>
            </w:r>
            <w:r>
              <w:rPr>
                <w:rFonts w:hint="default" w:ascii="Times New Roman" w:hAnsi="Times New Roman" w:cs="Times New Roman"/>
                <w:color w:val="auto"/>
                <w:sz w:val="18"/>
                <w:szCs w:val="18"/>
                <w:highlight w:val="none"/>
              </w:rPr>
              <w:t>定期对厂区及周</w:t>
            </w:r>
            <w:r>
              <w:rPr>
                <w:rFonts w:hint="eastAsia" w:ascii="宋体" w:hAnsi="宋体" w:eastAsia="宋体" w:cs="宋体"/>
                <w:color w:val="auto"/>
                <w:sz w:val="18"/>
                <w:szCs w:val="18"/>
                <w:highlight w:val="none"/>
              </w:rPr>
              <w:t>边进行清理保洁，保持良好的环境卫生面貌，防止出现</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脏、乱、差</w:t>
            </w:r>
            <w:r>
              <w:rPr>
                <w:rFonts w:hint="eastAsia" w:ascii="宋体" w:hAnsi="宋体" w:eastAsia="宋体" w:cs="宋体"/>
                <w:color w:val="auto"/>
                <w:sz w:val="18"/>
                <w:szCs w:val="18"/>
                <w:highlight w:val="none"/>
                <w:lang w:eastAsia="zh-CN"/>
              </w:rPr>
              <w:t>”</w:t>
            </w:r>
            <w:r>
              <w:rPr>
                <w:rFonts w:hint="eastAsia" w:ascii="宋体" w:hAnsi="宋体" w:eastAsia="宋体" w:cs="宋体"/>
                <w:color w:val="auto"/>
                <w:sz w:val="18"/>
                <w:szCs w:val="18"/>
                <w:highlight w:val="none"/>
              </w:rPr>
              <w:t>现象</w:t>
            </w:r>
            <w:r>
              <w:rPr>
                <w:rFonts w:hint="eastAsia" w:ascii="宋体" w:hAnsi="宋体" w:eastAsia="宋体" w:cs="宋体"/>
                <w:color w:val="auto"/>
                <w:sz w:val="18"/>
                <w:szCs w:val="18"/>
                <w:highlight w:val="none"/>
                <w:lang w:eastAsia="zh-CN"/>
              </w:rPr>
              <w:t>。</w:t>
            </w:r>
          </w:p>
          <w:p w14:paraId="383202C6">
            <w:pPr>
              <w:keepNext w:val="0"/>
              <w:keepLines w:val="0"/>
              <w:pageBreakBefore w:val="0"/>
              <w:numPr>
                <w:ilvl w:val="0"/>
                <w:numId w:val="0"/>
              </w:numPr>
              <w:kinsoku/>
              <w:wordWrap/>
              <w:overflowPunct/>
              <w:topLinePunct w:val="0"/>
              <w:autoSpaceDE/>
              <w:autoSpaceDN/>
              <w:bidi w:val="0"/>
              <w:adjustRightInd w:val="0"/>
              <w:snapToGrid w:val="0"/>
              <w:spacing w:line="240" w:lineRule="atLeast"/>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bidi="ar-SA"/>
              </w:rPr>
              <w:t>2、</w:t>
            </w:r>
            <w:r>
              <w:rPr>
                <w:rFonts w:hint="default" w:ascii="Times New Roman" w:hAnsi="Times New Roman" w:eastAsia="宋体" w:cs="Times New Roman"/>
                <w:color w:val="auto"/>
                <w:sz w:val="18"/>
                <w:szCs w:val="18"/>
                <w:highlight w:val="none"/>
                <w:lang w:val="en-US" w:eastAsia="zh-CN"/>
              </w:rPr>
              <w:t>根据《国务院办公厅关于印发控制污染物排放许可制度实施方案的通知》（国办发[2016]81 号），将排污许可制度建设成为固定污染源环境管理的核心制度。本项目应严格按照国家排污许可证改革的要求，推进刷卡排污及污染源</w:t>
            </w: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一证式</w:t>
            </w:r>
            <w:r>
              <w:rPr>
                <w:rFonts w:hint="eastAsia"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val="en-US" w:eastAsia="zh-CN"/>
              </w:rPr>
              <w:t>管理工作，并作为建设单位在生产运营期接受环境监管和环境保护部门实施监管的主要法律文书，单位依法申领排污许可证，按证排污，自证守法。环境保护部门基于企事业单位守法承诺，依法发放排污许可证， 依证强化事中事后监管。</w:t>
            </w:r>
          </w:p>
        </w:tc>
      </w:tr>
    </w:tbl>
    <w:p w14:paraId="0097A640">
      <w:pPr>
        <w:pStyle w:val="20"/>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42" w:name="_Toc4881"/>
      <w:bookmarkStart w:id="43" w:name="_Toc12568"/>
      <w:bookmarkStart w:id="44" w:name="_Toc32071"/>
      <w:bookmarkStart w:id="45" w:name="_Toc25613"/>
      <w:r>
        <w:rPr>
          <w:rFonts w:hint="default" w:ascii="Times New Roman" w:hAnsi="Times New Roman" w:eastAsia="黑体" w:cs="Times New Roman"/>
          <w:snapToGrid w:val="0"/>
          <w:color w:val="auto"/>
          <w:sz w:val="30"/>
          <w:szCs w:val="30"/>
          <w:highlight w:val="none"/>
        </w:rPr>
        <w:t>六、结论</w:t>
      </w:r>
      <w:bookmarkEnd w:id="42"/>
      <w:bookmarkEnd w:id="43"/>
      <w:bookmarkEnd w:id="44"/>
      <w:bookmarkEnd w:id="45"/>
    </w:p>
    <w:tbl>
      <w:tblPr>
        <w:tblStyle w:val="24"/>
        <w:tblW w:w="884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48"/>
      </w:tblGrid>
      <w:tr w14:paraId="5DCE06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48" w:type="dxa"/>
          </w:tcPr>
          <w:p w14:paraId="04EEBEF0">
            <w:pPr>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本项目符合国家的产业政策，选址合理。项目在建设和运营中产生的环境影响较小，建设单位认真落实本报告提出的各项污染治理措施</w:t>
            </w:r>
            <w:r>
              <w:rPr>
                <w:rFonts w:hint="default" w:ascii="Times New Roman" w:hAnsi="Times New Roman" w:cs="Times New Roman"/>
                <w:bCs/>
                <w:color w:val="auto"/>
                <w:sz w:val="21"/>
                <w:szCs w:val="21"/>
                <w:highlight w:val="none"/>
                <w:lang w:eastAsia="zh-CN"/>
              </w:rPr>
              <w:t>，以</w:t>
            </w:r>
            <w:r>
              <w:rPr>
                <w:rFonts w:hint="default" w:ascii="Times New Roman" w:hAnsi="Times New Roman" w:cs="Times New Roman"/>
                <w:bCs/>
                <w:color w:val="auto"/>
                <w:sz w:val="21"/>
                <w:szCs w:val="21"/>
                <w:highlight w:val="none"/>
              </w:rPr>
              <w:t>及日常环保管理工作，在确保环保设施正常运行和达标排放前提下，从环保角度考虑，本项目建设可行。</w:t>
            </w:r>
          </w:p>
          <w:p w14:paraId="3E445837">
            <w:pPr>
              <w:widowControl/>
              <w:spacing w:line="480" w:lineRule="atLeast"/>
              <w:ind w:firstLine="420"/>
              <w:rPr>
                <w:rFonts w:hint="default" w:ascii="Times New Roman" w:hAnsi="Times New Roman" w:cs="Times New Roman"/>
                <w:color w:val="auto"/>
                <w:kern w:val="0"/>
                <w:sz w:val="24"/>
                <w:highlight w:val="none"/>
              </w:rPr>
            </w:pPr>
          </w:p>
          <w:p w14:paraId="550EC3C8">
            <w:pPr>
              <w:spacing w:line="360" w:lineRule="auto"/>
              <w:rPr>
                <w:rFonts w:hint="default" w:ascii="Times New Roman" w:hAnsi="Times New Roman" w:cs="Times New Roman"/>
                <w:color w:val="auto"/>
                <w:sz w:val="24"/>
                <w:highlight w:val="none"/>
              </w:rPr>
            </w:pPr>
          </w:p>
        </w:tc>
      </w:tr>
    </w:tbl>
    <w:p w14:paraId="358CC2E2">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F079710">
      <w:pPr>
        <w:pStyle w:val="20"/>
        <w:adjustRightInd w:val="0"/>
        <w:spacing w:before="0" w:beforeAutospacing="0" w:after="0" w:afterAutospacing="0" w:line="360" w:lineRule="auto"/>
        <w:outlineLvl w:val="0"/>
        <w:rPr>
          <w:rFonts w:hint="eastAsia" w:ascii="宋体" w:hAnsi="宋体" w:eastAsia="宋体" w:cs="宋体"/>
          <w:snapToGrid w:val="0"/>
          <w:color w:val="auto"/>
          <w:sz w:val="32"/>
          <w:szCs w:val="32"/>
          <w:highlight w:val="none"/>
        </w:rPr>
      </w:pPr>
      <w:bookmarkStart w:id="46" w:name="_Toc6953"/>
      <w:bookmarkStart w:id="47" w:name="_Toc31938"/>
      <w:bookmarkStart w:id="48" w:name="_Toc7416"/>
      <w:bookmarkStart w:id="49" w:name="_Toc80034807"/>
      <w:bookmarkStart w:id="50" w:name="_Toc16362"/>
      <w:bookmarkStart w:id="51" w:name="_Toc6080"/>
      <w:bookmarkStart w:id="52" w:name="_Toc24798"/>
      <w:r>
        <w:rPr>
          <w:rFonts w:hint="eastAsia" w:ascii="宋体" w:hAnsi="宋体" w:eastAsia="宋体" w:cs="宋体"/>
          <w:snapToGrid w:val="0"/>
          <w:color w:val="auto"/>
          <w:sz w:val="32"/>
          <w:szCs w:val="32"/>
          <w:highlight w:val="none"/>
        </w:rPr>
        <w:t>附表</w:t>
      </w:r>
      <w:bookmarkEnd w:id="46"/>
      <w:bookmarkEnd w:id="47"/>
      <w:bookmarkEnd w:id="48"/>
      <w:bookmarkEnd w:id="49"/>
      <w:bookmarkEnd w:id="50"/>
      <w:bookmarkEnd w:id="51"/>
      <w:bookmarkEnd w:id="52"/>
    </w:p>
    <w:p w14:paraId="3D7E5F26">
      <w:pPr>
        <w:pStyle w:val="20"/>
        <w:adjustRightInd w:val="0"/>
        <w:snapToGrid w:val="0"/>
        <w:spacing w:before="0" w:beforeAutospacing="0" w:after="0" w:afterAutospacing="0" w:line="360" w:lineRule="auto"/>
        <w:jc w:val="center"/>
        <w:outlineLvl w:val="0"/>
        <w:rPr>
          <w:rFonts w:hint="eastAsia" w:ascii="宋体" w:hAnsi="宋体" w:eastAsia="宋体" w:cs="宋体"/>
          <w:snapToGrid w:val="0"/>
          <w:color w:val="auto"/>
          <w:sz w:val="38"/>
          <w:szCs w:val="38"/>
          <w:highlight w:val="none"/>
        </w:rPr>
      </w:pPr>
      <w:bookmarkStart w:id="53" w:name="_Toc3177"/>
      <w:bookmarkStart w:id="54" w:name="_Toc16894"/>
      <w:bookmarkStart w:id="55" w:name="_Toc3415"/>
      <w:bookmarkStart w:id="56" w:name="_Toc80034808"/>
      <w:bookmarkStart w:id="57" w:name="_Toc30416"/>
      <w:r>
        <w:rPr>
          <w:rFonts w:hint="eastAsia" w:ascii="宋体" w:hAnsi="宋体" w:eastAsia="宋体" w:cs="宋体"/>
          <w:snapToGrid w:val="0"/>
          <w:color w:val="auto"/>
          <w:sz w:val="38"/>
          <w:szCs w:val="38"/>
          <w:highlight w:val="none"/>
        </w:rPr>
        <w:t>建设项目污染物排放量汇总表</w:t>
      </w:r>
      <w:bookmarkEnd w:id="53"/>
      <w:bookmarkEnd w:id="54"/>
      <w:bookmarkEnd w:id="55"/>
      <w:bookmarkEnd w:id="56"/>
      <w:bookmarkEnd w:id="57"/>
    </w:p>
    <w:tbl>
      <w:tblPr>
        <w:tblStyle w:val="2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96"/>
        <w:gridCol w:w="1701"/>
        <w:gridCol w:w="1276"/>
        <w:gridCol w:w="1701"/>
        <w:gridCol w:w="1559"/>
        <w:gridCol w:w="1497"/>
        <w:gridCol w:w="1792"/>
        <w:gridCol w:w="1257"/>
      </w:tblGrid>
      <w:tr w14:paraId="1E8065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009" w:type="dxa"/>
            <w:tcBorders>
              <w:tl2br w:val="single" w:color="auto" w:sz="4" w:space="0"/>
            </w:tcBorders>
            <w:tcMar>
              <w:left w:w="28" w:type="dxa"/>
              <w:right w:w="28" w:type="dxa"/>
            </w:tcMar>
            <w:vAlign w:val="center"/>
          </w:tcPr>
          <w:p w14:paraId="4A638F0A">
            <w:pPr>
              <w:pStyle w:val="42"/>
              <w:spacing w:beforeLines="0" w:afterLines="0" w:line="240" w:lineRule="auto"/>
              <w:jc w:val="righ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项目</w:t>
            </w:r>
          </w:p>
          <w:p w14:paraId="58319617">
            <w:pPr>
              <w:pStyle w:val="42"/>
              <w:spacing w:beforeLines="0" w:afterLines="0" w:line="240" w:lineRule="auto"/>
              <w:jc w:val="left"/>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分类</w:t>
            </w:r>
          </w:p>
        </w:tc>
        <w:tc>
          <w:tcPr>
            <w:tcW w:w="1996" w:type="dxa"/>
            <w:tcMar>
              <w:left w:w="28" w:type="dxa"/>
              <w:right w:w="28" w:type="dxa"/>
            </w:tcMar>
            <w:vAlign w:val="center"/>
          </w:tcPr>
          <w:p w14:paraId="7B2CB8B3">
            <w:pPr>
              <w:pStyle w:val="42"/>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污染物名称</w:t>
            </w:r>
          </w:p>
        </w:tc>
        <w:tc>
          <w:tcPr>
            <w:tcW w:w="1701" w:type="dxa"/>
            <w:tcMar>
              <w:left w:w="28" w:type="dxa"/>
              <w:right w:w="28" w:type="dxa"/>
            </w:tcMar>
            <w:vAlign w:val="center"/>
          </w:tcPr>
          <w:p w14:paraId="1C6FB852">
            <w:pPr>
              <w:pStyle w:val="42"/>
              <w:spacing w:beforeLines="0" w:afterLines="0" w:line="240" w:lineRule="auto"/>
              <w:rPr>
                <w:rFonts w:hint="eastAsia" w:ascii="宋体" w:hAnsi="宋体" w:eastAsia="宋体" w:cs="宋体"/>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现有工程</w:t>
            </w:r>
          </w:p>
          <w:p w14:paraId="46C99895">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eastAsia"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276" w:type="dxa"/>
            <w:tcMar>
              <w:left w:w="28" w:type="dxa"/>
              <w:right w:w="28" w:type="dxa"/>
            </w:tcMar>
            <w:vAlign w:val="center"/>
          </w:tcPr>
          <w:p w14:paraId="6D6BA0BC">
            <w:pPr>
              <w:pStyle w:val="42"/>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现有工程</w:t>
            </w:r>
          </w:p>
          <w:p w14:paraId="5F207402">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许可排放量</w:t>
            </w:r>
          </w:p>
          <w:p w14:paraId="1B5AE6FE">
            <w:pPr>
              <w:pStyle w:val="42"/>
              <w:spacing w:beforeLines="0" w:afterLine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701" w:type="dxa"/>
            <w:tcMar>
              <w:left w:w="28" w:type="dxa"/>
              <w:right w:w="28" w:type="dxa"/>
            </w:tcMar>
            <w:vAlign w:val="center"/>
          </w:tcPr>
          <w:p w14:paraId="560A04EC">
            <w:pPr>
              <w:pStyle w:val="42"/>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在建工程</w:t>
            </w:r>
          </w:p>
          <w:p w14:paraId="1C229CE2">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50BE56D4">
            <w:pPr>
              <w:pStyle w:val="42"/>
              <w:spacing w:beforeLines="0" w:afterLines="0" w:line="240" w:lineRule="auto"/>
              <w:rPr>
                <w:rFonts w:hint="default" w:ascii="宋体" w:hAnsi="宋体" w:eastAsia="宋体" w:cs="宋体"/>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本项目</w:t>
            </w:r>
          </w:p>
          <w:p w14:paraId="3F261A1C">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497" w:type="dxa"/>
            <w:tcMar>
              <w:left w:w="28" w:type="dxa"/>
              <w:right w:w="28" w:type="dxa"/>
            </w:tcMar>
            <w:vAlign w:val="center"/>
          </w:tcPr>
          <w:p w14:paraId="5ACA858B">
            <w:pPr>
              <w:pStyle w:val="42"/>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6"/>
                <w:kern w:val="21"/>
                <w:sz w:val="21"/>
                <w:szCs w:val="21"/>
                <w:highlight w:val="none"/>
              </w:rPr>
              <w:t>以新带老削减量（新建项目不填</w:t>
            </w:r>
            <w:r>
              <w:rPr>
                <w:rFonts w:hint="eastAsia" w:ascii="宋体" w:hAnsi="宋体" w:eastAsia="宋体" w:cs="宋体"/>
                <w:snapToGrid w:val="0"/>
                <w:color w:val="auto"/>
                <w:spacing w:val="-16"/>
                <w:kern w:val="21"/>
                <w:sz w:val="21"/>
                <w:szCs w:val="21"/>
                <w:highlight w:val="none"/>
              </w:rPr>
              <w:t>）</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92" w:type="dxa"/>
            <w:tcMar>
              <w:left w:w="28" w:type="dxa"/>
              <w:right w:w="28" w:type="dxa"/>
            </w:tcMar>
            <w:vAlign w:val="center"/>
          </w:tcPr>
          <w:p w14:paraId="161F7D1C">
            <w:pPr>
              <w:pStyle w:val="42"/>
              <w:spacing w:beforeLines="0" w:afterLines="0" w:line="240" w:lineRule="auto"/>
              <w:rPr>
                <w:rFonts w:hint="default" w:ascii="宋体" w:hAnsi="宋体" w:eastAsia="宋体" w:cs="宋体"/>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本项目建成后</w:t>
            </w:r>
          </w:p>
          <w:p w14:paraId="424EC400">
            <w:pPr>
              <w:pStyle w:val="42"/>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宋体" w:hAnsi="宋体" w:eastAsia="宋体" w:cs="宋体"/>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57" w:type="dxa"/>
            <w:tcMar>
              <w:left w:w="28" w:type="dxa"/>
              <w:right w:w="28" w:type="dxa"/>
            </w:tcMar>
            <w:vAlign w:val="center"/>
          </w:tcPr>
          <w:p w14:paraId="1A93B41E">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宋体" w:hAnsi="宋体" w:eastAsia="宋体" w:cs="宋体"/>
                <w:snapToGrid w:val="0"/>
                <w:color w:val="auto"/>
                <w:spacing w:val="-16"/>
                <w:kern w:val="21"/>
                <w:sz w:val="21"/>
                <w:szCs w:val="21"/>
                <w:highlight w:val="none"/>
              </w:rPr>
              <w:t>变化量</w:t>
            </w:r>
          </w:p>
          <w:p w14:paraId="68873669">
            <w:pPr>
              <w:pStyle w:val="42"/>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5CF2BA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770B4C2E">
            <w:pPr>
              <w:pStyle w:val="42"/>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废气</w:t>
            </w:r>
          </w:p>
        </w:tc>
        <w:tc>
          <w:tcPr>
            <w:tcW w:w="1996" w:type="dxa"/>
            <w:vAlign w:val="center"/>
          </w:tcPr>
          <w:p w14:paraId="3BF70ED5">
            <w:pPr>
              <w:jc w:val="center"/>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颗粒物</w:t>
            </w:r>
          </w:p>
        </w:tc>
        <w:tc>
          <w:tcPr>
            <w:tcW w:w="1701" w:type="dxa"/>
            <w:vAlign w:val="center"/>
          </w:tcPr>
          <w:p w14:paraId="7F8D9725">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276" w:type="dxa"/>
            <w:vAlign w:val="center"/>
          </w:tcPr>
          <w:p w14:paraId="431A65BD">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701" w:type="dxa"/>
            <w:vAlign w:val="center"/>
          </w:tcPr>
          <w:p w14:paraId="05B7BBFA">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59" w:type="dxa"/>
            <w:vAlign w:val="center"/>
          </w:tcPr>
          <w:p w14:paraId="1D2BE7C5">
            <w:pPr>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11.163</w:t>
            </w:r>
            <w:r>
              <w:rPr>
                <w:rFonts w:hint="default" w:ascii="Times New Roman" w:hAnsi="Times New Roman" w:cs="Times New Roman"/>
                <w:snapToGrid w:val="0"/>
                <w:color w:val="auto"/>
                <w:kern w:val="21"/>
                <w:sz w:val="21"/>
                <w:szCs w:val="21"/>
                <w:highlight w:val="none"/>
                <w:lang w:val="en-US" w:eastAsia="zh-CN"/>
              </w:rPr>
              <w:t>t/a</w:t>
            </w:r>
          </w:p>
        </w:tc>
        <w:tc>
          <w:tcPr>
            <w:tcW w:w="1497" w:type="dxa"/>
            <w:vAlign w:val="center"/>
          </w:tcPr>
          <w:p w14:paraId="039D8D77">
            <w:pPr>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shd w:val="clear" w:color="auto" w:fill="auto"/>
            <w:vAlign w:val="center"/>
          </w:tcPr>
          <w:p w14:paraId="6544DBC8">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rPr>
              <w:t>11.163</w:t>
            </w:r>
            <w:r>
              <w:rPr>
                <w:rFonts w:hint="default" w:ascii="Times New Roman" w:hAnsi="Times New Roman" w:cs="Times New Roman"/>
                <w:snapToGrid w:val="0"/>
                <w:color w:val="auto"/>
                <w:kern w:val="21"/>
                <w:sz w:val="21"/>
                <w:szCs w:val="21"/>
                <w:highlight w:val="none"/>
                <w:lang w:val="en-US" w:eastAsia="zh-CN"/>
              </w:rPr>
              <w:t>t/a</w:t>
            </w:r>
          </w:p>
        </w:tc>
        <w:tc>
          <w:tcPr>
            <w:tcW w:w="1257" w:type="dxa"/>
            <w:vAlign w:val="center"/>
          </w:tcPr>
          <w:p w14:paraId="255DE0D8">
            <w:pPr>
              <w:jc w:val="center"/>
              <w:rPr>
                <w:rFonts w:hint="default" w:ascii="Times New Roman" w:hAnsi="Times New Roman" w:cs="Times New Roman"/>
                <w:snapToGrid w:val="0"/>
                <w:color w:val="auto"/>
                <w:kern w:val="21"/>
                <w:sz w:val="21"/>
                <w:szCs w:val="21"/>
                <w:highlight w:val="none"/>
              </w:rPr>
            </w:pPr>
            <w:r>
              <w:rPr>
                <w:rFonts w:hint="eastAsia" w:cs="Times New Roman"/>
                <w:snapToGrid w:val="0"/>
                <w:color w:val="auto"/>
                <w:kern w:val="21"/>
                <w:sz w:val="21"/>
                <w:szCs w:val="21"/>
                <w:highlight w:val="none"/>
                <w:lang w:val="en-US" w:eastAsia="zh-CN"/>
              </w:rPr>
              <w:t>11.163</w:t>
            </w:r>
            <w:r>
              <w:rPr>
                <w:rFonts w:hint="default" w:ascii="Times New Roman" w:hAnsi="Times New Roman" w:cs="Times New Roman"/>
                <w:snapToGrid w:val="0"/>
                <w:color w:val="auto"/>
                <w:kern w:val="21"/>
                <w:sz w:val="21"/>
                <w:szCs w:val="21"/>
                <w:highlight w:val="none"/>
                <w:lang w:val="en-US" w:eastAsia="zh-CN"/>
              </w:rPr>
              <w:t>t/a</w:t>
            </w:r>
          </w:p>
        </w:tc>
      </w:tr>
      <w:tr w14:paraId="4AE08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3F058BB6">
            <w:pPr>
              <w:pStyle w:val="42"/>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废水</w:t>
            </w:r>
          </w:p>
        </w:tc>
        <w:tc>
          <w:tcPr>
            <w:tcW w:w="1996" w:type="dxa"/>
            <w:vAlign w:val="center"/>
          </w:tcPr>
          <w:p w14:paraId="465090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w:t>
            </w:r>
          </w:p>
        </w:tc>
        <w:tc>
          <w:tcPr>
            <w:tcW w:w="1701" w:type="dxa"/>
            <w:vAlign w:val="center"/>
          </w:tcPr>
          <w:p w14:paraId="322CE88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276" w:type="dxa"/>
            <w:vAlign w:val="center"/>
          </w:tcPr>
          <w:p w14:paraId="56F69FF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01" w:type="dxa"/>
            <w:vAlign w:val="center"/>
          </w:tcPr>
          <w:p w14:paraId="1E77CC39">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559" w:type="dxa"/>
            <w:vAlign w:val="center"/>
          </w:tcPr>
          <w:p w14:paraId="23F2E203">
            <w:pPr>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cs="Times New Roman"/>
                <w:snapToGrid w:val="0"/>
                <w:color w:val="auto"/>
                <w:kern w:val="21"/>
                <w:sz w:val="21"/>
                <w:szCs w:val="21"/>
                <w:highlight w:val="none"/>
                <w:lang w:val="en-US" w:eastAsia="zh-CN"/>
              </w:rPr>
              <w:t>/</w:t>
            </w:r>
          </w:p>
        </w:tc>
        <w:tc>
          <w:tcPr>
            <w:tcW w:w="1497" w:type="dxa"/>
            <w:vAlign w:val="center"/>
          </w:tcPr>
          <w:p w14:paraId="7623683D">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92" w:type="dxa"/>
            <w:vAlign w:val="center"/>
          </w:tcPr>
          <w:p w14:paraId="0A628B4A">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c>
          <w:tcPr>
            <w:tcW w:w="1257" w:type="dxa"/>
            <w:vAlign w:val="center"/>
          </w:tcPr>
          <w:p w14:paraId="3DB96BE3">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r>
      <w:tr w14:paraId="19CAC3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restart"/>
            <w:vAlign w:val="center"/>
          </w:tcPr>
          <w:p w14:paraId="118D4411">
            <w:pPr>
              <w:pStyle w:val="42"/>
              <w:spacing w:beforeLines="0" w:afterLines="0" w:line="240" w:lineRule="auto"/>
              <w:rPr>
                <w:rFonts w:hint="eastAsia" w:ascii="宋体" w:hAnsi="宋体" w:eastAsia="宋体" w:cs="宋体"/>
                <w:snapToGrid w:val="0"/>
                <w:color w:val="auto"/>
                <w:kern w:val="21"/>
                <w:sz w:val="21"/>
                <w:szCs w:val="21"/>
                <w:highlight w:val="none"/>
              </w:rPr>
            </w:pPr>
            <w:r>
              <w:rPr>
                <w:rFonts w:hint="eastAsia" w:ascii="宋体" w:hAnsi="宋体" w:eastAsia="宋体" w:cs="宋体"/>
                <w:snapToGrid w:val="0"/>
                <w:color w:val="auto"/>
                <w:kern w:val="21"/>
                <w:sz w:val="21"/>
                <w:szCs w:val="21"/>
                <w:highlight w:val="none"/>
              </w:rPr>
              <w:t>一般工业固体废物</w:t>
            </w:r>
          </w:p>
        </w:tc>
        <w:tc>
          <w:tcPr>
            <w:tcW w:w="1996" w:type="dxa"/>
            <w:vAlign w:val="center"/>
          </w:tcPr>
          <w:p w14:paraId="4031C7FB">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生活垃圾</w:t>
            </w:r>
          </w:p>
        </w:tc>
        <w:tc>
          <w:tcPr>
            <w:tcW w:w="1701" w:type="dxa"/>
            <w:vAlign w:val="center"/>
          </w:tcPr>
          <w:p w14:paraId="4D3903B9">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1C8FD532">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6DADD2B1">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B7992F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8</w:t>
            </w:r>
            <w:r>
              <w:rPr>
                <w:rFonts w:hint="default" w:ascii="Times New Roman" w:hAnsi="Times New Roman" w:cs="Times New Roman"/>
                <w:snapToGrid w:val="0"/>
                <w:color w:val="auto"/>
                <w:kern w:val="21"/>
                <w:sz w:val="21"/>
                <w:szCs w:val="21"/>
                <w:highlight w:val="none"/>
                <w:lang w:val="en-US" w:eastAsia="zh-CN"/>
              </w:rPr>
              <w:t>75t/a</w:t>
            </w:r>
          </w:p>
        </w:tc>
        <w:tc>
          <w:tcPr>
            <w:tcW w:w="1497" w:type="dxa"/>
            <w:vAlign w:val="center"/>
          </w:tcPr>
          <w:p w14:paraId="6F2C3942">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43D0D314">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8</w:t>
            </w:r>
            <w:r>
              <w:rPr>
                <w:rFonts w:hint="default" w:ascii="Times New Roman" w:hAnsi="Times New Roman" w:cs="Times New Roman"/>
                <w:snapToGrid w:val="0"/>
                <w:color w:val="auto"/>
                <w:kern w:val="21"/>
                <w:sz w:val="21"/>
                <w:szCs w:val="21"/>
                <w:highlight w:val="none"/>
                <w:lang w:val="en-US" w:eastAsia="zh-CN"/>
              </w:rPr>
              <w:t>75t/a</w:t>
            </w:r>
          </w:p>
        </w:tc>
        <w:tc>
          <w:tcPr>
            <w:tcW w:w="1257" w:type="dxa"/>
            <w:vAlign w:val="center"/>
          </w:tcPr>
          <w:p w14:paraId="34815D5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w:t>
            </w:r>
            <w:r>
              <w:rPr>
                <w:rFonts w:hint="eastAsia" w:cs="Times New Roman"/>
                <w:snapToGrid w:val="0"/>
                <w:color w:val="auto"/>
                <w:kern w:val="21"/>
                <w:sz w:val="21"/>
                <w:szCs w:val="21"/>
                <w:highlight w:val="none"/>
                <w:lang w:val="en-US" w:eastAsia="zh-CN"/>
              </w:rPr>
              <w:t>8</w:t>
            </w:r>
            <w:r>
              <w:rPr>
                <w:rFonts w:hint="default" w:ascii="Times New Roman" w:hAnsi="Times New Roman" w:cs="Times New Roman"/>
                <w:snapToGrid w:val="0"/>
                <w:color w:val="auto"/>
                <w:kern w:val="21"/>
                <w:sz w:val="21"/>
                <w:szCs w:val="21"/>
                <w:highlight w:val="none"/>
                <w:lang w:val="en-US" w:eastAsia="zh-CN"/>
              </w:rPr>
              <w:t>75t/a</w:t>
            </w:r>
          </w:p>
        </w:tc>
      </w:tr>
      <w:tr w14:paraId="7A86B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continue"/>
            <w:vAlign w:val="center"/>
          </w:tcPr>
          <w:p w14:paraId="54D1C3DE">
            <w:pPr>
              <w:pStyle w:val="42"/>
              <w:spacing w:beforeLines="0" w:afterLines="0" w:line="240" w:lineRule="auto"/>
              <w:rPr>
                <w:rFonts w:hint="eastAsia" w:ascii="宋体" w:hAnsi="宋体" w:eastAsia="宋体" w:cs="宋体"/>
                <w:snapToGrid w:val="0"/>
                <w:color w:val="auto"/>
                <w:kern w:val="21"/>
                <w:sz w:val="21"/>
                <w:szCs w:val="21"/>
                <w:highlight w:val="none"/>
              </w:rPr>
            </w:pPr>
          </w:p>
        </w:tc>
        <w:tc>
          <w:tcPr>
            <w:tcW w:w="1996" w:type="dxa"/>
            <w:vAlign w:val="center"/>
          </w:tcPr>
          <w:p w14:paraId="4B9564B6">
            <w:pPr>
              <w:jc w:val="center"/>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收集池沉渣</w:t>
            </w:r>
          </w:p>
        </w:tc>
        <w:tc>
          <w:tcPr>
            <w:tcW w:w="1701" w:type="dxa"/>
            <w:vAlign w:val="center"/>
          </w:tcPr>
          <w:p w14:paraId="5EBEBAFA">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76" w:type="dxa"/>
            <w:vAlign w:val="center"/>
          </w:tcPr>
          <w:p w14:paraId="77ED484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01" w:type="dxa"/>
            <w:vAlign w:val="center"/>
          </w:tcPr>
          <w:p w14:paraId="201A0D6E">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559" w:type="dxa"/>
            <w:vAlign w:val="center"/>
          </w:tcPr>
          <w:p w14:paraId="1008B578">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497" w:type="dxa"/>
            <w:vAlign w:val="center"/>
          </w:tcPr>
          <w:p w14:paraId="09814C1C">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vAlign w:val="center"/>
          </w:tcPr>
          <w:p w14:paraId="04A01629">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0.6t/a</w:t>
            </w:r>
          </w:p>
        </w:tc>
        <w:tc>
          <w:tcPr>
            <w:tcW w:w="1257" w:type="dxa"/>
            <w:shd w:val="clear" w:color="auto" w:fill="auto"/>
            <w:vAlign w:val="center"/>
          </w:tcPr>
          <w:p w14:paraId="47EB5A6A">
            <w:pPr>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rPr>
              <w:t>0.6t/a</w:t>
            </w:r>
          </w:p>
        </w:tc>
      </w:tr>
      <w:tr w14:paraId="78674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4" w:hRule="exact"/>
        </w:trPr>
        <w:tc>
          <w:tcPr>
            <w:tcW w:w="1009" w:type="dxa"/>
            <w:vAlign w:val="center"/>
          </w:tcPr>
          <w:p w14:paraId="6F81E341">
            <w:pPr>
              <w:pStyle w:val="42"/>
              <w:spacing w:beforeLines="0" w:afterLines="0" w:line="240" w:lineRule="auto"/>
              <w:rPr>
                <w:rFonts w:hint="eastAsia"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危险废物</w:t>
            </w:r>
          </w:p>
        </w:tc>
        <w:tc>
          <w:tcPr>
            <w:tcW w:w="1996" w:type="dxa"/>
            <w:tcBorders>
              <w:top w:val="single" w:color="000000" w:sz="4" w:space="0"/>
              <w:bottom w:val="single" w:color="000000" w:sz="4" w:space="0"/>
            </w:tcBorders>
            <w:vAlign w:val="center"/>
          </w:tcPr>
          <w:p w14:paraId="7A173592">
            <w:pPr>
              <w:jc w:val="center"/>
              <w:rPr>
                <w:rFonts w:hint="default" w:ascii="宋体" w:hAnsi="宋体" w:eastAsia="宋体" w:cs="宋体"/>
                <w:snapToGrid w:val="0"/>
                <w:color w:val="auto"/>
                <w:kern w:val="21"/>
                <w:sz w:val="21"/>
                <w:szCs w:val="21"/>
                <w:highlight w:val="none"/>
                <w:lang w:val="en-US" w:eastAsia="zh-CN"/>
              </w:rPr>
            </w:pPr>
            <w:r>
              <w:rPr>
                <w:rFonts w:hint="eastAsia" w:ascii="宋体" w:hAnsi="宋体" w:eastAsia="宋体" w:cs="宋体"/>
                <w:snapToGrid w:val="0"/>
                <w:color w:val="auto"/>
                <w:kern w:val="21"/>
                <w:sz w:val="21"/>
                <w:szCs w:val="21"/>
                <w:highlight w:val="none"/>
                <w:lang w:val="en-US" w:eastAsia="zh-CN"/>
              </w:rPr>
              <w:t>废机油、废弃含油抹布手套</w:t>
            </w:r>
            <w:r>
              <w:rPr>
                <w:rFonts w:hint="eastAsia" w:ascii="宋体" w:hAnsi="宋体" w:cs="宋体"/>
                <w:snapToGrid w:val="0"/>
                <w:color w:val="auto"/>
                <w:kern w:val="21"/>
                <w:sz w:val="21"/>
                <w:szCs w:val="21"/>
                <w:highlight w:val="none"/>
                <w:lang w:val="en-US" w:eastAsia="zh-CN"/>
              </w:rPr>
              <w:t>、废机油桶</w:t>
            </w:r>
          </w:p>
        </w:tc>
        <w:tc>
          <w:tcPr>
            <w:tcW w:w="1701" w:type="dxa"/>
            <w:tcBorders>
              <w:top w:val="single" w:color="000000" w:sz="4" w:space="0"/>
              <w:bottom w:val="single" w:color="000000" w:sz="4" w:space="0"/>
            </w:tcBorders>
            <w:vAlign w:val="center"/>
          </w:tcPr>
          <w:p w14:paraId="5585CD56">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276" w:type="dxa"/>
            <w:tcBorders>
              <w:top w:val="single" w:color="000000" w:sz="4" w:space="0"/>
              <w:bottom w:val="single" w:color="000000" w:sz="4" w:space="0"/>
            </w:tcBorders>
            <w:vAlign w:val="center"/>
          </w:tcPr>
          <w:p w14:paraId="6CADAA6C">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701" w:type="dxa"/>
            <w:tcBorders>
              <w:top w:val="single" w:color="000000" w:sz="4" w:space="0"/>
              <w:bottom w:val="single" w:color="000000" w:sz="4" w:space="0"/>
            </w:tcBorders>
            <w:vAlign w:val="center"/>
          </w:tcPr>
          <w:p w14:paraId="4252B34D">
            <w:pPr>
              <w:jc w:val="center"/>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w:t>
            </w:r>
          </w:p>
        </w:tc>
        <w:tc>
          <w:tcPr>
            <w:tcW w:w="1559" w:type="dxa"/>
            <w:tcBorders>
              <w:top w:val="single" w:color="000000" w:sz="4" w:space="0"/>
              <w:bottom w:val="single" w:color="000000" w:sz="4" w:space="0"/>
            </w:tcBorders>
            <w:vAlign w:val="center"/>
          </w:tcPr>
          <w:p w14:paraId="36C80F51">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c>
          <w:tcPr>
            <w:tcW w:w="1497" w:type="dxa"/>
            <w:tcBorders>
              <w:top w:val="single" w:color="000000" w:sz="4" w:space="0"/>
              <w:bottom w:val="single" w:color="000000" w:sz="4" w:space="0"/>
            </w:tcBorders>
            <w:vAlign w:val="center"/>
          </w:tcPr>
          <w:p w14:paraId="1A79A070">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792" w:type="dxa"/>
            <w:tcBorders>
              <w:top w:val="single" w:color="000000" w:sz="4" w:space="0"/>
              <w:bottom w:val="single" w:color="000000" w:sz="4" w:space="0"/>
            </w:tcBorders>
            <w:vAlign w:val="center"/>
          </w:tcPr>
          <w:p w14:paraId="6EAB5452">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c>
          <w:tcPr>
            <w:tcW w:w="1257" w:type="dxa"/>
            <w:tcBorders>
              <w:top w:val="single" w:color="000000" w:sz="4" w:space="0"/>
              <w:bottom w:val="single" w:color="000000" w:sz="4" w:space="0"/>
            </w:tcBorders>
            <w:vAlign w:val="center"/>
          </w:tcPr>
          <w:p w14:paraId="3C75D7E8">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0.02t/a</w:t>
            </w:r>
          </w:p>
        </w:tc>
      </w:tr>
    </w:tbl>
    <w:p w14:paraId="7B6542C3">
      <w:pPr>
        <w:pStyle w:val="42"/>
        <w:spacing w:before="192" w:beforeLines="80" w:after="24"/>
        <w:jc w:val="left"/>
        <w:rPr>
          <w:rFonts w:hint="default" w:ascii="Times New Roman" w:hAnsi="Times New Roman" w:cs="Times New Roman"/>
          <w:color w:val="auto"/>
          <w:highlight w:val="none"/>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42EE0DE5">
      <w:pPr>
        <w:pStyle w:val="22"/>
        <w:ind w:firstLine="0" w:firstLineChars="0"/>
        <w:jc w:val="center"/>
        <w:rPr>
          <w:rFonts w:hint="default" w:ascii="Times New Roman" w:hAnsi="Times New Roman" w:eastAsia="黑体" w:cs="Times New Roman"/>
          <w:snapToGrid w:val="0"/>
          <w:color w:val="auto"/>
          <w:sz w:val="28"/>
          <w:szCs w:val="28"/>
          <w:highlight w:val="none"/>
        </w:rPr>
      </w:pPr>
      <w:r>
        <w:rPr>
          <w:color w:val="auto"/>
          <w:sz w:val="18"/>
          <w:highlight w:val="none"/>
        </w:rPr>
        <mc:AlternateContent>
          <mc:Choice Requires="wps">
            <w:drawing>
              <wp:anchor distT="0" distB="0" distL="114300" distR="114300" simplePos="0" relativeHeight="251693056" behindDoc="0" locked="0" layoutInCell="1" allowOverlap="1">
                <wp:simplePos x="0" y="0"/>
                <wp:positionH relativeFrom="column">
                  <wp:posOffset>7328535</wp:posOffset>
                </wp:positionH>
                <wp:positionV relativeFrom="paragraph">
                  <wp:posOffset>4310380</wp:posOffset>
                </wp:positionV>
                <wp:extent cx="200025" cy="123825"/>
                <wp:effectExtent l="9525" t="9525" r="19050" b="19050"/>
                <wp:wrapNone/>
                <wp:docPr id="15" name="矩形 15"/>
                <wp:cNvGraphicFramePr/>
                <a:graphic xmlns:a="http://schemas.openxmlformats.org/drawingml/2006/main">
                  <a:graphicData uri="http://schemas.microsoft.com/office/word/2010/wordprocessingShape">
                    <wps:wsp>
                      <wps:cNvSpPr/>
                      <wps:spPr>
                        <a:xfrm>
                          <a:off x="8427720" y="5301615"/>
                          <a:ext cx="200025" cy="123825"/>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7.05pt;margin-top:339.4pt;height:9.75pt;width:15.75pt;z-index:251693056;v-text-anchor:middle;mso-width-relative:page;mso-height-relative:page;" filled="f" stroked="t" coordsize="21600,21600" o:gfxdata="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wodND2gAAAA0BAAAPAAAAAAAAAAEAIAAAACIAAABk&#10;cnMvZG93bnJldi54bWxQSwECFAAUAAAACACHTuJAdDaEKXYCAADYBAAADgAAAAAAAAABACAAAAAp&#10;AQAAZHJzL2Uyb0RvYy54bWxQSwUGAAAAAAYABgBZAQAAEQYAAAAA&#10;">
                <v:fill on="f" focussize="0,0"/>
                <v:stroke weight="1.5pt" color="#FF00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2816" behindDoc="0" locked="0" layoutInCell="1" allowOverlap="1">
                <wp:simplePos x="0" y="0"/>
                <wp:positionH relativeFrom="column">
                  <wp:posOffset>7185025</wp:posOffset>
                </wp:positionH>
                <wp:positionV relativeFrom="paragraph">
                  <wp:posOffset>3987165</wp:posOffset>
                </wp:positionV>
                <wp:extent cx="1334135" cy="828675"/>
                <wp:effectExtent l="4445" t="4445" r="13970" b="5080"/>
                <wp:wrapNone/>
                <wp:docPr id="26" name="文本框 26"/>
                <wp:cNvGraphicFramePr/>
                <a:graphic xmlns:a="http://schemas.openxmlformats.org/drawingml/2006/main">
                  <a:graphicData uri="http://schemas.microsoft.com/office/word/2010/wordprocessingShape">
                    <wps:wsp>
                      <wps:cNvSpPr txBox="1"/>
                      <wps:spPr>
                        <a:xfrm>
                          <a:off x="0" y="0"/>
                          <a:ext cx="1334135" cy="828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104DEFF">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0BA3B88B">
                            <w:pPr>
                              <w:pStyle w:val="21"/>
                              <w:keepNext w:val="0"/>
                              <w:keepLines w:val="0"/>
                              <w:pageBreakBefore w:val="0"/>
                              <w:widowControl w:val="0"/>
                              <w:kinsoku/>
                              <w:wordWrap/>
                              <w:overflowPunct/>
                              <w:topLinePunct w:val="0"/>
                              <w:bidi w:val="0"/>
                              <w:adjustRightInd w:val="0"/>
                              <w:snapToGrid w:val="0"/>
                              <w:spacing w:before="0" w:beforeLines="0" w:after="0" w:afterLines="0" w:line="360" w:lineRule="auto"/>
                              <w:jc w:val="center"/>
                              <w:textAlignment w:val="auto"/>
                              <w:rPr>
                                <w:rFonts w:hint="eastAsia"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项目位置</w:t>
                            </w:r>
                          </w:p>
                          <w:p w14:paraId="65FD7DD9">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比例尺：1:72223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75pt;margin-top:313.95pt;height:65.25pt;width:105.05pt;z-index:251682816;mso-width-relative:page;mso-height-relative:page;" fillcolor="#FFFFFF [3201]" filled="t" stroked="t" coordsize="21600,21600" o:gfxdata="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Mk0nQ&#10;2QAAAA0BAAAPAAAAAAAAAAEAIAAAACIAAABkcnMvZG93bnJldi54bWxQSwECFAAUAAAACACHTuJA&#10;2ta4blkCAAC5BAAADgAAAAAAAAABACAAAAAoAQAAZHJzL2Uyb0RvYy54bWxQSwUGAAAAAAYABgBZ&#10;AQAA8wUAAAAA&#10;">
                <v:fill on="t" focussize="0,0"/>
                <v:stroke weight="0.5pt" color="#000000 [3204]" joinstyle="round"/>
                <v:imagedata o:title=""/>
                <o:lock v:ext="edit" aspectratio="f"/>
                <v:textbox>
                  <w:txbxContent>
                    <w:p w14:paraId="5104DEFF">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lang w:val="en-US" w:eastAsia="zh-CN"/>
                        </w:rPr>
                      </w:pPr>
                      <w:r>
                        <w:rPr>
                          <w:rFonts w:hint="eastAsia"/>
                          <w:lang w:val="en-US" w:eastAsia="zh-CN"/>
                        </w:rPr>
                        <w:t>图例</w:t>
                      </w:r>
                    </w:p>
                    <w:p w14:paraId="0BA3B88B">
                      <w:pPr>
                        <w:pStyle w:val="21"/>
                        <w:keepNext w:val="0"/>
                        <w:keepLines w:val="0"/>
                        <w:pageBreakBefore w:val="0"/>
                        <w:widowControl w:val="0"/>
                        <w:kinsoku/>
                        <w:wordWrap/>
                        <w:overflowPunct/>
                        <w:topLinePunct w:val="0"/>
                        <w:bidi w:val="0"/>
                        <w:adjustRightInd w:val="0"/>
                        <w:snapToGrid w:val="0"/>
                        <w:spacing w:before="0" w:beforeLines="0" w:after="0" w:afterLines="0" w:line="360" w:lineRule="auto"/>
                        <w:jc w:val="center"/>
                        <w:textAlignment w:val="auto"/>
                        <w:rPr>
                          <w:rFonts w:hint="eastAsia"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项目位置</w:t>
                      </w:r>
                    </w:p>
                    <w:p w14:paraId="65FD7DD9">
                      <w:pPr>
                        <w:keepNext w:val="0"/>
                        <w:keepLines w:val="0"/>
                        <w:pageBreakBefore w:val="0"/>
                        <w:widowControl w:val="0"/>
                        <w:kinsoku/>
                        <w:wordWrap/>
                        <w:overflowPunct/>
                        <w:topLinePunct w:val="0"/>
                        <w:bidi w:val="0"/>
                        <w:adjustRightInd w:val="0"/>
                        <w:snapToGrid w:val="0"/>
                        <w:spacing w:line="360" w:lineRule="auto"/>
                        <w:jc w:val="center"/>
                        <w:textAlignment w:val="auto"/>
                        <w:rPr>
                          <w:rFonts w:hint="default"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比例尺：1:72223</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81792" behindDoc="0" locked="0" layoutInCell="1" allowOverlap="1">
            <wp:simplePos x="0" y="0"/>
            <wp:positionH relativeFrom="column">
              <wp:posOffset>7798435</wp:posOffset>
            </wp:positionH>
            <wp:positionV relativeFrom="paragraph">
              <wp:posOffset>36830</wp:posOffset>
            </wp:positionV>
            <wp:extent cx="721360" cy="711835"/>
            <wp:effectExtent l="0" t="0" r="2540" b="12065"/>
            <wp:wrapNone/>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30"/>
                    <a:stretch>
                      <a:fillRect/>
                    </a:stretch>
                  </pic:blipFill>
                  <pic:spPr>
                    <a:xfrm>
                      <a:off x="0" y="0"/>
                      <a:ext cx="721360" cy="711835"/>
                    </a:xfrm>
                    <a:prstGeom prst="rect">
                      <a:avLst/>
                    </a:prstGeom>
                    <a:noFill/>
                    <a:ln>
                      <a:noFill/>
                    </a:ln>
                  </pic:spPr>
                </pic:pic>
              </a:graphicData>
            </a:graphic>
          </wp:anchor>
        </w:drawing>
      </w:r>
      <w:r>
        <w:rPr>
          <w:rFonts w:hint="default" w:ascii="Times New Roman" w:hAnsi="Times New Roman" w:cs="Times New Roman"/>
          <w:color w:val="auto"/>
          <w:sz w:val="18"/>
          <w:highlight w:val="none"/>
        </w:rPr>
        <mc:AlternateContent>
          <mc:Choice Requires="wps">
            <w:drawing>
              <wp:anchor distT="0" distB="0" distL="114300" distR="114300" simplePos="0" relativeHeight="251674624" behindDoc="0" locked="0" layoutInCell="1" allowOverlap="1">
                <wp:simplePos x="0" y="0"/>
                <wp:positionH relativeFrom="column">
                  <wp:posOffset>3747770</wp:posOffset>
                </wp:positionH>
                <wp:positionV relativeFrom="paragraph">
                  <wp:posOffset>1958975</wp:posOffset>
                </wp:positionV>
                <wp:extent cx="876300" cy="504825"/>
                <wp:effectExtent l="6350" t="6350" r="12700" b="288925"/>
                <wp:wrapNone/>
                <wp:docPr id="30" name="矩形标注 30"/>
                <wp:cNvGraphicFramePr/>
                <a:graphic xmlns:a="http://schemas.openxmlformats.org/drawingml/2006/main">
                  <a:graphicData uri="http://schemas.microsoft.com/office/word/2010/wordprocessingShape">
                    <wps:wsp>
                      <wps:cNvSpPr/>
                      <wps:spPr>
                        <a:xfrm>
                          <a:off x="5485130" y="2521585"/>
                          <a:ext cx="876300" cy="504825"/>
                        </a:xfrm>
                        <a:prstGeom prst="wedgeRectCallout">
                          <a:avLst>
                            <a:gd name="adj1" fmla="val -47971"/>
                            <a:gd name="adj2" fmla="val 102075"/>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6B87BE">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5.1pt;margin-top:154.25pt;height:39.75pt;width:69pt;z-index:251674624;v-text-anchor:middle;mso-width-relative:page;mso-height-relative:page;" filled="f" stroked="t" coordsize="21600,21600" o:gfxdata="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CxtAedkAAAALAQAADwAAAAAAAAABACAAAAAi&#10;AAAAZHJzL2Rvd25yZXYueG1sUEsBAhQAFAAAAAgAh07iQMPJ7Qe0AgAASAUAAA4AAAAAAAAAAQAg&#10;AAAAKAEAAGRycy9lMm9Eb2MueG1sUEsFBgAAAAAGAAYAWQEAAE4GAAAAAA==&#10;" adj="438,32848">
                <v:fill on="f" focussize="0,0"/>
                <v:stroke weight="1pt" color="#FFFFFF [3212]" miterlimit="8" joinstyle="miter"/>
                <v:imagedata o:title=""/>
                <o:lock v:ext="edit" aspectratio="f"/>
                <v:textbox>
                  <w:txbxContent>
                    <w:p w14:paraId="036B87BE">
                      <w:pPr>
                        <w:jc w:val="center"/>
                        <w:rPr>
                          <w:rFonts w:hint="default" w:eastAsia="宋体"/>
                          <w:lang w:val="en-US" w:eastAsia="zh-CN"/>
                        </w:rPr>
                      </w:pPr>
                      <w:r>
                        <w:rPr>
                          <w:rFonts w:hint="eastAsia"/>
                          <w:lang w:val="en-US" w:eastAsia="zh-CN"/>
                        </w:rPr>
                        <w:t>项目位置</w:t>
                      </w:r>
                    </w:p>
                  </w:txbxContent>
                </v:textbox>
              </v:shape>
            </w:pict>
          </mc:Fallback>
        </mc:AlternateContent>
      </w:r>
      <w:r>
        <w:rPr>
          <w:color w:val="auto"/>
          <w:highlight w:val="none"/>
        </w:rPr>
        <w:drawing>
          <wp:inline distT="0" distB="0" distL="114300" distR="114300">
            <wp:extent cx="8524240" cy="4849495"/>
            <wp:effectExtent l="0" t="0" r="10160" b="825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1"/>
                    <a:stretch>
                      <a:fillRect/>
                    </a:stretch>
                  </pic:blipFill>
                  <pic:spPr>
                    <a:xfrm>
                      <a:off x="0" y="0"/>
                      <a:ext cx="8524240" cy="4849495"/>
                    </a:xfrm>
                    <a:prstGeom prst="rect">
                      <a:avLst/>
                    </a:prstGeom>
                    <a:noFill/>
                    <a:ln>
                      <a:noFill/>
                    </a:ln>
                  </pic:spPr>
                </pic:pic>
              </a:graphicData>
            </a:graphic>
          </wp:inline>
        </w:drawing>
      </w:r>
    </w:p>
    <w:p w14:paraId="60932F5A">
      <w:pPr>
        <w:pStyle w:val="5"/>
        <w:bidi w:val="0"/>
        <w:jc w:val="center"/>
        <w:rPr>
          <w:rFonts w:hint="default" w:ascii="Times New Roman" w:hAnsi="Times New Roman" w:cs="Times New Roman"/>
          <w:color w:val="auto"/>
          <w:highlight w:val="none"/>
        </w:rPr>
      </w:pPr>
      <w:bookmarkStart w:id="58" w:name="_Toc13308"/>
      <w:bookmarkStart w:id="59" w:name="_Toc11204"/>
      <w:bookmarkStart w:id="60" w:name="_Toc24633"/>
      <w:r>
        <w:rPr>
          <w:rStyle w:val="63"/>
          <w:rFonts w:hint="eastAsia" w:ascii="宋体" w:hAnsi="宋体" w:eastAsia="宋体" w:cs="宋体"/>
          <w:b/>
          <w:bCs/>
          <w:color w:val="auto"/>
          <w:sz w:val="28"/>
          <w:szCs w:val="28"/>
          <w:highlight w:val="none"/>
        </w:rPr>
        <w:t>附图</w:t>
      </w:r>
      <w:r>
        <w:rPr>
          <w:rStyle w:val="63"/>
          <w:rFonts w:hint="default" w:ascii="Times New Roman" w:hAnsi="Times New Roman" w:cs="Times New Roman"/>
          <w:b/>
          <w:bCs/>
          <w:color w:val="auto"/>
          <w:sz w:val="28"/>
          <w:szCs w:val="28"/>
          <w:highlight w:val="none"/>
        </w:rPr>
        <w:t>1</w:t>
      </w:r>
      <w:r>
        <w:rPr>
          <w:rStyle w:val="63"/>
          <w:rFonts w:hint="eastAsia" w:ascii="宋体" w:hAnsi="宋体" w:eastAsia="宋体" w:cs="宋体"/>
          <w:b/>
          <w:bCs/>
          <w:color w:val="auto"/>
          <w:sz w:val="28"/>
          <w:szCs w:val="28"/>
          <w:highlight w:val="none"/>
        </w:rPr>
        <w:t>项目地理位置图</w:t>
      </w:r>
      <w:bookmarkEnd w:id="58"/>
      <w:bookmarkEnd w:id="59"/>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-7654290</wp:posOffset>
                </wp:positionH>
                <wp:positionV relativeFrom="paragraph">
                  <wp:posOffset>1814830</wp:posOffset>
                </wp:positionV>
                <wp:extent cx="1174750" cy="304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1747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FA7B4A">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7pt;margin-top:142.9pt;height:24pt;width:92.5pt;z-index:251666432;mso-width-relative:page;mso-height-relative:page;" filled="f" stroked="f" coordsize="21600,21600" o:gfxdata="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auzP3gAAAA8BAAAPAAAAAAAAAAEAIAAAACIA&#10;AABkcnMvZG93bnJldi54bWxQSwECFAAUAAAACACHTuJAjNWQwDwCAABoBAAADgAAAAAAAAABACAA&#10;AAAtAQAAZHJzL2Uyb0RvYy54bWxQSwUGAAAAAAYABgBZAQAA2wUAAAAA&#10;">
                <v:fill on="f" focussize="0,0"/>
                <v:stroke on="f" weight="0.5pt"/>
                <v:imagedata o:title=""/>
                <o:lock v:ext="edit" aspectratio="f"/>
                <v:textbox>
                  <w:txbxContent>
                    <w:p w14:paraId="17FA7B4A">
                      <w:pPr>
                        <w:rPr>
                          <w:rFonts w:hint="default" w:eastAsia="宋体"/>
                          <w:lang w:val="en-US" w:eastAsia="zh-CN"/>
                        </w:rPr>
                      </w:pPr>
                      <w:r>
                        <w:rPr>
                          <w:rFonts w:hint="eastAsia"/>
                          <w:lang w:val="en-US" w:eastAsia="zh-CN"/>
                        </w:rPr>
                        <w:t>本项目位置</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-7268845</wp:posOffset>
                </wp:positionH>
                <wp:positionV relativeFrom="paragraph">
                  <wp:posOffset>2131060</wp:posOffset>
                </wp:positionV>
                <wp:extent cx="127000" cy="104140"/>
                <wp:effectExtent l="16510" t="13335" r="27940" b="15875"/>
                <wp:wrapNone/>
                <wp:docPr id="36" name="五角星 36"/>
                <wp:cNvGraphicFramePr/>
                <a:graphic xmlns:a="http://schemas.openxmlformats.org/drawingml/2006/main">
                  <a:graphicData uri="http://schemas.microsoft.com/office/word/2010/wordprocessingShape">
                    <wps:wsp>
                      <wps:cNvSpPr/>
                      <wps:spPr>
                        <a:xfrm>
                          <a:off x="0" y="0"/>
                          <a:ext cx="127000" cy="104140"/>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72.35pt;margin-top:167.8pt;height:8.2pt;width:10pt;z-index:251665408;mso-width-relative:page;mso-height-relative:page;" fillcolor="#FF0000" filled="t" stroked="t" coordsize="127000,104140" o:gfxdata="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Tq+ym3QAAAA8BAAAPAAAAAAAAAAEAIAAAACIAAABkcnMvZG93&#10;bnJldi54bWxQSwECFAAUAAAACACHTuJAnxhODjQCAACVBAAADgAAAAAAAAABACAAAAAsAQAAZHJz&#10;L2Uyb0RvYy54bWxQSwUGAAAAAAYABgBZAQAA0gUAAAAA&#10;" path="m0,39777l48497,39763,63500,0,78502,39763,126999,39777,87774,64367,102745,104139,63500,79573,24254,104139,39225,64367xe">
                <v:path o:connectlocs="63500,0;0,39777;24254,104139;102745,104139;126999,39777"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-7798435</wp:posOffset>
                </wp:positionH>
                <wp:positionV relativeFrom="page">
                  <wp:posOffset>2472055</wp:posOffset>
                </wp:positionV>
                <wp:extent cx="1689100" cy="1304290"/>
                <wp:effectExtent l="4445" t="4445" r="20955" b="786765"/>
                <wp:wrapNone/>
                <wp:docPr id="19" name="圆角矩形标注 19"/>
                <wp:cNvGraphicFramePr/>
                <a:graphic xmlns:a="http://schemas.openxmlformats.org/drawingml/2006/main">
                  <a:graphicData uri="http://schemas.microsoft.com/office/word/2010/wordprocessingShape">
                    <wps:wsp>
                      <wps:cNvSpPr/>
                      <wps:spPr>
                        <a:xfrm>
                          <a:off x="0" y="0"/>
                          <a:ext cx="1689100" cy="1304290"/>
                        </a:xfrm>
                        <a:prstGeom prst="wedgeRoundRectCallout">
                          <a:avLst>
                            <a:gd name="adj1" fmla="val -10714"/>
                            <a:gd name="adj2" fmla="val 1087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2"/>
                                          <a:stretch>
                                            <a:fillRect/>
                                          </a:stretch>
                                        </pic:blipFill>
                                        <pic:spPr>
                                          <a:xfrm>
                                            <a:off x="0" y="0"/>
                                            <a:ext cx="1330960" cy="109474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2" type="#_x0000_t62" style="position:absolute;left:0pt;margin-left:-614.05pt;margin-top:194.65pt;height:102.7pt;width:133pt;mso-position-vertical-relative:page;z-index:251664384;mso-width-relative:page;mso-height-relative:page;" fillcolor="#FFFFFF" filled="t" stroked="t" coordsize="21600,21600" o:gfxdata="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CWvdndAAAA&#10;DgEAAA8AAAAAAAAAAQAgAAAAIgAAAGRycy9kb3ducmV2LnhtbFBLAQIUABQAAAAIAIdO4kAzQmVy&#10;UQIAAMAEAAAOAAAAAAAAAAEAIAAAACwBAABkcnMvZTJvRG9jLnhtbFBLBQYAAAAABgAGAFkBAADv&#10;BQAAAAA=&#10;" adj="8486,34282,14400">
                <v:fill on="t" focussize="0,0"/>
                <v:stroke color="#000000" joinstyle="miter"/>
                <v:imagedata o:title=""/>
                <o:lock v:ext="edit" aspectratio="f"/>
                <v:textbox>
                  <w:txbxContent>
                    <w:p w14:paraId="77DF6785">
                      <w:r>
                        <w:drawing>
                          <wp:inline distT="0" distB="0" distL="114300" distR="114300">
                            <wp:extent cx="1330960" cy="1094740"/>
                            <wp:effectExtent l="0" t="0" r="2540" b="1016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2"/>
                                    <a:stretch>
                                      <a:fillRect/>
                                    </a:stretch>
                                  </pic:blipFill>
                                  <pic:spPr>
                                    <a:xfrm>
                                      <a:off x="0" y="0"/>
                                      <a:ext cx="1330960" cy="1094740"/>
                                    </a:xfrm>
                                    <a:prstGeom prst="rect">
                                      <a:avLst/>
                                    </a:prstGeom>
                                    <a:noFill/>
                                    <a:ln>
                                      <a:noFill/>
                                    </a:ln>
                                  </pic:spPr>
                                </pic:pic>
                              </a:graphicData>
                            </a:graphic>
                          </wp:inline>
                        </w:drawing>
                      </w:r>
                    </w:p>
                  </w:txbxContent>
                </v:textbox>
              </v:shape>
            </w:pict>
          </mc:Fallback>
        </mc:AlternateContent>
      </w:r>
      <w:bookmarkEnd w:id="60"/>
    </w:p>
    <w:p w14:paraId="3C9262C6">
      <w:pPr>
        <w:pStyle w:val="22"/>
        <w:spacing w:line="240" w:lineRule="auto"/>
        <w:ind w:firstLine="0" w:firstLineChars="0"/>
        <w:jc w:val="both"/>
        <w:outlineLvl w:val="9"/>
        <w:rPr>
          <w:rFonts w:hint="default" w:ascii="Times New Roman" w:hAnsi="Times New Roman" w:eastAsia="黑体" w:cs="Times New Roman"/>
          <w:snapToGrid w:val="0"/>
          <w:color w:val="auto"/>
          <w:sz w:val="28"/>
          <w:szCs w:val="28"/>
          <w:highlight w:val="none"/>
          <w:lang w:val="en-US" w:eastAsia="zh-CN"/>
        </w:rPr>
      </w:pPr>
      <w:r>
        <w:rPr>
          <w:rFonts w:hint="default" w:ascii="Times New Roman" w:hAnsi="Times New Roman" w:cs="Times New Roman"/>
          <w:color w:val="auto"/>
          <w:sz w:val="18"/>
          <w:highlight w:val="none"/>
        </w:rPr>
        <mc:AlternateContent>
          <mc:Choice Requires="wps">
            <w:drawing>
              <wp:anchor distT="0" distB="0" distL="114300" distR="114300" simplePos="0" relativeHeight="251668480" behindDoc="0" locked="0" layoutInCell="1" allowOverlap="1">
                <wp:simplePos x="0" y="0"/>
                <wp:positionH relativeFrom="column">
                  <wp:posOffset>5291455</wp:posOffset>
                </wp:positionH>
                <wp:positionV relativeFrom="paragraph">
                  <wp:posOffset>3881755</wp:posOffset>
                </wp:positionV>
                <wp:extent cx="1176655" cy="33401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17665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65pt;margin-top:305.65pt;height:26.3pt;width:92.65pt;z-index:251668480;mso-width-relative:page;mso-height-relative:page;" filled="f" stroked="f" coordsize="21600,21600" o:gfxdata="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T3huXbAAAADAEAAA8AAAAAAAAAAQAgAAAAIgAAAGRy&#10;cy9kb3ducmV2LnhtbFBLAQIUABQAAAAIAIdO4kAN77gPOwIAAGgEAAAOAAAAAAAAAAEAIAAAACoB&#10;AABkcnMvZTJvRG9jLnhtbFBLBQYAAAAABgAGAFkBAADXBQAAAAA=&#10;">
                <v:fill on="f" focussize="0,0"/>
                <v:stroke on="f" weight="0.5pt"/>
                <v:imagedata o:title=""/>
                <o:lock v:ext="edit" aspectratio="f"/>
                <v:textbox>
                  <w:txbxContent>
                    <w:p w14:paraId="4310F37E">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危险废物贮存点</w:t>
                      </w:r>
                    </w:p>
                  </w:txbxContent>
                </v:textbox>
              </v:shape>
            </w:pict>
          </mc:Fallback>
        </mc:AlternateContent>
      </w:r>
      <w:r>
        <w:rPr>
          <w:rFonts w:hint="default" w:ascii="Times New Roman" w:hAnsi="Times New Roman" w:cs="Times New Roman"/>
          <w:color w:val="auto"/>
          <w:sz w:val="18"/>
          <w:highlight w:val="none"/>
        </w:rPr>
        <mc:AlternateContent>
          <mc:Choice Requires="wps">
            <w:drawing>
              <wp:anchor distT="0" distB="0" distL="114300" distR="114300" simplePos="0" relativeHeight="251673600" behindDoc="0" locked="0" layoutInCell="1" allowOverlap="1">
                <wp:simplePos x="0" y="0"/>
                <wp:positionH relativeFrom="column">
                  <wp:posOffset>5713095</wp:posOffset>
                </wp:positionH>
                <wp:positionV relativeFrom="paragraph">
                  <wp:posOffset>3541395</wp:posOffset>
                </wp:positionV>
                <wp:extent cx="124460" cy="345440"/>
                <wp:effectExtent l="17780" t="0" r="10160" b="16510"/>
                <wp:wrapNone/>
                <wp:docPr id="22" name="直接箭头连接符 22"/>
                <wp:cNvGraphicFramePr/>
                <a:graphic xmlns:a="http://schemas.openxmlformats.org/drawingml/2006/main">
                  <a:graphicData uri="http://schemas.microsoft.com/office/word/2010/wordprocessingShape">
                    <wps:wsp>
                      <wps:cNvCnPr/>
                      <wps:spPr>
                        <a:xfrm flipH="1" flipV="1">
                          <a:off x="2979420" y="2478405"/>
                          <a:ext cx="124460" cy="345440"/>
                        </a:xfrm>
                        <a:prstGeom prst="straightConnector1">
                          <a:avLst/>
                        </a:prstGeom>
                        <a:ln>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449.85pt;margin-top:278.85pt;height:27.2pt;width:9.8pt;z-index:251673600;mso-width-relative:page;mso-height-relative:page;" filled="f" stroked="t" coordsize="21600,21600" o:gfxdata="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8s&#10;BBvZAAAACwEAAA8AAAAAAAAAAQAgAAAAIgAAAGRycy9kb3ducmV2LnhtbFBLAQIUABQAAAAIAIdO&#10;4kDU1+ETIgIAAAUEAAAOAAAAAAAAAAEAIAAAACgBAABkcnMvZTJvRG9jLnhtbFBLBQYAAAAABgAG&#10;AFkBAAC8BQAAAAA=&#10;">
                <v:fill on="f" focussize="0,0"/>
                <v:stroke weight="1pt" color="#FFFFFF [3212]" miterlimit="8" joinstyle="miter" endarrow="open"/>
                <v:imagedata o:title=""/>
                <o:lock v:ext="edit" aspectratio="f"/>
              </v:shape>
            </w:pict>
          </mc:Fallback>
        </mc:AlternateContent>
      </w:r>
    </w:p>
    <w:p w14:paraId="765DBA58">
      <w:pPr>
        <w:pStyle w:val="22"/>
        <w:spacing w:line="240" w:lineRule="auto"/>
        <w:ind w:right="113" w:rightChars="0" w:firstLine="0" w:firstLineChars="0"/>
        <w:jc w:val="center"/>
        <w:outlineLvl w:val="0"/>
        <w:rPr>
          <w:rFonts w:hint="eastAsia" w:ascii="宋体" w:hAnsi="宋体" w:eastAsia="宋体" w:cs="宋体"/>
          <w:snapToGrid w:val="0"/>
          <w:color w:val="auto"/>
          <w:sz w:val="28"/>
          <w:szCs w:val="28"/>
          <w:highlight w:val="none"/>
          <w:lang w:val="en-US" w:eastAsia="zh-CN"/>
        </w:rPr>
      </w:pPr>
      <w:bookmarkStart w:id="61" w:name="_Toc20694"/>
      <w:bookmarkStart w:id="62" w:name="_Toc12304"/>
      <w:bookmarkStart w:id="63" w:name="_Toc23920"/>
      <w:bookmarkStart w:id="64" w:name="_Toc13003"/>
      <w:r>
        <w:rPr>
          <w:rFonts w:hint="eastAsia" w:ascii="宋体" w:hAnsi="宋体" w:eastAsia="宋体" w:cs="宋体"/>
          <w:snapToGrid w:val="0"/>
          <w:color w:val="auto"/>
          <w:sz w:val="28"/>
          <w:szCs w:val="28"/>
          <w:highlight w:val="none"/>
          <w:lang w:val="en-US" w:eastAsia="zh-CN"/>
        </w:rPr>
        <w:drawing>
          <wp:inline distT="0" distB="0" distL="114300" distR="114300">
            <wp:extent cx="7145655" cy="5035550"/>
            <wp:effectExtent l="0" t="0" r="17145" b="12700"/>
            <wp:docPr id="25" name="图片 25"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平面布置图"/>
                    <pic:cNvPicPr>
                      <a:picLocks noChangeAspect="1"/>
                    </pic:cNvPicPr>
                  </pic:nvPicPr>
                  <pic:blipFill>
                    <a:blip r:embed="rId33"/>
                    <a:stretch>
                      <a:fillRect/>
                    </a:stretch>
                  </pic:blipFill>
                  <pic:spPr>
                    <a:xfrm>
                      <a:off x="0" y="0"/>
                      <a:ext cx="7145655" cy="5035550"/>
                    </a:xfrm>
                    <a:prstGeom prst="rect">
                      <a:avLst/>
                    </a:prstGeom>
                  </pic:spPr>
                </pic:pic>
              </a:graphicData>
            </a:graphic>
          </wp:inline>
        </w:drawing>
      </w:r>
    </w:p>
    <w:p w14:paraId="5319AB1B">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jc w:val="center"/>
        <w:textAlignment w:val="auto"/>
        <w:rPr>
          <w:rFonts w:hint="default" w:ascii="Times New Roman" w:hAnsi="Times New Roman" w:eastAsia="黑体" w:cs="Times New Roman"/>
          <w:snapToGrid w:val="0"/>
          <w:color w:val="auto"/>
          <w:sz w:val="28"/>
          <w:szCs w:val="28"/>
          <w:highlight w:val="none"/>
          <w:lang w:val="en-US" w:eastAsia="zh-CN"/>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ascii="宋体" w:hAnsi="宋体" w:eastAsia="宋体" w:cs="宋体"/>
          <w:snapToGrid w:val="0"/>
          <w:color w:val="auto"/>
          <w:sz w:val="28"/>
          <w:szCs w:val="28"/>
          <w:highlight w:val="none"/>
          <w:lang w:val="en-US" w:eastAsia="zh-CN"/>
        </w:rPr>
        <w:t>附图</w:t>
      </w:r>
      <w:r>
        <w:rPr>
          <w:rFonts w:hint="default" w:ascii="Times New Roman" w:hAnsi="Times New Roman" w:eastAsia="黑体" w:cs="Times New Roman"/>
          <w:snapToGrid w:val="0"/>
          <w:color w:val="auto"/>
          <w:sz w:val="28"/>
          <w:szCs w:val="28"/>
          <w:highlight w:val="none"/>
          <w:lang w:val="en-US" w:eastAsia="zh-CN"/>
        </w:rPr>
        <w:t>2</w:t>
      </w:r>
      <w:r>
        <w:rPr>
          <w:rFonts w:hint="eastAsia" w:ascii="宋体" w:hAnsi="宋体" w:eastAsia="宋体" w:cs="宋体"/>
          <w:snapToGrid w:val="0"/>
          <w:color w:val="auto"/>
          <w:sz w:val="28"/>
          <w:szCs w:val="28"/>
          <w:highlight w:val="none"/>
          <w:lang w:val="en-US" w:eastAsia="zh-CN"/>
        </w:rPr>
        <w:t>项目总平面布置图</w:t>
      </w:r>
      <w:bookmarkEnd w:id="61"/>
      <w:bookmarkEnd w:id="62"/>
      <w:bookmarkEnd w:id="63"/>
      <w:bookmarkEnd w:id="64"/>
    </w:p>
    <w:p w14:paraId="2A22BB03">
      <w:pPr>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7473315" cy="5247005"/>
            <wp:effectExtent l="0" t="0" r="13335" b="10795"/>
            <wp:docPr id="27" name="图片 27" descr="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分区防渗图"/>
                    <pic:cNvPicPr>
                      <a:picLocks noChangeAspect="1"/>
                    </pic:cNvPicPr>
                  </pic:nvPicPr>
                  <pic:blipFill>
                    <a:blip r:embed="rId34"/>
                    <a:stretch>
                      <a:fillRect/>
                    </a:stretch>
                  </pic:blipFill>
                  <pic:spPr>
                    <a:xfrm>
                      <a:off x="0" y="0"/>
                      <a:ext cx="7473315" cy="5247005"/>
                    </a:xfrm>
                    <a:prstGeom prst="rect">
                      <a:avLst/>
                    </a:prstGeom>
                  </pic:spPr>
                </pic:pic>
              </a:graphicData>
            </a:graphic>
          </wp:inline>
        </w:drawing>
      </w:r>
    </w:p>
    <w:p w14:paraId="47904825">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jc w:val="center"/>
        <w:textAlignment w:val="auto"/>
        <w:rPr>
          <w:rFonts w:hint="default" w:ascii="Times New Roman" w:hAnsi="Times New Roman" w:cs="Times New Roman"/>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65" w:name="_Toc2306"/>
      <w:bookmarkStart w:id="66" w:name="_Toc1863"/>
      <w:bookmarkStart w:id="67" w:name="_Toc14678"/>
      <w:r>
        <w:rPr>
          <w:rFonts w:hint="eastAsia" w:ascii="宋体" w:hAnsi="宋体" w:eastAsia="宋体" w:cs="宋体"/>
          <w:snapToGrid w:val="0"/>
          <w:color w:val="auto"/>
          <w:kern w:val="0"/>
          <w:sz w:val="28"/>
          <w:szCs w:val="28"/>
          <w:highlight w:val="none"/>
          <w:lang w:val="en-US" w:eastAsia="zh-CN" w:bidi="ar-SA"/>
        </w:rPr>
        <w:t>附图</w:t>
      </w:r>
      <w:r>
        <w:rPr>
          <w:rFonts w:hint="default" w:ascii="Times New Roman" w:hAnsi="Times New Roman" w:eastAsia="黑体" w:cs="Times New Roman"/>
          <w:snapToGrid w:val="0"/>
          <w:color w:val="auto"/>
          <w:kern w:val="0"/>
          <w:sz w:val="28"/>
          <w:szCs w:val="28"/>
          <w:highlight w:val="none"/>
          <w:lang w:val="en-US" w:eastAsia="zh-CN" w:bidi="ar-SA"/>
        </w:rPr>
        <w:t>3</w:t>
      </w:r>
      <w:r>
        <w:rPr>
          <w:rFonts w:hint="eastAsia" w:ascii="宋体" w:hAnsi="宋体" w:eastAsia="宋体" w:cs="宋体"/>
          <w:snapToGrid w:val="0"/>
          <w:color w:val="auto"/>
          <w:kern w:val="0"/>
          <w:sz w:val="28"/>
          <w:szCs w:val="28"/>
          <w:highlight w:val="none"/>
          <w:lang w:val="en-US" w:eastAsia="zh-CN" w:bidi="ar-SA"/>
        </w:rPr>
        <w:t xml:space="preserve"> 分区防渗图</w:t>
      </w:r>
      <w:bookmarkEnd w:id="65"/>
      <w:bookmarkEnd w:id="66"/>
      <w:bookmarkEnd w:id="67"/>
    </w:p>
    <w:p w14:paraId="44362445">
      <w:pPr>
        <w:rPr>
          <w:color w:val="auto"/>
          <w:highlight w:val="none"/>
        </w:rPr>
      </w:pPr>
      <w:bookmarkStart w:id="68" w:name="_Toc101338967"/>
      <w:bookmarkStart w:id="69" w:name="_Toc31499"/>
      <w:r>
        <w:rPr>
          <w:color w:val="auto"/>
          <w:sz w:val="18"/>
          <w:highlight w:val="none"/>
        </w:rPr>
        <mc:AlternateContent>
          <mc:Choice Requires="wps">
            <w:drawing>
              <wp:anchor distT="0" distB="0" distL="114300" distR="114300" simplePos="0" relativeHeight="251694080" behindDoc="0" locked="0" layoutInCell="1" allowOverlap="1">
                <wp:simplePos x="0" y="0"/>
                <wp:positionH relativeFrom="column">
                  <wp:posOffset>7058025</wp:posOffset>
                </wp:positionH>
                <wp:positionV relativeFrom="paragraph">
                  <wp:posOffset>4558665</wp:posOffset>
                </wp:positionV>
                <wp:extent cx="200025" cy="133350"/>
                <wp:effectExtent l="9525" t="9525" r="19050" b="9525"/>
                <wp:wrapNone/>
                <wp:docPr id="29" name="矩形 29"/>
                <wp:cNvGraphicFramePr/>
                <a:graphic xmlns:a="http://schemas.openxmlformats.org/drawingml/2006/main">
                  <a:graphicData uri="http://schemas.microsoft.com/office/word/2010/wordprocessingShape">
                    <wps:wsp>
                      <wps:cNvSpPr/>
                      <wps:spPr>
                        <a:xfrm>
                          <a:off x="0" y="0"/>
                          <a:ext cx="200025" cy="133350"/>
                        </a:xfrm>
                        <a:prstGeom prst="rect">
                          <a:avLst/>
                        </a:prstGeom>
                        <a:noFill/>
                        <a:ln w="19050">
                          <a:solidFill>
                            <a:srgbClr val="090CEB"/>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75pt;margin-top:358.95pt;height:10.5pt;width:15.75pt;z-index:251694080;v-text-anchor:middle;mso-width-relative:page;mso-height-relative:page;" filled="f" stroked="t" coordsize="21600,21600" o:gfxdata="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yhMM2AAAAA0BAAAPAAAAAAAAAAEAIAAAACIAAABkcnMvZG93bnJldi54&#10;bWxQSwECFAAUAAAACACHTuJAQDxzS2wCAADMBAAADgAAAAAAAAABACAAAAAnAQAAZHJzL2Uyb0Rv&#10;Yy54bWxQSwUGAAAAAAYABgBZAQAABQYAAAAA&#10;">
                <v:fill on="f" focussize="0,0"/>
                <v:stroke weight="1.5pt" color="#090CEB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6912" behindDoc="0" locked="0" layoutInCell="1" allowOverlap="1">
                <wp:simplePos x="0" y="0"/>
                <wp:positionH relativeFrom="column">
                  <wp:posOffset>7058025</wp:posOffset>
                </wp:positionH>
                <wp:positionV relativeFrom="paragraph">
                  <wp:posOffset>4283710</wp:posOffset>
                </wp:positionV>
                <wp:extent cx="200025" cy="133350"/>
                <wp:effectExtent l="9525" t="9525" r="19050" b="9525"/>
                <wp:wrapNone/>
                <wp:docPr id="48" name="矩形 48"/>
                <wp:cNvGraphicFramePr/>
                <a:graphic xmlns:a="http://schemas.openxmlformats.org/drawingml/2006/main">
                  <a:graphicData uri="http://schemas.microsoft.com/office/word/2010/wordprocessingShape">
                    <wps:wsp>
                      <wps:cNvSpPr/>
                      <wps:spPr>
                        <a:xfrm>
                          <a:off x="0" y="0"/>
                          <a:ext cx="200025" cy="133350"/>
                        </a:xfrm>
                        <a:prstGeom prst="rect">
                          <a:avLst/>
                        </a:prstGeom>
                        <a:noFill/>
                        <a:ln w="1905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75pt;margin-top:337.3pt;height:10.5pt;width:15.75pt;z-index:251686912;v-text-anchor:middle;mso-width-relative:page;mso-height-relative:page;" filled="f" stroked="t" coordsize="21600,21600" o:gfxdata="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2jY312QAAAA0BAAAPAAAAAAAAAAEAIAAAACIAAABkcnMvZG93bnJldi54bWxQ&#10;SwECFAAUAAAACACHTuJAB6dmcGgCAADMBAAADgAAAAAAAAABACAAAAAoAQAAZHJzL2Uyb0RvYy54&#10;bWxQSwUGAAAAAAYABgBZAQAAAgYAAAAA&#10;">
                <v:fill on="f" focussize="0,0"/>
                <v:stroke weight="1.5pt" color="#FFFF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5888" behindDoc="0" locked="0" layoutInCell="1" allowOverlap="1">
                <wp:simplePos x="0" y="0"/>
                <wp:positionH relativeFrom="column">
                  <wp:posOffset>7058025</wp:posOffset>
                </wp:positionH>
                <wp:positionV relativeFrom="paragraph">
                  <wp:posOffset>4017010</wp:posOffset>
                </wp:positionV>
                <wp:extent cx="200025" cy="133350"/>
                <wp:effectExtent l="6350" t="6350" r="22225" b="12700"/>
                <wp:wrapNone/>
                <wp:docPr id="45" name="矩形 45"/>
                <wp:cNvGraphicFramePr/>
                <a:graphic xmlns:a="http://schemas.openxmlformats.org/drawingml/2006/main">
                  <a:graphicData uri="http://schemas.microsoft.com/office/word/2010/wordprocessingShape">
                    <wps:wsp>
                      <wps:cNvSpPr/>
                      <wps:spPr>
                        <a:xfrm>
                          <a:off x="0" y="0"/>
                          <a:ext cx="200025" cy="133350"/>
                        </a:xfrm>
                        <a:prstGeom prst="rect">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75pt;margin-top:316.3pt;height:10.5pt;width:15.75pt;z-index:251685888;v-text-anchor:middle;mso-width-relative:page;mso-height-relative:page;" fillcolor="#FFFF00" filled="t" stroked="t" coordsize="21600,21600" o:gfxdata="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SZRyo9kAAAANAQAADwAAAAAAAAABACAAAAAiAAAAZHJzL2Rvd25yZXYueG1s&#10;UEsBAhQAFAAAAAgAh07iQBFm2l1pAgAA9QQAAA4AAAAAAAAAAQAgAAAAKAEAAGRycy9lMm9Eb2Mu&#10;eG1sUEsFBgAAAAAGAAYAWQEAAAMGAAAAAA==&#10;">
                <v:fill on="t" focussize="0,0"/>
                <v:stroke weight="1pt" color="#FFFF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4864" behindDoc="0" locked="0" layoutInCell="1" allowOverlap="1">
                <wp:simplePos x="0" y="0"/>
                <wp:positionH relativeFrom="column">
                  <wp:posOffset>7058025</wp:posOffset>
                </wp:positionH>
                <wp:positionV relativeFrom="paragraph">
                  <wp:posOffset>3769360</wp:posOffset>
                </wp:positionV>
                <wp:extent cx="200025" cy="133350"/>
                <wp:effectExtent l="9525" t="9525" r="19050" b="9525"/>
                <wp:wrapNone/>
                <wp:docPr id="44" name="矩形 44"/>
                <wp:cNvGraphicFramePr/>
                <a:graphic xmlns:a="http://schemas.openxmlformats.org/drawingml/2006/main">
                  <a:graphicData uri="http://schemas.microsoft.com/office/word/2010/wordprocessingShape">
                    <wps:wsp>
                      <wps:cNvSpPr/>
                      <wps:spPr>
                        <a:xfrm>
                          <a:off x="8189595" y="4593590"/>
                          <a:ext cx="200025" cy="1333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75pt;margin-top:296.8pt;height:10.5pt;width:15.75pt;z-index:251684864;v-text-anchor:middle;mso-width-relative:page;mso-height-relative:page;" filled="f" stroked="t" coordsize="21600,21600" o:gfxdata="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ycBcZ2gAAAA0BAAAPAAAAAAAAAAEAIAAAACIAAABkcnMv&#10;ZG93bnJldi54bWxQSwECFAAUAAAACACHTuJA7GoPRXMCAADYBAAADgAAAAAAAAABACAAAAApAQAA&#10;ZHJzL2Uyb0RvYy54bWxQSwUGAAAAAAYABgBZAQAADgYAAAAA&#10;">
                <v:fill on="f" focussize="0,0"/>
                <v:stroke weight="1.5pt" color="#FF0000 [2404]" miterlimit="8" joinstyle="miter"/>
                <v:imagedata o:title=""/>
                <o:lock v:ext="edit" aspectratio="f"/>
              </v:rect>
            </w:pict>
          </mc:Fallback>
        </mc:AlternateContent>
      </w:r>
      <w:r>
        <w:rPr>
          <w:color w:val="auto"/>
          <w:sz w:val="18"/>
          <w:highlight w:val="none"/>
        </w:rPr>
        <mc:AlternateContent>
          <mc:Choice Requires="wps">
            <w:drawing>
              <wp:anchor distT="0" distB="0" distL="114300" distR="114300" simplePos="0" relativeHeight="251683840" behindDoc="0" locked="0" layoutInCell="1" allowOverlap="1">
                <wp:simplePos x="0" y="0"/>
                <wp:positionH relativeFrom="column">
                  <wp:posOffset>6975475</wp:posOffset>
                </wp:positionH>
                <wp:positionV relativeFrom="paragraph">
                  <wp:posOffset>3434080</wp:posOffset>
                </wp:positionV>
                <wp:extent cx="1557020" cy="1619885"/>
                <wp:effectExtent l="4445" t="4445" r="19685" b="13970"/>
                <wp:wrapNone/>
                <wp:docPr id="34" name="文本框 34"/>
                <wp:cNvGraphicFramePr/>
                <a:graphic xmlns:a="http://schemas.openxmlformats.org/drawingml/2006/main">
                  <a:graphicData uri="http://schemas.microsoft.com/office/word/2010/wordprocessingShape">
                    <wps:wsp>
                      <wps:cNvSpPr txBox="1"/>
                      <wps:spPr>
                        <a:xfrm>
                          <a:off x="0" y="0"/>
                          <a:ext cx="1557020" cy="1619885"/>
                        </a:xfrm>
                        <a:prstGeom prst="rect">
                          <a:avLst/>
                        </a:prstGeom>
                        <a:solidFill>
                          <a:srgbClr val="FFFFFF"/>
                        </a:solidFill>
                        <a:ln w="6350">
                          <a:solidFill>
                            <a:prstClr val="black"/>
                          </a:solidFill>
                        </a:ln>
                        <a:effectLst/>
                      </wps:spPr>
                      <wps:txbx>
                        <w:txbxContent>
                          <w:p w14:paraId="68FF0FBA">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b w:val="0"/>
                                <w:bCs w:val="0"/>
                                <w:sz w:val="21"/>
                                <w:szCs w:val="21"/>
                                <w:lang w:val="en-US" w:eastAsia="zh-CN"/>
                              </w:rPr>
                            </w:pPr>
                            <w:r>
                              <w:rPr>
                                <w:rFonts w:hint="eastAsia"/>
                                <w:b w:val="0"/>
                                <w:bCs w:val="0"/>
                                <w:sz w:val="21"/>
                                <w:szCs w:val="21"/>
                                <w:lang w:val="en-US" w:eastAsia="zh-CN"/>
                              </w:rPr>
                              <w:t>图例</w:t>
                            </w:r>
                          </w:p>
                          <w:p w14:paraId="28520BB2">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项目位置</w:t>
                            </w:r>
                          </w:p>
                          <w:p w14:paraId="1D796A06">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eastAsia" w:cs="Times New Roman"/>
                                <w:b w:val="0"/>
                                <w:bCs w:val="0"/>
                                <w:kern w:val="2"/>
                                <w:sz w:val="21"/>
                                <w:szCs w:val="21"/>
                                <w:lang w:val="en-US" w:eastAsia="zh-CN" w:bidi="ar-SA"/>
                              </w:rPr>
                            </w:pPr>
                            <w:r>
                              <w:rPr>
                                <w:rFonts w:hint="eastAsia" w:cs="Times New Roman"/>
                                <w:b w:val="0"/>
                                <w:bCs w:val="0"/>
                                <w:kern w:val="2"/>
                                <w:sz w:val="21"/>
                                <w:szCs w:val="21"/>
                                <w:lang w:val="en-US" w:eastAsia="zh-CN" w:bidi="ar-SA"/>
                              </w:rPr>
                              <w:t>大气环境保护目标</w:t>
                            </w:r>
                          </w:p>
                          <w:p w14:paraId="7BB4B67C">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b w:val="0"/>
                                <w:bCs w:val="0"/>
                                <w:sz w:val="21"/>
                                <w:szCs w:val="21"/>
                                <w:lang w:val="en-US" w:eastAsia="zh-CN"/>
                              </w:rPr>
                            </w:pPr>
                            <w:r>
                              <w:rPr>
                                <w:rFonts w:hint="eastAsia" w:cs="Times New Roman"/>
                                <w:b w:val="0"/>
                                <w:bCs w:val="0"/>
                                <w:kern w:val="2"/>
                                <w:sz w:val="21"/>
                                <w:szCs w:val="21"/>
                                <w:lang w:val="en-US" w:eastAsia="zh-CN" w:bidi="ar-SA"/>
                              </w:rPr>
                              <w:t>大气环境保护范围</w:t>
                            </w:r>
                          </w:p>
                          <w:p w14:paraId="6DDE7E7B">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声环境保护范围</w:t>
                            </w:r>
                          </w:p>
                          <w:p w14:paraId="11B65C44">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比例尺：1:</w:t>
                            </w:r>
                            <w:r>
                              <w:rPr>
                                <w:rFonts w:hint="eastAsia" w:cs="Times New Roman"/>
                                <w:b w:val="0"/>
                                <w:bCs w:val="0"/>
                                <w:kern w:val="2"/>
                                <w:sz w:val="21"/>
                                <w:szCs w:val="21"/>
                                <w:lang w:val="en-US" w:eastAsia="zh-CN" w:bidi="ar-SA"/>
                              </w:rPr>
                              <w:t>9027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9.25pt;margin-top:270.4pt;height:127.55pt;width:122.6pt;z-index:251683840;mso-width-relative:page;mso-height-relative:page;" fillcolor="#FFFFFF" filled="t" stroked="t" coordsize="21600,21600" o:gfxdata="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34rEPZAAAADQEAAA8AAAAAAAAAAQAgAAAAIgAAAGRycy9kb3ducmV2LnhtbFBLAQIUABQA&#10;AAAIAIdO4kChYO/uYQIAAMgEAAAOAAAAAAAAAAEAIAAAACgBAABkcnMvZTJvRG9jLnhtbFBLBQYA&#10;AAAABgAGAFkBAAD7BQAAAAA=&#10;">
                <v:fill on="t" focussize="0,0"/>
                <v:stroke weight="0.5pt" color="#000000" joinstyle="round"/>
                <v:imagedata o:title=""/>
                <o:lock v:ext="edit" aspectratio="f"/>
                <v:textbox>
                  <w:txbxContent>
                    <w:p w14:paraId="68FF0FBA">
                      <w:pPr>
                        <w:keepNext w:val="0"/>
                        <w:keepLines w:val="0"/>
                        <w:pageBreakBefore w:val="0"/>
                        <w:widowControl w:val="0"/>
                        <w:kinsoku/>
                        <w:wordWrap/>
                        <w:overflowPunct/>
                        <w:topLinePunct w:val="0"/>
                        <w:bidi w:val="0"/>
                        <w:adjustRightInd w:val="0"/>
                        <w:snapToGrid w:val="0"/>
                        <w:spacing w:line="360" w:lineRule="auto"/>
                        <w:jc w:val="center"/>
                        <w:textAlignment w:val="auto"/>
                        <w:rPr>
                          <w:rFonts w:hint="eastAsia"/>
                          <w:b w:val="0"/>
                          <w:bCs w:val="0"/>
                          <w:sz w:val="21"/>
                          <w:szCs w:val="21"/>
                          <w:lang w:val="en-US" w:eastAsia="zh-CN"/>
                        </w:rPr>
                      </w:pPr>
                      <w:r>
                        <w:rPr>
                          <w:rFonts w:hint="eastAsia"/>
                          <w:b w:val="0"/>
                          <w:bCs w:val="0"/>
                          <w:sz w:val="21"/>
                          <w:szCs w:val="21"/>
                          <w:lang w:val="en-US" w:eastAsia="zh-CN"/>
                        </w:rPr>
                        <w:t>图例</w:t>
                      </w:r>
                    </w:p>
                    <w:p w14:paraId="28520BB2">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项目位置</w:t>
                      </w:r>
                    </w:p>
                    <w:p w14:paraId="1D796A06">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eastAsia" w:cs="Times New Roman"/>
                          <w:b w:val="0"/>
                          <w:bCs w:val="0"/>
                          <w:kern w:val="2"/>
                          <w:sz w:val="21"/>
                          <w:szCs w:val="21"/>
                          <w:lang w:val="en-US" w:eastAsia="zh-CN" w:bidi="ar-SA"/>
                        </w:rPr>
                      </w:pPr>
                      <w:r>
                        <w:rPr>
                          <w:rFonts w:hint="eastAsia" w:cs="Times New Roman"/>
                          <w:b w:val="0"/>
                          <w:bCs w:val="0"/>
                          <w:kern w:val="2"/>
                          <w:sz w:val="21"/>
                          <w:szCs w:val="21"/>
                          <w:lang w:val="en-US" w:eastAsia="zh-CN" w:bidi="ar-SA"/>
                        </w:rPr>
                        <w:t>大气环境保护目标</w:t>
                      </w:r>
                    </w:p>
                    <w:p w14:paraId="7BB4B67C">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b w:val="0"/>
                          <w:bCs w:val="0"/>
                          <w:sz w:val="21"/>
                          <w:szCs w:val="21"/>
                          <w:lang w:val="en-US" w:eastAsia="zh-CN"/>
                        </w:rPr>
                      </w:pPr>
                      <w:r>
                        <w:rPr>
                          <w:rFonts w:hint="eastAsia" w:cs="Times New Roman"/>
                          <w:b w:val="0"/>
                          <w:bCs w:val="0"/>
                          <w:kern w:val="2"/>
                          <w:sz w:val="21"/>
                          <w:szCs w:val="21"/>
                          <w:lang w:val="en-US" w:eastAsia="zh-CN" w:bidi="ar-SA"/>
                        </w:rPr>
                        <w:t>大气环境保护范围</w:t>
                      </w:r>
                    </w:p>
                    <w:p w14:paraId="6DDE7E7B">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声环境保护范围</w:t>
                      </w:r>
                    </w:p>
                    <w:p w14:paraId="11B65C44">
                      <w:pPr>
                        <w:keepNext w:val="0"/>
                        <w:keepLines w:val="0"/>
                        <w:pageBreakBefore w:val="0"/>
                        <w:widowControl w:val="0"/>
                        <w:kinsoku/>
                        <w:wordWrap/>
                        <w:overflowPunct/>
                        <w:topLinePunct w:val="0"/>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比例尺：1:</w:t>
                      </w:r>
                      <w:r>
                        <w:rPr>
                          <w:rFonts w:hint="eastAsia" w:cs="Times New Roman"/>
                          <w:b w:val="0"/>
                          <w:bCs w:val="0"/>
                          <w:kern w:val="2"/>
                          <w:sz w:val="21"/>
                          <w:szCs w:val="21"/>
                          <w:lang w:val="en-US" w:eastAsia="zh-CN" w:bidi="ar-SA"/>
                        </w:rPr>
                        <w:t>9027</w:t>
                      </w:r>
                    </w:p>
                  </w:txbxContent>
                </v:textbox>
              </v:shape>
            </w:pict>
          </mc:Fallback>
        </mc:AlternateContent>
      </w:r>
      <w:r>
        <w:rPr>
          <w:color w:val="auto"/>
          <w:sz w:val="18"/>
          <w:highlight w:val="none"/>
        </w:rPr>
        <mc:AlternateContent>
          <mc:Choice Requires="wps">
            <w:drawing>
              <wp:anchor distT="0" distB="0" distL="114300" distR="114300" simplePos="0" relativeHeight="251687936" behindDoc="0" locked="0" layoutInCell="1" allowOverlap="1">
                <wp:simplePos x="0" y="0"/>
                <wp:positionH relativeFrom="column">
                  <wp:posOffset>1410970</wp:posOffset>
                </wp:positionH>
                <wp:positionV relativeFrom="paragraph">
                  <wp:posOffset>1774825</wp:posOffset>
                </wp:positionV>
                <wp:extent cx="695960" cy="352425"/>
                <wp:effectExtent l="0" t="0" r="0" b="0"/>
                <wp:wrapNone/>
                <wp:docPr id="38" name="文本框 38"/>
                <wp:cNvGraphicFramePr/>
                <a:graphic xmlns:a="http://schemas.openxmlformats.org/drawingml/2006/main">
                  <a:graphicData uri="http://schemas.microsoft.com/office/word/2010/wordprocessingShape">
                    <wps:wsp>
                      <wps:cNvSpPr txBox="1"/>
                      <wps:spPr>
                        <a:xfrm>
                          <a:off x="3522980" y="2628900"/>
                          <a:ext cx="695960" cy="352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26719A">
                            <w:pPr>
                              <w:jc w:val="center"/>
                              <w:rPr>
                                <w:rFonts w:hint="default" w:eastAsia="宋体"/>
                                <w:sz w:val="15"/>
                                <w:szCs w:val="15"/>
                                <w:lang w:val="en-US" w:eastAsia="zh-CN"/>
                              </w:rPr>
                            </w:pPr>
                            <w:r>
                              <w:rPr>
                                <w:rFonts w:hint="eastAsia"/>
                                <w:sz w:val="15"/>
                                <w:szCs w:val="15"/>
                                <w:lang w:val="en-US" w:eastAsia="zh-CN"/>
                              </w:rPr>
                              <w:t>大恒山街道370m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1pt;margin-top:139.75pt;height:27.75pt;width:54.8pt;z-index:251687936;mso-width-relative:page;mso-height-relative:page;" filled="f" stroked="f" coordsize="21600,21600" o:gfxdata="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5VjQJ2gAAAAsBAAAPAAAAAAAAAAEA&#10;IAAAACIAAABkcnMvZG93bnJldi54bWxQSwECFAAUAAAACACHTuJAmvOV/0YCAABzBAAADgAAAAAA&#10;AAABACAAAAApAQAAZHJzL2Uyb0RvYy54bWxQSwUGAAAAAAYABgBZAQAA4QUAAAAA&#10;">
                <v:fill on="f" focussize="0,0"/>
                <v:stroke on="f" weight="0.5pt"/>
                <v:imagedata o:title=""/>
                <o:lock v:ext="edit" aspectratio="f"/>
                <v:textbox>
                  <w:txbxContent>
                    <w:p w14:paraId="6426719A">
                      <w:pPr>
                        <w:jc w:val="center"/>
                        <w:rPr>
                          <w:rFonts w:hint="default" w:eastAsia="宋体"/>
                          <w:sz w:val="15"/>
                          <w:szCs w:val="15"/>
                          <w:lang w:val="en-US" w:eastAsia="zh-CN"/>
                        </w:rPr>
                      </w:pPr>
                      <w:r>
                        <w:rPr>
                          <w:rFonts w:hint="eastAsia"/>
                          <w:sz w:val="15"/>
                          <w:szCs w:val="15"/>
                          <w:lang w:val="en-US" w:eastAsia="zh-CN"/>
                        </w:rPr>
                        <w:t>大恒山街道370m</w:t>
                      </w:r>
                    </w:p>
                  </w:txbxContent>
                </v:textbox>
              </v:shape>
            </w:pict>
          </mc:Fallback>
        </mc:AlternateContent>
      </w:r>
      <w:r>
        <w:rPr>
          <w:color w:val="auto"/>
          <w:sz w:val="18"/>
          <w:highlight w:val="none"/>
        </w:rPr>
        <mc:AlternateContent>
          <mc:Choice Requires="wps">
            <w:drawing>
              <wp:anchor distT="0" distB="0" distL="114300" distR="114300" simplePos="0" relativeHeight="251688960" behindDoc="0" locked="0" layoutInCell="1" allowOverlap="1">
                <wp:simplePos x="0" y="0"/>
                <wp:positionH relativeFrom="column">
                  <wp:posOffset>1370965</wp:posOffset>
                </wp:positionH>
                <wp:positionV relativeFrom="paragraph">
                  <wp:posOffset>2424430</wp:posOffset>
                </wp:positionV>
                <wp:extent cx="730885" cy="32702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730885" cy="3270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DAEAB4">
                            <w:pPr>
                              <w:jc w:val="center"/>
                              <w:rPr>
                                <w:rFonts w:hint="default" w:eastAsia="宋体"/>
                                <w:sz w:val="15"/>
                                <w:szCs w:val="15"/>
                                <w:lang w:val="en-US" w:eastAsia="zh-CN"/>
                              </w:rPr>
                            </w:pPr>
                            <w:r>
                              <w:rPr>
                                <w:rFonts w:hint="eastAsia"/>
                                <w:sz w:val="15"/>
                                <w:szCs w:val="15"/>
                                <w:lang w:val="en-US" w:eastAsia="zh-CN"/>
                              </w:rPr>
                              <w:t>大恒山街道390m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95pt;margin-top:190.9pt;height:25.75pt;width:57.55pt;z-index:251688960;mso-width-relative:page;mso-height-relative:page;" filled="f" stroked="f" coordsize="21600,21600" o:gfxdata="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YDOgzbAAAACwEAAA8AAAAAAAAAAQAgAAAAIgAAAGRy&#10;cy9kb3ducmV2LnhtbFBLAQIUABQAAAAIAIdO4kDTvvzOOwIAAGcEAAAOAAAAAAAAAAEAIAAAACoB&#10;AABkcnMvZTJvRG9jLnhtbFBLBQYAAAAABgAGAFkBAADXBQAAAAA=&#10;">
                <v:fill on="f" focussize="0,0"/>
                <v:stroke on="f" weight="0.5pt"/>
                <v:imagedata o:title=""/>
                <o:lock v:ext="edit" aspectratio="f"/>
                <v:textbox>
                  <w:txbxContent>
                    <w:p w14:paraId="2FDAEAB4">
                      <w:pPr>
                        <w:jc w:val="center"/>
                        <w:rPr>
                          <w:rFonts w:hint="default" w:eastAsia="宋体"/>
                          <w:sz w:val="15"/>
                          <w:szCs w:val="15"/>
                          <w:lang w:val="en-US" w:eastAsia="zh-CN"/>
                        </w:rPr>
                      </w:pPr>
                      <w:r>
                        <w:rPr>
                          <w:rFonts w:hint="eastAsia"/>
                          <w:sz w:val="15"/>
                          <w:szCs w:val="15"/>
                          <w:lang w:val="en-US" w:eastAsia="zh-CN"/>
                        </w:rPr>
                        <w:t>大恒山街道390m</w:t>
                      </w:r>
                    </w:p>
                  </w:txbxContent>
                </v:textbox>
              </v:shape>
            </w:pict>
          </mc:Fallback>
        </mc:AlternateContent>
      </w:r>
      <w:r>
        <w:rPr>
          <w:color w:val="auto"/>
          <w:sz w:val="18"/>
          <w:highlight w:val="none"/>
        </w:rPr>
        <mc:AlternateContent>
          <mc:Choice Requires="wps">
            <w:drawing>
              <wp:anchor distT="0" distB="0" distL="114300" distR="114300" simplePos="0" relativeHeight="251689984" behindDoc="0" locked="0" layoutInCell="1" allowOverlap="1">
                <wp:simplePos x="0" y="0"/>
                <wp:positionH relativeFrom="column">
                  <wp:posOffset>2672715</wp:posOffset>
                </wp:positionH>
                <wp:positionV relativeFrom="paragraph">
                  <wp:posOffset>3114040</wp:posOffset>
                </wp:positionV>
                <wp:extent cx="610870" cy="31432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61087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122C7">
                            <w:pPr>
                              <w:jc w:val="center"/>
                              <w:rPr>
                                <w:rFonts w:hint="default" w:eastAsia="宋体"/>
                                <w:sz w:val="15"/>
                                <w:szCs w:val="15"/>
                                <w:lang w:val="en-US" w:eastAsia="zh-CN"/>
                              </w:rPr>
                            </w:pPr>
                            <w:r>
                              <w:rPr>
                                <w:rFonts w:hint="eastAsia" w:eastAsia="宋体"/>
                                <w:sz w:val="15"/>
                                <w:szCs w:val="15"/>
                                <w:lang w:val="en-US" w:eastAsia="zh-CN"/>
                              </w:rPr>
                              <w:t>义安村170m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45pt;margin-top:245.2pt;height:24.75pt;width:48.1pt;z-index:251689984;mso-width-relative:page;mso-height-relative:page;" filled="f" stroked="f" coordsize="21600,21600" o:gfxdata="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&#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QJKw2wAAAAsBAAAPAAAAAAAAAAEAIAAAACIAAABk&#10;cnMvZG93bnJldi54bWxQSwECFAAUAAAACACHTuJAMOfFdjwCAABnBAAADgAAAAAAAAABACAAAAAq&#10;AQAAZHJzL2Uyb0RvYy54bWxQSwUGAAAAAAYABgBZAQAA2AUAAAAA&#10;">
                <v:fill on="f" focussize="0,0"/>
                <v:stroke on="f" weight="0.5pt"/>
                <v:imagedata o:title=""/>
                <o:lock v:ext="edit" aspectratio="f"/>
                <v:textbox>
                  <w:txbxContent>
                    <w:p w14:paraId="7E6122C7">
                      <w:pPr>
                        <w:jc w:val="center"/>
                        <w:rPr>
                          <w:rFonts w:hint="default" w:eastAsia="宋体"/>
                          <w:sz w:val="15"/>
                          <w:szCs w:val="15"/>
                          <w:lang w:val="en-US" w:eastAsia="zh-CN"/>
                        </w:rPr>
                      </w:pPr>
                      <w:r>
                        <w:rPr>
                          <w:rFonts w:hint="eastAsia" w:eastAsia="宋体"/>
                          <w:sz w:val="15"/>
                          <w:szCs w:val="15"/>
                          <w:lang w:val="en-US" w:eastAsia="zh-CN"/>
                        </w:rPr>
                        <w:t>义安村170m</w:t>
                      </w:r>
                    </w:p>
                  </w:txbxContent>
                </v:textbox>
              </v:shape>
            </w:pict>
          </mc:Fallback>
        </mc:AlternateContent>
      </w:r>
      <w:r>
        <w:rPr>
          <w:color w:val="auto"/>
          <w:sz w:val="18"/>
          <w:highlight w:val="none"/>
        </w:rPr>
        <mc:AlternateContent>
          <mc:Choice Requires="wps">
            <w:drawing>
              <wp:anchor distT="0" distB="0" distL="114300" distR="114300" simplePos="0" relativeHeight="251692032" behindDoc="0" locked="0" layoutInCell="1" allowOverlap="1">
                <wp:simplePos x="0" y="0"/>
                <wp:positionH relativeFrom="column">
                  <wp:posOffset>5020310</wp:posOffset>
                </wp:positionH>
                <wp:positionV relativeFrom="paragraph">
                  <wp:posOffset>1750695</wp:posOffset>
                </wp:positionV>
                <wp:extent cx="610870" cy="31432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61087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ED72D">
                            <w:pPr>
                              <w:jc w:val="center"/>
                              <w:rPr>
                                <w:rFonts w:hint="default" w:eastAsia="宋体"/>
                                <w:sz w:val="15"/>
                                <w:szCs w:val="15"/>
                                <w:lang w:val="en-US" w:eastAsia="zh-CN"/>
                              </w:rPr>
                            </w:pPr>
                            <w:r>
                              <w:rPr>
                                <w:rFonts w:hint="eastAsia" w:eastAsia="宋体"/>
                                <w:sz w:val="15"/>
                                <w:szCs w:val="15"/>
                                <w:lang w:val="en-US" w:eastAsia="zh-CN"/>
                              </w:rPr>
                              <w:t>义安村200m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3pt;margin-top:137.85pt;height:24.75pt;width:48.1pt;z-index:251692032;mso-width-relative:page;mso-height-relative:page;" filled="f" stroked="f" coordsize="21600,21600" o:gfxdata="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QOeZ9wAAAALAQAADwAAAAAAAAABACAAAAAiAAAA&#10;ZHJzL2Rvd25yZXYueG1sUEsBAhQAFAAAAAgAh07iQNoWKmM8AgAAZwQAAA4AAAAAAAAAAQAgAAAA&#10;KwEAAGRycy9lMm9Eb2MueG1sUEsFBgAAAAAGAAYAWQEAANkFAAAAAA==&#10;">
                <v:fill on="f" focussize="0,0"/>
                <v:stroke on="f" weight="0.5pt"/>
                <v:imagedata o:title=""/>
                <o:lock v:ext="edit" aspectratio="f"/>
                <v:textbox>
                  <w:txbxContent>
                    <w:p w14:paraId="325ED72D">
                      <w:pPr>
                        <w:jc w:val="center"/>
                        <w:rPr>
                          <w:rFonts w:hint="default" w:eastAsia="宋体"/>
                          <w:sz w:val="15"/>
                          <w:szCs w:val="15"/>
                          <w:lang w:val="en-US" w:eastAsia="zh-CN"/>
                        </w:rPr>
                      </w:pPr>
                      <w:r>
                        <w:rPr>
                          <w:rFonts w:hint="eastAsia" w:eastAsia="宋体"/>
                          <w:sz w:val="15"/>
                          <w:szCs w:val="15"/>
                          <w:lang w:val="en-US" w:eastAsia="zh-CN"/>
                        </w:rPr>
                        <w:t>义安村200m</w:t>
                      </w:r>
                    </w:p>
                  </w:txbxContent>
                </v:textbox>
              </v:shape>
            </w:pict>
          </mc:Fallback>
        </mc:AlternateContent>
      </w:r>
      <w:r>
        <w:rPr>
          <w:color w:val="auto"/>
          <w:sz w:val="18"/>
          <w:highlight w:val="none"/>
        </w:rPr>
        <mc:AlternateContent>
          <mc:Choice Requires="wps">
            <w:drawing>
              <wp:anchor distT="0" distB="0" distL="114300" distR="114300" simplePos="0" relativeHeight="251691008" behindDoc="0" locked="0" layoutInCell="1" allowOverlap="1">
                <wp:simplePos x="0" y="0"/>
                <wp:positionH relativeFrom="column">
                  <wp:posOffset>3204845</wp:posOffset>
                </wp:positionH>
                <wp:positionV relativeFrom="paragraph">
                  <wp:posOffset>1799590</wp:posOffset>
                </wp:positionV>
                <wp:extent cx="610870" cy="31432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61087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3E3598">
                            <w:pPr>
                              <w:jc w:val="center"/>
                              <w:rPr>
                                <w:rFonts w:hint="default" w:eastAsia="宋体"/>
                                <w:sz w:val="15"/>
                                <w:szCs w:val="15"/>
                                <w:lang w:val="en-US" w:eastAsia="zh-CN"/>
                              </w:rPr>
                            </w:pPr>
                            <w:r>
                              <w:rPr>
                                <w:rFonts w:hint="eastAsia" w:eastAsia="宋体"/>
                                <w:sz w:val="15"/>
                                <w:szCs w:val="15"/>
                                <w:lang w:val="en-US" w:eastAsia="zh-CN"/>
                              </w:rPr>
                              <w:t>义安村</w:t>
                            </w:r>
                            <w:r>
                              <w:rPr>
                                <w:rFonts w:hint="eastAsia"/>
                                <w:sz w:val="15"/>
                                <w:szCs w:val="15"/>
                                <w:lang w:val="en-US" w:eastAsia="zh-CN"/>
                              </w:rPr>
                              <w:t>55</w:t>
                            </w:r>
                            <w:r>
                              <w:rPr>
                                <w:rFonts w:hint="eastAsia" w:eastAsia="宋体"/>
                                <w:sz w:val="15"/>
                                <w:szCs w:val="15"/>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35pt;margin-top:141.7pt;height:24.75pt;width:48.1pt;z-index:251691008;mso-width-relative:page;mso-height-relative:page;" filled="f" stroked="f" coordsize="21600,21600" o:gfxdata="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&#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iCTG/dAAAACwEAAA8AAAAAAAAAAQAgAAAAIgAA&#10;AGRycy9kb3ducmV2LnhtbFBLAQIUABQAAAAIAIdO4kBqmAaePAIAAGcEAAAOAAAAAAAAAAEAIAAA&#10;ACwBAABkcnMvZTJvRG9jLnhtbFBLBQYAAAAABgAGAFkBAADaBQAAAAA=&#10;">
                <v:fill on="f" focussize="0,0"/>
                <v:stroke on="f" weight="0.5pt"/>
                <v:imagedata o:title=""/>
                <o:lock v:ext="edit" aspectratio="f"/>
                <v:textbox>
                  <w:txbxContent>
                    <w:p w14:paraId="033E3598">
                      <w:pPr>
                        <w:jc w:val="center"/>
                        <w:rPr>
                          <w:rFonts w:hint="default" w:eastAsia="宋体"/>
                          <w:sz w:val="15"/>
                          <w:szCs w:val="15"/>
                          <w:lang w:val="en-US" w:eastAsia="zh-CN"/>
                        </w:rPr>
                      </w:pPr>
                      <w:r>
                        <w:rPr>
                          <w:rFonts w:hint="eastAsia" w:eastAsia="宋体"/>
                          <w:sz w:val="15"/>
                          <w:szCs w:val="15"/>
                          <w:lang w:val="en-US" w:eastAsia="zh-CN"/>
                        </w:rPr>
                        <w:t>义安村</w:t>
                      </w:r>
                      <w:r>
                        <w:rPr>
                          <w:rFonts w:hint="eastAsia"/>
                          <w:sz w:val="15"/>
                          <w:szCs w:val="15"/>
                          <w:lang w:val="en-US" w:eastAsia="zh-CN"/>
                        </w:rPr>
                        <w:t>55</w:t>
                      </w:r>
                      <w:r>
                        <w:rPr>
                          <w:rFonts w:hint="eastAsia" w:eastAsia="宋体"/>
                          <w:sz w:val="15"/>
                          <w:szCs w:val="15"/>
                          <w:lang w:val="en-US" w:eastAsia="zh-CN"/>
                        </w:rPr>
                        <w:t>m</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69504" behindDoc="0" locked="0" layoutInCell="1" allowOverlap="1">
            <wp:simplePos x="0" y="0"/>
            <wp:positionH relativeFrom="column">
              <wp:posOffset>7798435</wp:posOffset>
            </wp:positionH>
            <wp:positionV relativeFrom="paragraph">
              <wp:posOffset>15240</wp:posOffset>
            </wp:positionV>
            <wp:extent cx="721360" cy="711835"/>
            <wp:effectExtent l="0" t="0" r="2540" b="12065"/>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0"/>
                    <a:stretch>
                      <a:fillRect/>
                    </a:stretch>
                  </pic:blipFill>
                  <pic:spPr>
                    <a:xfrm>
                      <a:off x="0" y="0"/>
                      <a:ext cx="721360" cy="711835"/>
                    </a:xfrm>
                    <a:prstGeom prst="rect">
                      <a:avLst/>
                    </a:prstGeom>
                    <a:noFill/>
                    <a:ln>
                      <a:noFill/>
                    </a:ln>
                  </pic:spPr>
                </pic:pic>
              </a:graphicData>
            </a:graphic>
          </wp:anchor>
        </w:drawing>
      </w:r>
      <w:bookmarkStart w:id="70" w:name="_Toc13064"/>
      <w:bookmarkStart w:id="71" w:name="_Toc528"/>
      <w:bookmarkStart w:id="72" w:name="_Toc26078"/>
      <w:bookmarkStart w:id="73" w:name="_Toc19259"/>
      <w:r>
        <w:rPr>
          <w:color w:val="auto"/>
          <w:highlight w:val="none"/>
        </w:rPr>
        <w:drawing>
          <wp:inline distT="0" distB="0" distL="114300" distR="114300">
            <wp:extent cx="8521065" cy="5161280"/>
            <wp:effectExtent l="0" t="0" r="13335" b="127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5"/>
                    <a:stretch>
                      <a:fillRect/>
                    </a:stretch>
                  </pic:blipFill>
                  <pic:spPr>
                    <a:xfrm>
                      <a:off x="0" y="0"/>
                      <a:ext cx="8521065" cy="5161280"/>
                    </a:xfrm>
                    <a:prstGeom prst="rect">
                      <a:avLst/>
                    </a:prstGeom>
                    <a:noFill/>
                    <a:ln>
                      <a:noFill/>
                    </a:ln>
                  </pic:spPr>
                </pic:pic>
              </a:graphicData>
            </a:graphic>
          </wp:inline>
        </w:drawing>
      </w:r>
    </w:p>
    <w:p w14:paraId="4BE6683D">
      <w:pPr>
        <w:spacing w:after="120" w:afterLines="50"/>
        <w:jc w:val="center"/>
        <w:outlineLvl w:val="9"/>
        <w:rPr>
          <w:rFonts w:hint="default" w:ascii="Times New Roman" w:hAnsi="Times New Roman" w:cs="Times New Roman"/>
          <w:color w:val="auto"/>
          <w:sz w:val="21"/>
          <w:highlight w:val="none"/>
        </w:rPr>
      </w:pPr>
      <w:r>
        <w:rPr>
          <w:rFonts w:hint="eastAsia" w:ascii="宋体" w:hAnsi="宋体" w:eastAsia="宋体" w:cs="宋体"/>
          <w:b/>
          <w:bCs w:val="0"/>
          <w:color w:val="auto"/>
          <w:sz w:val="28"/>
          <w:szCs w:val="28"/>
          <w:highlight w:val="none"/>
        </w:rPr>
        <w:t>附图</w:t>
      </w:r>
      <w:r>
        <w:rPr>
          <w:rFonts w:hint="default" w:ascii="Times New Roman" w:hAnsi="Times New Roman" w:eastAsia="黑体" w:cs="Times New Roman"/>
          <w:b/>
          <w:bCs w:val="0"/>
          <w:color w:val="auto"/>
          <w:sz w:val="28"/>
          <w:szCs w:val="28"/>
          <w:highlight w:val="none"/>
          <w:lang w:val="en-US" w:eastAsia="zh-CN"/>
        </w:rPr>
        <w:t>4</w:t>
      </w:r>
      <w:bookmarkEnd w:id="68"/>
      <w:bookmarkEnd w:id="69"/>
      <w:r>
        <w:rPr>
          <w:rFonts w:hint="eastAsia" w:ascii="宋体" w:hAnsi="宋体" w:eastAsia="宋体" w:cs="宋体"/>
          <w:b/>
          <w:bCs w:val="0"/>
          <w:color w:val="auto"/>
          <w:sz w:val="28"/>
          <w:szCs w:val="28"/>
          <w:highlight w:val="none"/>
          <w:lang w:val="en-US" w:eastAsia="zh-CN"/>
        </w:rPr>
        <w:t>大气环境保护目标图</w:t>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-5499735</wp:posOffset>
                </wp:positionH>
                <wp:positionV relativeFrom="paragraph">
                  <wp:posOffset>5093970</wp:posOffset>
                </wp:positionV>
                <wp:extent cx="3177540" cy="79375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3177540" cy="793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AC462F">
                            <w:pPr>
                              <w:pStyle w:val="7"/>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3.05pt;margin-top:401.1pt;height:62.5pt;width:250.2pt;z-index:251667456;mso-width-relative:page;mso-height-relative:page;" filled="f" stroked="f" coordsize="21600,21600" o:gfxdata="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gFf/neAAAADQEAAA8AAAAAAAAAAQAgAAAAIgAA&#10;AGRycy9kb3ducmV2LnhtbFBLAQIUABQAAAAIAIdO4kD+ARCXOwIAAGgEAAAOAAAAAAAAAAEAIAAA&#10;AC0BAABkcnMvZTJvRG9jLnhtbFBLBQYAAAAABgAGAFkBAADaBQAAAAA=&#10;">
                <v:fill on="f" focussize="0,0"/>
                <v:stroke on="f" weight="0.5pt"/>
                <v:imagedata o:title=""/>
                <o:lock v:ext="edit" aspectratio="f"/>
                <v:textbox>
                  <w:txbxContent>
                    <w:p w14:paraId="58AC462F">
                      <w:pPr>
                        <w:pStyle w:val="7"/>
                        <w:ind w:left="0" w:leftChars="0" w:firstLine="0" w:firstLineChars="0"/>
                        <w:jc w:val="center"/>
                        <w:outlineLvl w:val="0"/>
                      </w:pPr>
                      <w:r>
                        <w:rPr>
                          <w:rFonts w:hint="default" w:ascii="Times New Roman" w:hAnsi="Times New Roman" w:eastAsia="黑体" w:cs="Times New Roman"/>
                          <w:snapToGrid w:val="0"/>
                          <w:color w:val="auto"/>
                          <w:kern w:val="0"/>
                          <w:sz w:val="28"/>
                          <w:szCs w:val="28"/>
                          <w:lang w:val="en-US" w:eastAsia="zh-CN" w:bidi="ar-SA"/>
                        </w:rPr>
                        <w:t xml:space="preserve">附图2 </w:t>
                      </w:r>
                      <w:r>
                        <w:rPr>
                          <w:rFonts w:hint="eastAsia" w:ascii="Times New Roman" w:hAnsi="Times New Roman" w:eastAsia="黑体" w:cs="Times New Roman"/>
                          <w:snapToGrid w:val="0"/>
                          <w:color w:val="auto"/>
                          <w:kern w:val="0"/>
                          <w:sz w:val="28"/>
                          <w:szCs w:val="28"/>
                          <w:lang w:val="en-US" w:eastAsia="zh-CN" w:bidi="ar-SA"/>
                        </w:rPr>
                        <w:t>鸡西市</w:t>
                      </w:r>
                      <w:r>
                        <w:rPr>
                          <w:rFonts w:hint="default" w:ascii="Times New Roman" w:hAnsi="Times New Roman" w:eastAsia="黑体" w:cs="Times New Roman"/>
                          <w:snapToGrid w:val="0"/>
                          <w:color w:val="auto"/>
                          <w:kern w:val="0"/>
                          <w:sz w:val="28"/>
                          <w:szCs w:val="28"/>
                          <w:lang w:val="en-US" w:eastAsia="zh-CN" w:bidi="ar-SA"/>
                        </w:rPr>
                        <w:t>环境管控单元</w:t>
                      </w:r>
                      <w:r>
                        <w:rPr>
                          <w:rFonts w:hint="eastAsia" w:ascii="Times New Roman" w:hAnsi="Times New Roman" w:eastAsia="黑体" w:cs="Times New Roman"/>
                          <w:snapToGrid w:val="0"/>
                          <w:color w:val="auto"/>
                          <w:kern w:val="0"/>
                          <w:sz w:val="28"/>
                          <w:szCs w:val="28"/>
                          <w:lang w:val="en-US" w:eastAsia="zh-CN" w:bidi="ar-SA"/>
                        </w:rPr>
                        <w:t>图</w:t>
                      </w:r>
                    </w:p>
                  </w:txbxContent>
                </v:textbox>
              </v:shape>
            </w:pict>
          </mc:Fallback>
        </mc:AlternateContent>
      </w:r>
      <w:bookmarkEnd w:id="70"/>
      <w:bookmarkEnd w:id="71"/>
      <w:bookmarkEnd w:id="72"/>
      <w:bookmarkEnd w:id="73"/>
    </w:p>
    <w:p w14:paraId="5B4391E8">
      <w:pPr>
        <w:jc w:val="center"/>
        <w:rPr>
          <w:rFonts w:hint="default" w:ascii="Times New Roman" w:hAnsi="Times New Roman" w:cs="Times New Roman"/>
          <w:color w:val="auto"/>
          <w:highlight w:val="none"/>
        </w:rPr>
      </w:pPr>
    </w:p>
    <w:tbl>
      <w:tblPr>
        <w:tblStyle w:val="25"/>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2"/>
        <w:gridCol w:w="6394"/>
      </w:tblGrid>
      <w:tr w14:paraId="4BDDF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1" w:hRule="atLeast"/>
          <w:jc w:val="center"/>
        </w:trPr>
        <w:tc>
          <w:tcPr>
            <w:tcW w:w="2505" w:type="pct"/>
            <w:noWrap w:val="0"/>
            <w:vAlign w:val="center"/>
          </w:tcPr>
          <w:p w14:paraId="0C4D5C8B">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40175" cy="2759075"/>
                  <wp:effectExtent l="0" t="0" r="3175" b="3175"/>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36"/>
                          <a:stretch>
                            <a:fillRect/>
                          </a:stretch>
                        </pic:blipFill>
                        <pic:spPr>
                          <a:xfrm>
                            <a:off x="0" y="0"/>
                            <a:ext cx="3940175" cy="2759075"/>
                          </a:xfrm>
                          <a:prstGeom prst="rect">
                            <a:avLst/>
                          </a:prstGeom>
                          <a:noFill/>
                          <a:ln>
                            <a:noFill/>
                          </a:ln>
                        </pic:spPr>
                      </pic:pic>
                    </a:graphicData>
                  </a:graphic>
                </wp:inline>
              </w:drawing>
            </w:r>
          </w:p>
        </w:tc>
        <w:tc>
          <w:tcPr>
            <w:tcW w:w="2494" w:type="pct"/>
            <w:noWrap w:val="0"/>
            <w:vAlign w:val="center"/>
          </w:tcPr>
          <w:p w14:paraId="363AD8D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92245" cy="2654935"/>
                  <wp:effectExtent l="0" t="0" r="8255" b="12065"/>
                  <wp:docPr id="54" name="图片 14"/>
                  <wp:cNvGraphicFramePr/>
                  <a:graphic xmlns:a="http://schemas.openxmlformats.org/drawingml/2006/main">
                    <a:graphicData uri="http://schemas.openxmlformats.org/drawingml/2006/picture">
                      <pic:pic xmlns:pic="http://schemas.openxmlformats.org/drawingml/2006/picture">
                        <pic:nvPicPr>
                          <pic:cNvPr id="54" name="图片 14"/>
                          <pic:cNvPicPr/>
                        </pic:nvPicPr>
                        <pic:blipFill>
                          <a:blip r:embed="rId37"/>
                          <a:stretch>
                            <a:fillRect/>
                          </a:stretch>
                        </pic:blipFill>
                        <pic:spPr>
                          <a:xfrm>
                            <a:off x="0" y="0"/>
                            <a:ext cx="3992245" cy="2654935"/>
                          </a:xfrm>
                          <a:prstGeom prst="rect">
                            <a:avLst/>
                          </a:prstGeom>
                          <a:noFill/>
                          <a:ln>
                            <a:noFill/>
                          </a:ln>
                        </pic:spPr>
                      </pic:pic>
                    </a:graphicData>
                  </a:graphic>
                </wp:inline>
              </w:drawing>
            </w:r>
          </w:p>
        </w:tc>
      </w:tr>
      <w:tr w14:paraId="215B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FD6968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rFonts w:hint="default" w:ascii="Times New Roman" w:hAnsi="Times New Roman" w:eastAsia="宋体" w:cs="Times New Roman"/>
                <w:color w:val="auto"/>
                <w:spacing w:val="0"/>
                <w:kern w:val="2"/>
                <w:sz w:val="21"/>
                <w:szCs w:val="24"/>
                <w:highlight w:val="none"/>
                <w:vertAlign w:val="baseline"/>
                <w:lang w:val="en-US" w:eastAsia="zh-CN" w:bidi="ar-SA"/>
              </w:rPr>
              <w:t>项目</w:t>
            </w:r>
            <w:r>
              <w:rPr>
                <w:rFonts w:hint="default" w:ascii="Times New Roman" w:hAnsi="Times New Roman" w:cs="Times New Roman"/>
                <w:color w:val="auto"/>
                <w:spacing w:val="0"/>
                <w:kern w:val="2"/>
                <w:sz w:val="21"/>
                <w:szCs w:val="24"/>
                <w:highlight w:val="none"/>
                <w:vertAlign w:val="baseline"/>
                <w:lang w:val="en-US" w:eastAsia="zh-CN" w:bidi="ar-SA"/>
              </w:rPr>
              <w:t>东</w:t>
            </w:r>
            <w:r>
              <w:rPr>
                <w:rFonts w:hint="default" w:ascii="Times New Roman" w:hAnsi="Times New Roman" w:eastAsia="宋体" w:cs="Times New Roman"/>
                <w:color w:val="auto"/>
                <w:spacing w:val="0"/>
                <w:kern w:val="2"/>
                <w:sz w:val="21"/>
                <w:szCs w:val="24"/>
                <w:highlight w:val="none"/>
                <w:vertAlign w:val="baseline"/>
                <w:lang w:val="en-US" w:eastAsia="zh-CN" w:bidi="ar-SA"/>
              </w:rPr>
              <w:t>侧</w:t>
            </w:r>
          </w:p>
        </w:tc>
        <w:tc>
          <w:tcPr>
            <w:tcW w:w="2494" w:type="pct"/>
            <w:noWrap w:val="0"/>
            <w:vAlign w:val="center"/>
          </w:tcPr>
          <w:p w14:paraId="0865816B">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rFonts w:hint="default" w:ascii="Times New Roman" w:hAnsi="Times New Roman" w:eastAsia="宋体" w:cs="Times New Roman"/>
                <w:color w:val="auto"/>
                <w:spacing w:val="0"/>
                <w:kern w:val="2"/>
                <w:sz w:val="21"/>
                <w:szCs w:val="24"/>
                <w:highlight w:val="none"/>
                <w:vertAlign w:val="baseline"/>
                <w:lang w:val="en-US" w:eastAsia="zh-CN" w:bidi="ar-SA"/>
              </w:rPr>
              <w:t>项目</w:t>
            </w:r>
            <w:r>
              <w:rPr>
                <w:rFonts w:hint="default" w:ascii="Times New Roman" w:hAnsi="Times New Roman" w:cs="Times New Roman"/>
                <w:color w:val="auto"/>
                <w:spacing w:val="0"/>
                <w:kern w:val="2"/>
                <w:sz w:val="21"/>
                <w:szCs w:val="24"/>
                <w:highlight w:val="none"/>
                <w:vertAlign w:val="baseline"/>
                <w:lang w:val="en-US" w:eastAsia="zh-CN" w:bidi="ar-SA"/>
              </w:rPr>
              <w:t>南</w:t>
            </w:r>
            <w:r>
              <w:rPr>
                <w:rFonts w:hint="default" w:ascii="Times New Roman" w:hAnsi="Times New Roman" w:eastAsia="宋体" w:cs="Times New Roman"/>
                <w:color w:val="auto"/>
                <w:spacing w:val="0"/>
                <w:kern w:val="2"/>
                <w:sz w:val="21"/>
                <w:szCs w:val="24"/>
                <w:highlight w:val="none"/>
                <w:vertAlign w:val="baseline"/>
                <w:lang w:val="en-US" w:eastAsia="zh-CN" w:bidi="ar-SA"/>
              </w:rPr>
              <w:t>侧</w:t>
            </w:r>
          </w:p>
        </w:tc>
      </w:tr>
      <w:tr w14:paraId="54ED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0"/>
            <w:vAlign w:val="center"/>
          </w:tcPr>
          <w:p w14:paraId="5A83765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38905" cy="1989455"/>
                  <wp:effectExtent l="0" t="0" r="4445" b="10795"/>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38"/>
                          <a:stretch>
                            <a:fillRect/>
                          </a:stretch>
                        </pic:blipFill>
                        <pic:spPr>
                          <a:xfrm>
                            <a:off x="0" y="0"/>
                            <a:ext cx="3938905" cy="1989455"/>
                          </a:xfrm>
                          <a:prstGeom prst="rect">
                            <a:avLst/>
                          </a:prstGeom>
                          <a:noFill/>
                          <a:ln>
                            <a:noFill/>
                          </a:ln>
                        </pic:spPr>
                      </pic:pic>
                    </a:graphicData>
                  </a:graphic>
                </wp:inline>
              </w:drawing>
            </w:r>
          </w:p>
        </w:tc>
        <w:tc>
          <w:tcPr>
            <w:tcW w:w="2494" w:type="pct"/>
            <w:noWrap w:val="0"/>
            <w:vAlign w:val="center"/>
          </w:tcPr>
          <w:p w14:paraId="2781E7A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color w:val="auto"/>
                <w:highlight w:val="none"/>
              </w:rPr>
              <w:drawing>
                <wp:inline distT="0" distB="0" distL="114300" distR="114300">
                  <wp:extent cx="3909060" cy="1941195"/>
                  <wp:effectExtent l="0" t="0" r="15240" b="1905"/>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39"/>
                          <a:stretch>
                            <a:fillRect/>
                          </a:stretch>
                        </pic:blipFill>
                        <pic:spPr>
                          <a:xfrm>
                            <a:off x="0" y="0"/>
                            <a:ext cx="3909060" cy="1941195"/>
                          </a:xfrm>
                          <a:prstGeom prst="rect">
                            <a:avLst/>
                          </a:prstGeom>
                          <a:noFill/>
                          <a:ln>
                            <a:noFill/>
                          </a:ln>
                        </pic:spPr>
                      </pic:pic>
                    </a:graphicData>
                  </a:graphic>
                </wp:inline>
              </w:drawing>
            </w:r>
          </w:p>
        </w:tc>
      </w:tr>
      <w:tr w14:paraId="5A5CD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505" w:type="pct"/>
            <w:noWrap w:val="0"/>
            <w:vAlign w:val="center"/>
          </w:tcPr>
          <w:p w14:paraId="202B714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rFonts w:hint="default" w:ascii="Times New Roman" w:hAnsi="Times New Roman" w:eastAsia="宋体" w:cs="Times New Roman"/>
                <w:color w:val="auto"/>
                <w:spacing w:val="0"/>
                <w:kern w:val="2"/>
                <w:sz w:val="21"/>
                <w:szCs w:val="24"/>
                <w:highlight w:val="none"/>
                <w:vertAlign w:val="baseline"/>
                <w:lang w:val="en-US" w:eastAsia="zh-CN" w:bidi="ar-SA"/>
              </w:rPr>
              <w:t>项目</w:t>
            </w:r>
            <w:r>
              <w:rPr>
                <w:rFonts w:hint="default" w:ascii="Times New Roman" w:hAnsi="Times New Roman" w:cs="Times New Roman"/>
                <w:color w:val="auto"/>
                <w:spacing w:val="0"/>
                <w:kern w:val="2"/>
                <w:sz w:val="21"/>
                <w:szCs w:val="24"/>
                <w:highlight w:val="none"/>
                <w:vertAlign w:val="baseline"/>
                <w:lang w:val="en-US" w:eastAsia="zh-CN" w:bidi="ar-SA"/>
              </w:rPr>
              <w:t>西</w:t>
            </w:r>
            <w:r>
              <w:rPr>
                <w:rFonts w:hint="default" w:ascii="Times New Roman" w:hAnsi="Times New Roman" w:eastAsia="宋体" w:cs="Times New Roman"/>
                <w:color w:val="auto"/>
                <w:spacing w:val="0"/>
                <w:kern w:val="2"/>
                <w:sz w:val="21"/>
                <w:szCs w:val="24"/>
                <w:highlight w:val="none"/>
                <w:vertAlign w:val="baseline"/>
                <w:lang w:val="en-US" w:eastAsia="zh-CN" w:bidi="ar-SA"/>
              </w:rPr>
              <w:t>侧</w:t>
            </w:r>
          </w:p>
        </w:tc>
        <w:tc>
          <w:tcPr>
            <w:tcW w:w="2494" w:type="pct"/>
            <w:noWrap w:val="0"/>
            <w:vAlign w:val="center"/>
          </w:tcPr>
          <w:p w14:paraId="20413622">
            <w:pPr>
              <w:keepNext w:val="0"/>
              <w:keepLines w:val="0"/>
              <w:pageBreakBefore w:val="0"/>
              <w:widowControl w:val="0"/>
              <w:kinsoku/>
              <w:wordWrap/>
              <w:overflowPunct/>
              <w:topLinePunct w:val="0"/>
              <w:autoSpaceDE/>
              <w:autoSpaceDN/>
              <w:bidi w:val="0"/>
              <w:adjustRightInd/>
              <w:snapToGrid/>
              <w:spacing w:after="0"/>
              <w:ind w:firstLine="210" w:firstLineChars="100"/>
              <w:jc w:val="center"/>
              <w:textAlignment w:val="auto"/>
              <w:rPr>
                <w:rFonts w:hint="default" w:ascii="Times New Roman" w:hAnsi="Times New Roman" w:eastAsia="宋体" w:cs="Times New Roman"/>
                <w:color w:val="auto"/>
                <w:spacing w:val="0"/>
                <w:kern w:val="2"/>
                <w:sz w:val="21"/>
                <w:szCs w:val="24"/>
                <w:highlight w:val="none"/>
                <w:vertAlign w:val="baseline"/>
                <w:lang w:val="en-US" w:eastAsia="zh-CN" w:bidi="ar-SA"/>
              </w:rPr>
            </w:pPr>
            <w:r>
              <w:rPr>
                <w:rFonts w:hint="default" w:ascii="Times New Roman" w:hAnsi="Times New Roman" w:eastAsia="宋体" w:cs="Times New Roman"/>
                <w:color w:val="auto"/>
                <w:spacing w:val="0"/>
                <w:kern w:val="2"/>
                <w:sz w:val="21"/>
                <w:szCs w:val="24"/>
                <w:highlight w:val="none"/>
                <w:vertAlign w:val="baseline"/>
                <w:lang w:val="en-US" w:eastAsia="zh-CN" w:bidi="ar-SA"/>
              </w:rPr>
              <w:t>项目</w:t>
            </w:r>
            <w:r>
              <w:rPr>
                <w:rFonts w:hint="default" w:ascii="Times New Roman" w:hAnsi="Times New Roman" w:cs="Times New Roman"/>
                <w:color w:val="auto"/>
                <w:spacing w:val="0"/>
                <w:kern w:val="2"/>
                <w:sz w:val="21"/>
                <w:szCs w:val="24"/>
                <w:highlight w:val="none"/>
                <w:vertAlign w:val="baseline"/>
                <w:lang w:val="en-US" w:eastAsia="zh-CN" w:bidi="ar-SA"/>
              </w:rPr>
              <w:t>北</w:t>
            </w:r>
            <w:r>
              <w:rPr>
                <w:rFonts w:hint="default" w:ascii="Times New Roman" w:hAnsi="Times New Roman" w:eastAsia="宋体" w:cs="Times New Roman"/>
                <w:color w:val="auto"/>
                <w:spacing w:val="0"/>
                <w:kern w:val="2"/>
                <w:sz w:val="21"/>
                <w:szCs w:val="24"/>
                <w:highlight w:val="none"/>
                <w:vertAlign w:val="baseline"/>
                <w:lang w:val="en-US" w:eastAsia="zh-CN" w:bidi="ar-SA"/>
              </w:rPr>
              <w:t>侧</w:t>
            </w:r>
          </w:p>
        </w:tc>
      </w:tr>
    </w:tbl>
    <w:p w14:paraId="2ED8E034">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jc w:val="center"/>
        <w:textAlignment w:val="auto"/>
        <w:rPr>
          <w:rFonts w:hint="default" w:ascii="Times New Roman" w:hAnsi="Times New Roman" w:eastAsia="宋体" w:cs="Times New Roman"/>
          <w:color w:val="auto"/>
          <w:sz w:val="28"/>
          <w:szCs w:val="28"/>
          <w:highlight w:val="none"/>
          <w:lang w:val="en-US" w:eastAsia="zh-CN"/>
        </w:rPr>
      </w:pPr>
      <w:bookmarkStart w:id="74" w:name="_Toc14331"/>
      <w:bookmarkStart w:id="75" w:name="_Toc20966"/>
      <w:bookmarkStart w:id="76" w:name="_Toc1000"/>
      <w:bookmarkStart w:id="77" w:name="_Toc463"/>
      <w:bookmarkStart w:id="78" w:name="_Toc23372"/>
      <w:r>
        <w:rPr>
          <w:rFonts w:hint="default" w:ascii="Times New Roman" w:hAnsi="Times New Roman" w:eastAsia="宋体" w:cs="Times New Roman"/>
          <w:color w:val="auto"/>
          <w:sz w:val="28"/>
          <w:szCs w:val="28"/>
          <w:highlight w:val="none"/>
        </w:rPr>
        <w:t>附图</w:t>
      </w:r>
      <w:r>
        <w:rPr>
          <w:rFonts w:hint="eastAsia" w:eastAsia="宋体" w:cs="Times New Roman"/>
          <w:color w:val="auto"/>
          <w:sz w:val="28"/>
          <w:szCs w:val="28"/>
          <w:highlight w:val="none"/>
          <w:lang w:val="en-US" w:eastAsia="zh-CN"/>
        </w:rPr>
        <w:t>5</w:t>
      </w:r>
      <w:r>
        <w:rPr>
          <w:rFonts w:hint="default" w:ascii="Times New Roman" w:hAnsi="Times New Roman" w:eastAsia="宋体" w:cs="Times New Roman"/>
          <w:color w:val="auto"/>
          <w:sz w:val="28"/>
          <w:szCs w:val="28"/>
          <w:highlight w:val="none"/>
          <w:lang w:val="en-US" w:eastAsia="zh-CN"/>
        </w:rPr>
        <w:t>现场照片</w:t>
      </w:r>
      <w:bookmarkEnd w:id="74"/>
      <w:bookmarkEnd w:id="75"/>
      <w:bookmarkEnd w:id="76"/>
      <w:bookmarkEnd w:id="77"/>
      <w:bookmarkEnd w:id="78"/>
    </w:p>
    <w:p w14:paraId="3C010403">
      <w:pPr>
        <w:pStyle w:val="22"/>
        <w:rPr>
          <w:rFonts w:hint="default" w:ascii="Times New Roman" w:hAnsi="Times New Roman" w:cs="Times New Roman"/>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852087B">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textAlignment w:val="auto"/>
        <w:rPr>
          <w:rFonts w:hint="default"/>
          <w:color w:val="auto"/>
          <w:sz w:val="28"/>
          <w:szCs w:val="28"/>
          <w:highlight w:val="none"/>
        </w:rPr>
      </w:pPr>
      <w:bookmarkStart w:id="79" w:name="_Toc24243"/>
      <w:bookmarkStart w:id="80" w:name="_Toc9975"/>
      <w:bookmarkStart w:id="81" w:name="_Toc2338"/>
      <w:bookmarkStart w:id="82" w:name="_Toc17621"/>
      <w:r>
        <w:rPr>
          <w:rFonts w:hint="eastAsia"/>
          <w:color w:val="auto"/>
          <w:sz w:val="28"/>
          <w:szCs w:val="28"/>
          <w:highlight w:val="none"/>
        </w:rPr>
        <w:t>附件</w:t>
      </w:r>
      <w:r>
        <w:rPr>
          <w:rFonts w:hint="default"/>
          <w:color w:val="auto"/>
          <w:sz w:val="28"/>
          <w:szCs w:val="28"/>
          <w:highlight w:val="none"/>
        </w:rPr>
        <w:t>1</w:t>
      </w:r>
      <w:r>
        <w:rPr>
          <w:rFonts w:hint="eastAsia"/>
          <w:color w:val="auto"/>
          <w:sz w:val="28"/>
          <w:szCs w:val="28"/>
          <w:highlight w:val="none"/>
        </w:rPr>
        <w:t>营业执照</w:t>
      </w:r>
      <w:bookmarkEnd w:id="79"/>
      <w:bookmarkEnd w:id="80"/>
      <w:bookmarkEnd w:id="81"/>
      <w:bookmarkEnd w:id="82"/>
    </w:p>
    <w:p w14:paraId="2D51FD07">
      <w:pPr>
        <w:pStyle w:val="29"/>
        <w:jc w:val="center"/>
        <w:rPr>
          <w:rFonts w:hint="default" w:ascii="Times New Roman" w:hAnsi="Times New Roman" w:eastAsia="黑体" w:cs="Times New Roman"/>
          <w:snapToGrid w:val="0"/>
          <w:color w:val="auto"/>
          <w:sz w:val="32"/>
          <w:szCs w:val="32"/>
          <w:highlight w:val="none"/>
          <w:lang w:eastAsia="zh-CN"/>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7526655" cy="5236210"/>
            <wp:effectExtent l="0" t="0" r="17145" b="2540"/>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40"/>
                    <a:stretch>
                      <a:fillRect/>
                    </a:stretch>
                  </pic:blipFill>
                  <pic:spPr>
                    <a:xfrm>
                      <a:off x="0" y="0"/>
                      <a:ext cx="7526655" cy="5236210"/>
                    </a:xfrm>
                    <a:prstGeom prst="rect">
                      <a:avLst/>
                    </a:prstGeom>
                    <a:noFill/>
                    <a:ln>
                      <a:noFill/>
                    </a:ln>
                  </pic:spPr>
                </pic:pic>
              </a:graphicData>
            </a:graphic>
          </wp:inline>
        </w:drawing>
      </w:r>
    </w:p>
    <w:p w14:paraId="7B3D481C">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textAlignment w:val="auto"/>
        <w:rPr>
          <w:rFonts w:hint="default" w:ascii="Times New Roman" w:hAnsi="Times New Roman" w:cs="Times New Roman"/>
          <w:color w:val="auto"/>
          <w:sz w:val="28"/>
          <w:szCs w:val="28"/>
          <w:highlight w:val="none"/>
          <w:lang w:val="en-US" w:eastAsia="zh-CN"/>
        </w:rPr>
      </w:pPr>
      <w:bookmarkStart w:id="83" w:name="_Toc25313"/>
      <w:bookmarkStart w:id="84" w:name="_Toc612"/>
      <w:bookmarkStart w:id="85" w:name="_Toc3798"/>
      <w:bookmarkStart w:id="86" w:name="_Toc29514"/>
      <w:bookmarkStart w:id="87" w:name="_Toc32464"/>
      <w:bookmarkStart w:id="88" w:name="_Toc23695"/>
      <w:bookmarkStart w:id="89" w:name="_Toc2448"/>
      <w:r>
        <w:rPr>
          <w:rFonts w:hint="default" w:ascii="Times New Roman" w:hAnsi="Times New Roman" w:cs="Times New Roman"/>
          <w:color w:val="auto"/>
          <w:sz w:val="28"/>
          <w:szCs w:val="28"/>
          <w:highlight w:val="none"/>
          <w:lang w:val="en-US" w:eastAsia="zh-CN"/>
        </w:rPr>
        <w:t>附件2</w:t>
      </w:r>
      <w:bookmarkEnd w:id="83"/>
      <w:bookmarkEnd w:id="84"/>
      <w:bookmarkEnd w:id="85"/>
      <w:bookmarkEnd w:id="86"/>
      <w:bookmarkEnd w:id="87"/>
      <w:bookmarkEnd w:id="88"/>
      <w:bookmarkEnd w:id="89"/>
      <w:bookmarkStart w:id="90" w:name="_Toc13289"/>
      <w:r>
        <w:rPr>
          <w:rFonts w:hint="default" w:ascii="Times New Roman" w:hAnsi="Times New Roman" w:cs="Times New Roman"/>
          <w:color w:val="auto"/>
          <w:sz w:val="28"/>
          <w:szCs w:val="28"/>
          <w:highlight w:val="none"/>
          <w:lang w:val="en-US" w:eastAsia="zh-CN"/>
        </w:rPr>
        <w:t>土地性质证明</w:t>
      </w:r>
    </w:p>
    <w:p w14:paraId="443EAB81">
      <w:pPr>
        <w:pStyle w:val="22"/>
        <w:widowControl w:val="0"/>
        <w:snapToGrid/>
        <w:ind w:right="113" w:rightChars="0" w:firstLine="0" w:firstLineChars="0"/>
        <w:jc w:val="left"/>
        <w:outlineLvl w:val="0"/>
        <w:rPr>
          <w:rFonts w:hint="default" w:ascii="宋体" w:hAnsi="宋体" w:cs="宋体"/>
          <w:snapToGrid w:val="0"/>
          <w:color w:val="auto"/>
          <w:kern w:val="2"/>
          <w:sz w:val="32"/>
          <w:szCs w:val="32"/>
          <w:highlight w:val="none"/>
          <w:lang w:val="en-US" w:eastAsia="zh-CN"/>
        </w:rPr>
      </w:pPr>
      <w:r>
        <w:rPr>
          <w:color w:val="auto"/>
          <w:highlight w:val="none"/>
        </w:rPr>
        <w:drawing>
          <wp:inline distT="0" distB="0" distL="114300" distR="114300">
            <wp:extent cx="5342890" cy="7117080"/>
            <wp:effectExtent l="0" t="0" r="10160" b="7620"/>
            <wp:docPr id="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8"/>
                    <pic:cNvPicPr>
                      <a:picLocks noChangeAspect="1"/>
                    </pic:cNvPicPr>
                  </pic:nvPicPr>
                  <pic:blipFill>
                    <a:blip r:embed="rId41"/>
                    <a:stretch>
                      <a:fillRect/>
                    </a:stretch>
                  </pic:blipFill>
                  <pic:spPr>
                    <a:xfrm>
                      <a:off x="0" y="0"/>
                      <a:ext cx="5342890" cy="7117080"/>
                    </a:xfrm>
                    <a:prstGeom prst="rect">
                      <a:avLst/>
                    </a:prstGeom>
                    <a:noFill/>
                    <a:ln>
                      <a:noFill/>
                    </a:ln>
                  </pic:spPr>
                </pic:pic>
              </a:graphicData>
            </a:graphic>
          </wp:inline>
        </w:drawing>
      </w:r>
    </w:p>
    <w:p w14:paraId="4593D673">
      <w:pPr>
        <w:jc w:val="center"/>
        <w:rPr>
          <w:rFonts w:hint="default" w:ascii="Times New Roman" w:hAnsi="Times New Roman" w:cs="Times New Roman"/>
          <w:color w:val="auto"/>
          <w:highlight w:val="none"/>
        </w:rPr>
      </w:pPr>
    </w:p>
    <w:p w14:paraId="6682239A">
      <w:pPr>
        <w:pStyle w:val="2"/>
        <w:rPr>
          <w:rFonts w:hint="default" w:ascii="Times New Roman" w:hAnsi="Times New Roman" w:cs="Times New Roman"/>
          <w:color w:val="auto"/>
          <w:highlight w:val="none"/>
          <w:lang w:val="en-US" w:eastAsia="zh-CN"/>
        </w:rPr>
        <w:sectPr>
          <w:footerReference r:id="rId9" w:type="default"/>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5F5E33E2">
      <w:pPr>
        <w:pStyle w:val="4"/>
        <w:ind w:left="0" w:leftChars="0" w:firstLine="0" w:firstLineChars="0"/>
        <w:jc w:val="center"/>
        <w:rPr>
          <w:rFonts w:hint="default" w:ascii="Times New Roman" w:hAnsi="Times New Roman" w:cs="Times New Roman"/>
          <w:color w:val="auto"/>
          <w:highlight w:val="none"/>
          <w:lang w:val="en-US" w:eastAsia="zh-CN"/>
        </w:rPr>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7464425" cy="5544820"/>
            <wp:effectExtent l="0" t="0" r="3175" b="17780"/>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42"/>
                    <a:stretch>
                      <a:fillRect/>
                    </a:stretch>
                  </pic:blipFill>
                  <pic:spPr>
                    <a:xfrm>
                      <a:off x="0" y="0"/>
                      <a:ext cx="7464425" cy="5544820"/>
                    </a:xfrm>
                    <a:prstGeom prst="rect">
                      <a:avLst/>
                    </a:prstGeom>
                    <a:noFill/>
                    <a:ln>
                      <a:noFill/>
                    </a:ln>
                  </pic:spPr>
                </pic:pic>
              </a:graphicData>
            </a:graphic>
          </wp:inline>
        </w:drawing>
      </w:r>
    </w:p>
    <w:p w14:paraId="2C6B096B">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textAlignment w:val="auto"/>
        <w:rPr>
          <w:rFonts w:hint="default" w:ascii="Times New Roman" w:hAnsi="Times New Roman" w:cs="Times New Roman"/>
          <w:color w:val="auto"/>
          <w:sz w:val="28"/>
          <w:szCs w:val="28"/>
          <w:highlight w:val="none"/>
          <w:lang w:val="en-US" w:eastAsia="zh-CN"/>
        </w:rPr>
      </w:pPr>
      <w:bookmarkStart w:id="91" w:name="_Toc31516"/>
      <w:bookmarkStart w:id="92" w:name="_Toc18255"/>
      <w:bookmarkStart w:id="93" w:name="_Toc29263"/>
      <w:r>
        <w:rPr>
          <w:rFonts w:hint="eastAsia" w:ascii="Times New Roman" w:hAnsi="Times New Roman" w:cs="Times New Roman"/>
          <w:color w:val="auto"/>
          <w:sz w:val="28"/>
          <w:szCs w:val="28"/>
          <w:highlight w:val="none"/>
          <w:lang w:val="en-US" w:eastAsia="zh-CN"/>
        </w:rPr>
        <w:t>附件</w:t>
      </w:r>
      <w:r>
        <w:rPr>
          <w:rFonts w:hint="default" w:ascii="Times New Roman" w:hAnsi="Times New Roman" w:cs="Times New Roman"/>
          <w:color w:val="auto"/>
          <w:sz w:val="28"/>
          <w:szCs w:val="28"/>
          <w:highlight w:val="none"/>
          <w:lang w:val="en-US" w:eastAsia="zh-CN"/>
        </w:rPr>
        <w:t>3</w:t>
      </w:r>
      <w:bookmarkEnd w:id="90"/>
      <w:bookmarkEnd w:id="91"/>
      <w:bookmarkEnd w:id="92"/>
      <w:bookmarkEnd w:id="93"/>
      <w:r>
        <w:rPr>
          <w:rFonts w:hint="eastAsia" w:cs="Times New Roman"/>
          <w:color w:val="auto"/>
          <w:sz w:val="28"/>
          <w:szCs w:val="28"/>
          <w:highlight w:val="none"/>
          <w:lang w:val="en-US" w:eastAsia="zh-CN"/>
        </w:rPr>
        <w:t>租赁协议</w:t>
      </w:r>
    </w:p>
    <w:p w14:paraId="3EED72DF">
      <w:pPr>
        <w:pStyle w:val="22"/>
        <w:widowControl w:val="0"/>
        <w:snapToGrid/>
        <w:ind w:right="113" w:rightChars="0" w:firstLine="0" w:firstLineChars="0"/>
        <w:jc w:val="left"/>
        <w:outlineLvl w:val="0"/>
        <w:rPr>
          <w:rFonts w:hint="eastAsia" w:ascii="宋体" w:hAnsi="宋体" w:eastAsia="宋体" w:cs="宋体"/>
          <w:snapToGrid w:val="0"/>
          <w:color w:val="auto"/>
          <w:kern w:val="2"/>
          <w:sz w:val="32"/>
          <w:szCs w:val="32"/>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467350" cy="6764020"/>
            <wp:effectExtent l="0" t="0" r="0" b="17780"/>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43"/>
                    <a:stretch>
                      <a:fillRect/>
                    </a:stretch>
                  </pic:blipFill>
                  <pic:spPr>
                    <a:xfrm>
                      <a:off x="0" y="0"/>
                      <a:ext cx="5467350" cy="6764020"/>
                    </a:xfrm>
                    <a:prstGeom prst="rect">
                      <a:avLst/>
                    </a:prstGeom>
                    <a:noFill/>
                    <a:ln>
                      <a:noFill/>
                    </a:ln>
                  </pic:spPr>
                </pic:pic>
              </a:graphicData>
            </a:graphic>
          </wp:inline>
        </w:drawing>
      </w:r>
    </w:p>
    <w:p w14:paraId="0362AABA">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textAlignment w:val="auto"/>
        <w:rPr>
          <w:rFonts w:hint="default" w:ascii="Times New Roman" w:hAnsi="Times New Roman" w:cs="Times New Roman"/>
          <w:color w:val="auto"/>
          <w:sz w:val="28"/>
          <w:szCs w:val="28"/>
          <w:highlight w:val="none"/>
          <w:lang w:val="en-US" w:eastAsia="zh-CN"/>
        </w:rPr>
      </w:pPr>
      <w:bookmarkStart w:id="94" w:name="_Toc27367"/>
      <w:bookmarkStart w:id="95" w:name="_Toc32607"/>
      <w:bookmarkStart w:id="96" w:name="_Toc31891"/>
      <w:bookmarkStart w:id="97" w:name="_Toc31698"/>
      <w:r>
        <w:rPr>
          <w:rFonts w:hint="eastAsia" w:ascii="Times New Roman" w:hAnsi="Times New Roman" w:cs="Times New Roman"/>
          <w:color w:val="auto"/>
          <w:sz w:val="28"/>
          <w:szCs w:val="28"/>
          <w:highlight w:val="none"/>
          <w:lang w:val="en-US" w:eastAsia="zh-CN"/>
        </w:rPr>
        <w:t>附件</w:t>
      </w:r>
      <w:r>
        <w:rPr>
          <w:rFonts w:hint="default" w:ascii="Times New Roman" w:hAnsi="Times New Roman" w:cs="Times New Roman"/>
          <w:color w:val="auto"/>
          <w:sz w:val="28"/>
          <w:szCs w:val="28"/>
          <w:highlight w:val="none"/>
          <w:lang w:val="en-US" w:eastAsia="zh-CN"/>
        </w:rPr>
        <w:t>4</w:t>
      </w:r>
      <w:r>
        <w:rPr>
          <w:rFonts w:hint="eastAsia" w:ascii="Times New Roman" w:hAnsi="Times New Roman" w:cs="Times New Roman"/>
          <w:color w:val="auto"/>
          <w:sz w:val="28"/>
          <w:szCs w:val="28"/>
          <w:highlight w:val="none"/>
          <w:lang w:val="en-US" w:eastAsia="zh-CN"/>
        </w:rPr>
        <w:t>检测报告</w:t>
      </w:r>
      <w:bookmarkEnd w:id="94"/>
      <w:bookmarkEnd w:id="95"/>
      <w:bookmarkEnd w:id="96"/>
      <w:bookmarkEnd w:id="97"/>
    </w:p>
    <w:p w14:paraId="3D9BC031">
      <w:pPr>
        <w:pStyle w:val="21"/>
        <w:rPr>
          <w:rFonts w:hint="default"/>
          <w:color w:val="auto"/>
          <w:highlight w:val="none"/>
          <w:lang w:val="en-US" w:eastAsia="zh-CN"/>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381625" cy="7419975"/>
            <wp:effectExtent l="0" t="0" r="9525" b="9525"/>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44"/>
                    <a:stretch>
                      <a:fillRect/>
                    </a:stretch>
                  </pic:blipFill>
                  <pic:spPr>
                    <a:xfrm>
                      <a:off x="0" y="0"/>
                      <a:ext cx="5381625" cy="7419975"/>
                    </a:xfrm>
                    <a:prstGeom prst="rect">
                      <a:avLst/>
                    </a:prstGeom>
                    <a:noFill/>
                    <a:ln>
                      <a:noFill/>
                    </a:ln>
                  </pic:spPr>
                </pic:pic>
              </a:graphicData>
            </a:graphic>
          </wp:inline>
        </w:drawing>
      </w:r>
      <w:r>
        <w:rPr>
          <w:color w:val="auto"/>
          <w:highlight w:val="none"/>
        </w:rPr>
        <w:drawing>
          <wp:inline distT="0" distB="0" distL="114300" distR="114300">
            <wp:extent cx="5305425" cy="7239000"/>
            <wp:effectExtent l="0" t="0" r="9525" b="0"/>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45"/>
                    <a:stretch>
                      <a:fillRect/>
                    </a:stretch>
                  </pic:blipFill>
                  <pic:spPr>
                    <a:xfrm>
                      <a:off x="0" y="0"/>
                      <a:ext cx="5305425" cy="7239000"/>
                    </a:xfrm>
                    <a:prstGeom prst="rect">
                      <a:avLst/>
                    </a:prstGeom>
                    <a:noFill/>
                    <a:ln>
                      <a:noFill/>
                    </a:ln>
                  </pic:spPr>
                </pic:pic>
              </a:graphicData>
            </a:graphic>
          </wp:inline>
        </w:drawing>
      </w:r>
      <w:r>
        <w:rPr>
          <w:color w:val="auto"/>
          <w:highlight w:val="none"/>
        </w:rPr>
        <w:drawing>
          <wp:inline distT="0" distB="0" distL="114300" distR="114300">
            <wp:extent cx="5334000" cy="7524750"/>
            <wp:effectExtent l="0" t="0" r="0" b="0"/>
            <wp:docPr id="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4"/>
                    <pic:cNvPicPr>
                      <a:picLocks noChangeAspect="1"/>
                    </pic:cNvPicPr>
                  </pic:nvPicPr>
                  <pic:blipFill>
                    <a:blip r:embed="rId46"/>
                    <a:stretch>
                      <a:fillRect/>
                    </a:stretch>
                  </pic:blipFill>
                  <pic:spPr>
                    <a:xfrm>
                      <a:off x="0" y="0"/>
                      <a:ext cx="5334000" cy="7524750"/>
                    </a:xfrm>
                    <a:prstGeom prst="rect">
                      <a:avLst/>
                    </a:prstGeom>
                    <a:noFill/>
                    <a:ln>
                      <a:noFill/>
                    </a:ln>
                  </pic:spPr>
                </pic:pic>
              </a:graphicData>
            </a:graphic>
          </wp:inline>
        </w:drawing>
      </w:r>
      <w:r>
        <w:rPr>
          <w:color w:val="auto"/>
          <w:highlight w:val="none"/>
        </w:rPr>
        <w:drawing>
          <wp:inline distT="0" distB="0" distL="114300" distR="114300">
            <wp:extent cx="5295900" cy="7486650"/>
            <wp:effectExtent l="0" t="0" r="0" b="0"/>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pic:cNvPicPr>
                      <a:picLocks noChangeAspect="1"/>
                    </pic:cNvPicPr>
                  </pic:nvPicPr>
                  <pic:blipFill>
                    <a:blip r:embed="rId47"/>
                    <a:stretch>
                      <a:fillRect/>
                    </a:stretch>
                  </pic:blipFill>
                  <pic:spPr>
                    <a:xfrm>
                      <a:off x="0" y="0"/>
                      <a:ext cx="5295900" cy="7486650"/>
                    </a:xfrm>
                    <a:prstGeom prst="rect">
                      <a:avLst/>
                    </a:prstGeom>
                    <a:noFill/>
                    <a:ln>
                      <a:noFill/>
                    </a:ln>
                  </pic:spPr>
                </pic:pic>
              </a:graphicData>
            </a:graphic>
          </wp:inline>
        </w:drawing>
      </w:r>
    </w:p>
    <w:p w14:paraId="695CD821">
      <w:pPr>
        <w:pStyle w:val="5"/>
        <w:keepNext/>
        <w:keepLines w:val="0"/>
        <w:pageBreakBefore w:val="0"/>
        <w:widowControl w:val="0"/>
        <w:kinsoku/>
        <w:wordWrap/>
        <w:overflowPunct w:val="0"/>
        <w:topLinePunct w:val="0"/>
        <w:autoSpaceDE/>
        <w:autoSpaceDN/>
        <w:bidi w:val="0"/>
        <w:adjustRightInd w:val="0"/>
        <w:snapToGrid w:val="0"/>
        <w:spacing w:before="0" w:after="0" w:line="240" w:lineRule="auto"/>
        <w:ind w:left="431" w:hanging="431"/>
        <w:textAlignment w:val="auto"/>
        <w:rPr>
          <w:rFonts w:hint="default" w:ascii="Times New Roman" w:hAnsi="Times New Roman" w:cs="Times New Roman"/>
          <w:color w:val="auto"/>
          <w:sz w:val="28"/>
          <w:szCs w:val="28"/>
          <w:highlight w:val="none"/>
          <w:lang w:val="en-US" w:eastAsia="zh-CN"/>
        </w:rPr>
      </w:pPr>
      <w:bookmarkStart w:id="98" w:name="_Toc21703"/>
      <w:bookmarkStart w:id="99" w:name="_Toc23496"/>
      <w:bookmarkStart w:id="100" w:name="_Toc8307"/>
      <w:bookmarkStart w:id="101" w:name="_Toc24457"/>
      <w:r>
        <w:rPr>
          <w:rFonts w:hint="eastAsia" w:ascii="Times New Roman" w:hAnsi="Times New Roman" w:cs="Times New Roman"/>
          <w:color w:val="auto"/>
          <w:sz w:val="28"/>
          <w:szCs w:val="28"/>
          <w:highlight w:val="none"/>
          <w:lang w:val="en-US" w:eastAsia="zh-CN"/>
        </w:rPr>
        <w:t>附件</w:t>
      </w:r>
      <w:r>
        <w:rPr>
          <w:rFonts w:hint="default" w:ascii="Times New Roman" w:hAnsi="Times New Roman" w:cs="Times New Roman"/>
          <w:color w:val="auto"/>
          <w:sz w:val="28"/>
          <w:szCs w:val="28"/>
          <w:highlight w:val="none"/>
          <w:lang w:val="en-US" w:eastAsia="zh-CN"/>
        </w:rPr>
        <w:t>5</w:t>
      </w:r>
      <w:r>
        <w:rPr>
          <w:rFonts w:hint="eastAsia" w:ascii="Times New Roman" w:hAnsi="Times New Roman" w:cs="Times New Roman"/>
          <w:color w:val="auto"/>
          <w:sz w:val="28"/>
          <w:szCs w:val="28"/>
          <w:highlight w:val="none"/>
          <w:lang w:val="en-US" w:eastAsia="zh-CN"/>
        </w:rPr>
        <w:t>鸡西市盛熙煤炭销售有限责任公司生态环境分区管控分析报告</w:t>
      </w:r>
      <w:bookmarkEnd w:id="98"/>
      <w:bookmarkEnd w:id="99"/>
      <w:bookmarkEnd w:id="100"/>
      <w:bookmarkEnd w:id="101"/>
    </w:p>
    <w:p w14:paraId="0F426754">
      <w:pPr>
        <w:jc w:val="center"/>
        <w:rPr>
          <w:rFonts w:hint="default" w:ascii="Times New Roman" w:hAnsi="Times New Roman" w:cs="Times New Roman"/>
          <w:color w:val="auto"/>
          <w:highlight w:val="none"/>
          <w:lang w:val="en-US" w:eastAsia="zh-CN"/>
        </w:rPr>
      </w:pPr>
      <w:r>
        <w:rPr>
          <w:color w:val="auto"/>
          <w:highlight w:val="none"/>
        </w:rPr>
        <w:drawing>
          <wp:inline distT="0" distB="0" distL="114300" distR="114300">
            <wp:extent cx="7698740" cy="5171440"/>
            <wp:effectExtent l="0" t="0" r="16510" b="10160"/>
            <wp:docPr id="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6"/>
                    <pic:cNvPicPr>
                      <a:picLocks noChangeAspect="1"/>
                    </pic:cNvPicPr>
                  </pic:nvPicPr>
                  <pic:blipFill>
                    <a:blip r:embed="rId48"/>
                    <a:stretch>
                      <a:fillRect/>
                    </a:stretch>
                  </pic:blipFill>
                  <pic:spPr>
                    <a:xfrm>
                      <a:off x="0" y="0"/>
                      <a:ext cx="7698740" cy="5171440"/>
                    </a:xfrm>
                    <a:prstGeom prst="rect">
                      <a:avLst/>
                    </a:prstGeom>
                    <a:noFill/>
                    <a:ln>
                      <a:noFill/>
                    </a:ln>
                  </pic:spPr>
                </pic:pic>
              </a:graphicData>
            </a:graphic>
          </wp:inline>
        </w:drawing>
      </w:r>
      <w:r>
        <w:rPr>
          <w:color w:val="auto"/>
          <w:highlight w:val="none"/>
        </w:rPr>
        <w:drawing>
          <wp:inline distT="0" distB="0" distL="114300" distR="114300">
            <wp:extent cx="8522335" cy="5814060"/>
            <wp:effectExtent l="0" t="0" r="12065" b="15240"/>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pic:cNvPicPr>
                  </pic:nvPicPr>
                  <pic:blipFill>
                    <a:blip r:embed="rId49"/>
                    <a:stretch>
                      <a:fillRect/>
                    </a:stretch>
                  </pic:blipFill>
                  <pic:spPr>
                    <a:xfrm>
                      <a:off x="0" y="0"/>
                      <a:ext cx="8522335" cy="5814060"/>
                    </a:xfrm>
                    <a:prstGeom prst="rect">
                      <a:avLst/>
                    </a:prstGeom>
                    <a:noFill/>
                    <a:ln>
                      <a:noFill/>
                    </a:ln>
                  </pic:spPr>
                </pic:pic>
              </a:graphicData>
            </a:graphic>
          </wp:inline>
        </w:drawing>
      </w:r>
      <w:r>
        <w:rPr>
          <w:color w:val="auto"/>
          <w:highlight w:val="none"/>
        </w:rPr>
        <w:drawing>
          <wp:inline distT="0" distB="0" distL="114300" distR="114300">
            <wp:extent cx="8524240" cy="5680075"/>
            <wp:effectExtent l="0" t="0" r="10160" b="15875"/>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pic:cNvPicPr>
                  </pic:nvPicPr>
                  <pic:blipFill>
                    <a:blip r:embed="rId50"/>
                    <a:stretch>
                      <a:fillRect/>
                    </a:stretch>
                  </pic:blipFill>
                  <pic:spPr>
                    <a:xfrm>
                      <a:off x="0" y="0"/>
                      <a:ext cx="8524240" cy="5680075"/>
                    </a:xfrm>
                    <a:prstGeom prst="rect">
                      <a:avLst/>
                    </a:prstGeom>
                    <a:noFill/>
                    <a:ln>
                      <a:noFill/>
                    </a:ln>
                  </pic:spPr>
                </pic:pic>
              </a:graphicData>
            </a:graphic>
          </wp:inline>
        </w:drawing>
      </w:r>
      <w:r>
        <w:rPr>
          <w:color w:val="auto"/>
          <w:highlight w:val="none"/>
        </w:rPr>
        <w:drawing>
          <wp:inline distT="0" distB="0" distL="114300" distR="114300">
            <wp:extent cx="8524240" cy="5926455"/>
            <wp:effectExtent l="0" t="0" r="10160" b="17145"/>
            <wp:docPr id="7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9"/>
                    <pic:cNvPicPr>
                      <a:picLocks noChangeAspect="1"/>
                    </pic:cNvPicPr>
                  </pic:nvPicPr>
                  <pic:blipFill>
                    <a:blip r:embed="rId51"/>
                    <a:stretch>
                      <a:fillRect/>
                    </a:stretch>
                  </pic:blipFill>
                  <pic:spPr>
                    <a:xfrm>
                      <a:off x="0" y="0"/>
                      <a:ext cx="8524240" cy="5926455"/>
                    </a:xfrm>
                    <a:prstGeom prst="rect">
                      <a:avLst/>
                    </a:prstGeom>
                    <a:noFill/>
                    <a:ln>
                      <a:noFill/>
                    </a:ln>
                  </pic:spPr>
                </pic:pic>
              </a:graphicData>
            </a:graphic>
          </wp:inline>
        </w:drawing>
      </w:r>
      <w:r>
        <w:rPr>
          <w:color w:val="auto"/>
          <w:highlight w:val="none"/>
        </w:rPr>
        <w:drawing>
          <wp:inline distT="0" distB="0" distL="114300" distR="114300">
            <wp:extent cx="8522970" cy="5541010"/>
            <wp:effectExtent l="0" t="0" r="11430" b="2540"/>
            <wp:docPr id="7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0"/>
                    <pic:cNvPicPr>
                      <a:picLocks noChangeAspect="1"/>
                    </pic:cNvPicPr>
                  </pic:nvPicPr>
                  <pic:blipFill>
                    <a:blip r:embed="rId52"/>
                    <a:stretch>
                      <a:fillRect/>
                    </a:stretch>
                  </pic:blipFill>
                  <pic:spPr>
                    <a:xfrm>
                      <a:off x="0" y="0"/>
                      <a:ext cx="8522970" cy="5541010"/>
                    </a:xfrm>
                    <a:prstGeom prst="rect">
                      <a:avLst/>
                    </a:prstGeom>
                    <a:noFill/>
                    <a:ln>
                      <a:noFill/>
                    </a:ln>
                  </pic:spPr>
                </pic:pic>
              </a:graphicData>
            </a:graphic>
          </wp:inline>
        </w:drawing>
      </w:r>
      <w:r>
        <w:rPr>
          <w:color w:val="auto"/>
          <w:highlight w:val="none"/>
        </w:rPr>
        <w:drawing>
          <wp:inline distT="0" distB="0" distL="114300" distR="114300">
            <wp:extent cx="8522970" cy="5791835"/>
            <wp:effectExtent l="0" t="0" r="11430" b="18415"/>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a:blip r:embed="rId53"/>
                    <a:stretch>
                      <a:fillRect/>
                    </a:stretch>
                  </pic:blipFill>
                  <pic:spPr>
                    <a:xfrm>
                      <a:off x="0" y="0"/>
                      <a:ext cx="8522970" cy="5791835"/>
                    </a:xfrm>
                    <a:prstGeom prst="rect">
                      <a:avLst/>
                    </a:prstGeom>
                    <a:noFill/>
                    <a:ln>
                      <a:noFill/>
                    </a:ln>
                  </pic:spPr>
                </pic:pic>
              </a:graphicData>
            </a:graphic>
          </wp:inline>
        </w:drawing>
      </w:r>
      <w:r>
        <w:rPr>
          <w:color w:val="auto"/>
          <w:highlight w:val="none"/>
        </w:rPr>
        <w:drawing>
          <wp:inline distT="0" distB="0" distL="114300" distR="114300">
            <wp:extent cx="8522970" cy="5431155"/>
            <wp:effectExtent l="0" t="0" r="11430" b="17145"/>
            <wp:docPr id="7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2"/>
                    <pic:cNvPicPr>
                      <a:picLocks noChangeAspect="1"/>
                    </pic:cNvPicPr>
                  </pic:nvPicPr>
                  <pic:blipFill>
                    <a:blip r:embed="rId54"/>
                    <a:stretch>
                      <a:fillRect/>
                    </a:stretch>
                  </pic:blipFill>
                  <pic:spPr>
                    <a:xfrm>
                      <a:off x="0" y="0"/>
                      <a:ext cx="8522970" cy="5431155"/>
                    </a:xfrm>
                    <a:prstGeom prst="rect">
                      <a:avLst/>
                    </a:prstGeom>
                    <a:noFill/>
                    <a:ln>
                      <a:noFill/>
                    </a:ln>
                  </pic:spPr>
                </pic:pic>
              </a:graphicData>
            </a:graphic>
          </wp:inline>
        </w:drawing>
      </w:r>
      <w:r>
        <w:rPr>
          <w:color w:val="auto"/>
          <w:highlight w:val="none"/>
        </w:rPr>
        <w:drawing>
          <wp:inline distT="0" distB="0" distL="114300" distR="114300">
            <wp:extent cx="8522970" cy="5817870"/>
            <wp:effectExtent l="0" t="0" r="11430" b="11430"/>
            <wp:docPr id="7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3"/>
                    <pic:cNvPicPr>
                      <a:picLocks noChangeAspect="1"/>
                    </pic:cNvPicPr>
                  </pic:nvPicPr>
                  <pic:blipFill>
                    <a:blip r:embed="rId55"/>
                    <a:stretch>
                      <a:fillRect/>
                    </a:stretch>
                  </pic:blipFill>
                  <pic:spPr>
                    <a:xfrm>
                      <a:off x="0" y="0"/>
                      <a:ext cx="8522970" cy="5817870"/>
                    </a:xfrm>
                    <a:prstGeom prst="rect">
                      <a:avLst/>
                    </a:prstGeom>
                    <a:noFill/>
                    <a:ln>
                      <a:noFill/>
                    </a:ln>
                  </pic:spPr>
                </pic:pic>
              </a:graphicData>
            </a:graphic>
          </wp:inline>
        </w:drawing>
      </w:r>
      <w:r>
        <w:rPr>
          <w:color w:val="auto"/>
          <w:highlight w:val="none"/>
        </w:rPr>
        <w:drawing>
          <wp:inline distT="0" distB="0" distL="114300" distR="114300">
            <wp:extent cx="8524875" cy="5735955"/>
            <wp:effectExtent l="0" t="0" r="9525" b="17145"/>
            <wp:docPr id="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4"/>
                    <pic:cNvPicPr>
                      <a:picLocks noChangeAspect="1"/>
                    </pic:cNvPicPr>
                  </pic:nvPicPr>
                  <pic:blipFill>
                    <a:blip r:embed="rId56"/>
                    <a:stretch>
                      <a:fillRect/>
                    </a:stretch>
                  </pic:blipFill>
                  <pic:spPr>
                    <a:xfrm>
                      <a:off x="0" y="0"/>
                      <a:ext cx="8524875" cy="5735955"/>
                    </a:xfrm>
                    <a:prstGeom prst="rect">
                      <a:avLst/>
                    </a:prstGeom>
                    <a:noFill/>
                    <a:ln>
                      <a:noFill/>
                    </a:ln>
                  </pic:spPr>
                </pic:pic>
              </a:graphicData>
            </a:graphic>
          </wp:inline>
        </w:drawing>
      </w:r>
      <w:r>
        <w:rPr>
          <w:color w:val="auto"/>
          <w:highlight w:val="none"/>
        </w:rPr>
        <w:drawing>
          <wp:inline distT="0" distB="0" distL="114300" distR="114300">
            <wp:extent cx="8529955" cy="5714365"/>
            <wp:effectExtent l="0" t="0" r="4445" b="635"/>
            <wp:docPr id="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5"/>
                    <pic:cNvPicPr>
                      <a:picLocks noChangeAspect="1"/>
                    </pic:cNvPicPr>
                  </pic:nvPicPr>
                  <pic:blipFill>
                    <a:blip r:embed="rId57"/>
                    <a:stretch>
                      <a:fillRect/>
                    </a:stretch>
                  </pic:blipFill>
                  <pic:spPr>
                    <a:xfrm>
                      <a:off x="0" y="0"/>
                      <a:ext cx="8529955" cy="5714365"/>
                    </a:xfrm>
                    <a:prstGeom prst="rect">
                      <a:avLst/>
                    </a:prstGeom>
                    <a:noFill/>
                    <a:ln>
                      <a:noFill/>
                    </a:ln>
                  </pic:spPr>
                </pic:pic>
              </a:graphicData>
            </a:graphic>
          </wp:inline>
        </w:drawing>
      </w:r>
    </w:p>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00007A87" w:usb1="80000000" w:usb2="00000008"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Times New Roman"/>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Cambria">
    <w:altName w:val="Noto Sans Syriac Eastern"/>
    <w:panose1 w:val="02040503050406030204"/>
    <w:charset w:val="00"/>
    <w:family w:val="auto"/>
    <w:pitch w:val="default"/>
    <w:sig w:usb0="00000000" w:usb1="00000000" w:usb2="02000000" w:usb3="00000000" w:csb0="2000019F" w:csb1="00000000"/>
  </w:font>
  <w:font w:name="Noto Sans Syriac Eastern">
    <w:panose1 w:val="02040503050306020203"/>
    <w:charset w:val="86"/>
    <w:family w:val="auto"/>
    <w:pitch w:val="default"/>
    <w:sig w:usb0="00000000" w:usb1="00000000" w:usb2="00000080" w:usb3="00000000" w:csb0="203E0161" w:csb1="D7FF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楷体_GB2312">
    <w:altName w:val="方正楷体_GBK"/>
    <w:panose1 w:val="02010609030101010101"/>
    <w:charset w:val="86"/>
    <w:family w:val="auto"/>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DD941E">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E1CB7">
    <w:pPr>
      <w:pStyle w:val="14"/>
      <w:framePr w:wrap="around" w:vAnchor="text" w:hAnchor="margin" w:xAlign="center" w:y="1"/>
      <w:rPr>
        <w:rStyle w:val="27"/>
      </w:rPr>
    </w:pPr>
    <w:r>
      <w:fldChar w:fldCharType="begin"/>
    </w:r>
    <w:r>
      <w:rPr>
        <w:rStyle w:val="27"/>
      </w:rPr>
      <w:instrText xml:space="preserve">PAGE  </w:instrText>
    </w:r>
    <w:r>
      <w:fldChar w:fldCharType="end"/>
    </w:r>
  </w:p>
  <w:p w14:paraId="47ADED9D">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6900"/>
    </w:sdtPr>
    <w:sdtContent>
      <w:p w14:paraId="37AC3865">
        <w:pPr>
          <w:pStyle w:val="14"/>
          <w:ind w:left="2250" w:hanging="1200"/>
          <w:jc w:val="center"/>
        </w:pPr>
        <w:r>
          <w:fldChar w:fldCharType="begin"/>
        </w:r>
        <w:r>
          <w:instrText xml:space="preserve">PAGE   \* MERGEFORMAT</w:instrText>
        </w:r>
        <w:r>
          <w:fldChar w:fldCharType="separate"/>
        </w:r>
        <w:r>
          <w:rPr>
            <w:lang w:val="zh-CN"/>
          </w:rPr>
          <w:t>37</w:t>
        </w:r>
        <w:r>
          <w:fldChar w:fldCharType="end"/>
        </w:r>
      </w:p>
    </w:sdtContent>
  </w:sdt>
  <w:p w14:paraId="4C74C679">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5197D">
    <w:pPr>
      <w:pStyle w:val="14"/>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324D2FFE">
                          <w:pPr>
                            <w:pStyle w:val="14"/>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14:paraId="324D2FFE">
                    <w:pPr>
                      <w:pStyle w:val="14"/>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C2022">
    <w:pPr>
      <w:pStyle w:val="14"/>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769DEB36">
                          <w:pPr>
                            <w:pStyle w:val="14"/>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14:paraId="769DEB36">
                    <w:pPr>
                      <w:pStyle w:val="14"/>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3554E">
    <w:pPr>
      <w:pStyle w:val="14"/>
      <w:jc w:val="center"/>
      <w:rPr>
        <w:rFonts w:ascii="宋体" w:hAnsi="宋体"/>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B1DED65">
                          <w:pPr>
                            <w:pStyle w:val="14"/>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qVVFoM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FSWBMysMXfjx+7fjj1/H&#10;n1/ZxXQ+iw51zhfUeOeoNfSvoI/dUa13tyA/e2bhphF2q64RoWuUqIhhHk9m944OOD6CbLq3UNEo&#10;sQuQgPoaTQQkQxih0+0czrej+sBkHJnPXl7OOZO0lV/ms9k8TRDFeNihD68VGBaLkiNdfgIX+1sf&#10;IhlRjC1xloW1btsUgNb+tUCNcSWRj3wH5qHf9CczNlAdSAbCkCd6TVQ0gF846yhLJbf0dDhr31gy&#10;IsZuLHAsNmMhrKSDJQ+cDeVNGOK5c6i3DeGOVl+TWWudhERXBw4nlpSOpO+U5Bi/+/+p68/r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SdAAAAADAQAADwAAAAAAAAABACAAAAAiAAAAZHJz&#10;L2Rvd25yZXYueG1sUEsBAhQAFAAAAAgAh07iQLqVVFoMAgAABQQAAA4AAAAAAAAAAQAgAAAAHwEA&#10;AGRycy9lMm9Eb2MueG1sUEsFBgAAAAAGAAYAWQEAAJ0FAAAAAA==&#10;">
              <v:fill on="f" focussize="0,0"/>
              <v:stroke on="f"/>
              <v:imagedata o:title=""/>
              <o:lock v:ext="edit" aspectratio="f"/>
              <v:textbox inset="0mm,0mm,0mm,0mm" style="mso-fit-shape-to-text:t;">
                <w:txbxContent>
                  <w:p w14:paraId="0B1DED65">
                    <w:pPr>
                      <w:pStyle w:val="14"/>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24E0D">
    <w:pPr>
      <w:pStyle w:val="14"/>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6E41A4">
                          <w:pPr>
                            <w:pStyle w:val="14"/>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14:paraId="116E41A4">
                    <w:pPr>
                      <w:pStyle w:val="14"/>
                    </w:pPr>
                    <w:r>
                      <w:fldChar w:fldCharType="begin"/>
                    </w:r>
                    <w:r>
                      <w:instrText xml:space="preserve"> PAGE  \* MERGEFORMAT </w:instrText>
                    </w:r>
                    <w:r>
                      <w:fldChar w:fldCharType="separate"/>
                    </w:r>
                    <w:r>
                      <w:t>25</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RhNGY3YzRjNDgxMjI3YTk3YTcyN2Y1NGJkYWFkZWMifQ=="/>
  </w:docVars>
  <w:rsids>
    <w:rsidRoot w:val="00CD52C7"/>
    <w:rsid w:val="00CD52C7"/>
    <w:rsid w:val="01097CE8"/>
    <w:rsid w:val="01117B09"/>
    <w:rsid w:val="01AB47D5"/>
    <w:rsid w:val="02710940"/>
    <w:rsid w:val="027D3E9D"/>
    <w:rsid w:val="02861AEE"/>
    <w:rsid w:val="02881838"/>
    <w:rsid w:val="030B73A9"/>
    <w:rsid w:val="03101E00"/>
    <w:rsid w:val="03933F23"/>
    <w:rsid w:val="042F3C21"/>
    <w:rsid w:val="04543B68"/>
    <w:rsid w:val="055165CD"/>
    <w:rsid w:val="05E0261F"/>
    <w:rsid w:val="066E57BB"/>
    <w:rsid w:val="06905732"/>
    <w:rsid w:val="06CA4FF0"/>
    <w:rsid w:val="06E41FEB"/>
    <w:rsid w:val="070E0675"/>
    <w:rsid w:val="073E3EF6"/>
    <w:rsid w:val="07675504"/>
    <w:rsid w:val="092C1016"/>
    <w:rsid w:val="0936544F"/>
    <w:rsid w:val="095D153A"/>
    <w:rsid w:val="0A4F2F7E"/>
    <w:rsid w:val="0A906CF9"/>
    <w:rsid w:val="0A9B6453"/>
    <w:rsid w:val="0B903FA1"/>
    <w:rsid w:val="0B976317"/>
    <w:rsid w:val="0C753539"/>
    <w:rsid w:val="0CAA5C57"/>
    <w:rsid w:val="0E420114"/>
    <w:rsid w:val="0F5F5CA1"/>
    <w:rsid w:val="0F604384"/>
    <w:rsid w:val="104E0382"/>
    <w:rsid w:val="110F1949"/>
    <w:rsid w:val="111873EF"/>
    <w:rsid w:val="11987B90"/>
    <w:rsid w:val="11F6163F"/>
    <w:rsid w:val="12C163E8"/>
    <w:rsid w:val="12EF37E0"/>
    <w:rsid w:val="13E111AD"/>
    <w:rsid w:val="14005579"/>
    <w:rsid w:val="141352AC"/>
    <w:rsid w:val="143D7FC9"/>
    <w:rsid w:val="14996DC2"/>
    <w:rsid w:val="14BE346A"/>
    <w:rsid w:val="14C03300"/>
    <w:rsid w:val="154107F7"/>
    <w:rsid w:val="154850ED"/>
    <w:rsid w:val="15745C65"/>
    <w:rsid w:val="15E84589"/>
    <w:rsid w:val="16090717"/>
    <w:rsid w:val="166030CC"/>
    <w:rsid w:val="16AE479B"/>
    <w:rsid w:val="16B74615"/>
    <w:rsid w:val="18EF1E30"/>
    <w:rsid w:val="1955086F"/>
    <w:rsid w:val="19A520EB"/>
    <w:rsid w:val="19A862A5"/>
    <w:rsid w:val="19DE6FEA"/>
    <w:rsid w:val="19EB1402"/>
    <w:rsid w:val="1A1B4EBB"/>
    <w:rsid w:val="1A3B248E"/>
    <w:rsid w:val="1AE259D8"/>
    <w:rsid w:val="1B08398B"/>
    <w:rsid w:val="1B2913A0"/>
    <w:rsid w:val="1B660D0A"/>
    <w:rsid w:val="1CFB37D3"/>
    <w:rsid w:val="1E3B7918"/>
    <w:rsid w:val="1EC72F1D"/>
    <w:rsid w:val="1EE73F05"/>
    <w:rsid w:val="1F4758FC"/>
    <w:rsid w:val="1F4853F4"/>
    <w:rsid w:val="1F4B4E7D"/>
    <w:rsid w:val="1FF42436"/>
    <w:rsid w:val="20064163"/>
    <w:rsid w:val="20A91311"/>
    <w:rsid w:val="20CC16C0"/>
    <w:rsid w:val="21E23923"/>
    <w:rsid w:val="223C62A1"/>
    <w:rsid w:val="223E208E"/>
    <w:rsid w:val="224B24D3"/>
    <w:rsid w:val="224F429B"/>
    <w:rsid w:val="229914F9"/>
    <w:rsid w:val="23986063"/>
    <w:rsid w:val="240E769E"/>
    <w:rsid w:val="243B19E5"/>
    <w:rsid w:val="248F7DBD"/>
    <w:rsid w:val="24B52569"/>
    <w:rsid w:val="252C2F2D"/>
    <w:rsid w:val="253024AD"/>
    <w:rsid w:val="25465A38"/>
    <w:rsid w:val="25547590"/>
    <w:rsid w:val="25927635"/>
    <w:rsid w:val="25950217"/>
    <w:rsid w:val="25A71CF8"/>
    <w:rsid w:val="260D5FFF"/>
    <w:rsid w:val="268D740A"/>
    <w:rsid w:val="269B33CF"/>
    <w:rsid w:val="269B53B7"/>
    <w:rsid w:val="26DC288E"/>
    <w:rsid w:val="26F471BF"/>
    <w:rsid w:val="27807BC8"/>
    <w:rsid w:val="27C15443"/>
    <w:rsid w:val="280E42B1"/>
    <w:rsid w:val="286F6576"/>
    <w:rsid w:val="28795BCE"/>
    <w:rsid w:val="28946DE6"/>
    <w:rsid w:val="2A1268FC"/>
    <w:rsid w:val="2ADB5543"/>
    <w:rsid w:val="2B1E09DB"/>
    <w:rsid w:val="2BAB31DB"/>
    <w:rsid w:val="2C0D5A2E"/>
    <w:rsid w:val="2CB95D87"/>
    <w:rsid w:val="2D104D7E"/>
    <w:rsid w:val="2D312F83"/>
    <w:rsid w:val="2D616C5A"/>
    <w:rsid w:val="2D9502B1"/>
    <w:rsid w:val="2DD37125"/>
    <w:rsid w:val="2E0028ED"/>
    <w:rsid w:val="2E835AA4"/>
    <w:rsid w:val="2EB177D4"/>
    <w:rsid w:val="2F064015"/>
    <w:rsid w:val="2F1E302B"/>
    <w:rsid w:val="2F923078"/>
    <w:rsid w:val="30766A4C"/>
    <w:rsid w:val="318209DA"/>
    <w:rsid w:val="31952718"/>
    <w:rsid w:val="31BE5023"/>
    <w:rsid w:val="31C83722"/>
    <w:rsid w:val="31EE27EE"/>
    <w:rsid w:val="331B3B35"/>
    <w:rsid w:val="33340477"/>
    <w:rsid w:val="33845E82"/>
    <w:rsid w:val="338D1240"/>
    <w:rsid w:val="34A044E2"/>
    <w:rsid w:val="34AC593B"/>
    <w:rsid w:val="34C07A23"/>
    <w:rsid w:val="34F57DE4"/>
    <w:rsid w:val="354F3B59"/>
    <w:rsid w:val="355226E3"/>
    <w:rsid w:val="35944047"/>
    <w:rsid w:val="35AE2C2F"/>
    <w:rsid w:val="35F95F8F"/>
    <w:rsid w:val="361B20DC"/>
    <w:rsid w:val="36223193"/>
    <w:rsid w:val="36EF1119"/>
    <w:rsid w:val="377326DC"/>
    <w:rsid w:val="38351A5E"/>
    <w:rsid w:val="387754B2"/>
    <w:rsid w:val="38983E4E"/>
    <w:rsid w:val="3A476EA3"/>
    <w:rsid w:val="3A905C8A"/>
    <w:rsid w:val="3AAC6B17"/>
    <w:rsid w:val="3C34763D"/>
    <w:rsid w:val="3C3F2833"/>
    <w:rsid w:val="3CAE002C"/>
    <w:rsid w:val="3CCF1E09"/>
    <w:rsid w:val="3D462488"/>
    <w:rsid w:val="3D855520"/>
    <w:rsid w:val="3E333D55"/>
    <w:rsid w:val="3EAC4F55"/>
    <w:rsid w:val="3EC7548D"/>
    <w:rsid w:val="3F174129"/>
    <w:rsid w:val="4021034F"/>
    <w:rsid w:val="40703334"/>
    <w:rsid w:val="40D514AA"/>
    <w:rsid w:val="40DE0BEA"/>
    <w:rsid w:val="4231222C"/>
    <w:rsid w:val="42D40C91"/>
    <w:rsid w:val="43C13C6A"/>
    <w:rsid w:val="44215F27"/>
    <w:rsid w:val="44393FC5"/>
    <w:rsid w:val="448C1D82"/>
    <w:rsid w:val="448D1744"/>
    <w:rsid w:val="449D67EB"/>
    <w:rsid w:val="45D81DA4"/>
    <w:rsid w:val="45FE68F5"/>
    <w:rsid w:val="4702556E"/>
    <w:rsid w:val="474F7946"/>
    <w:rsid w:val="4796216E"/>
    <w:rsid w:val="47BF6F51"/>
    <w:rsid w:val="49952D80"/>
    <w:rsid w:val="4A5058C1"/>
    <w:rsid w:val="4A7308CA"/>
    <w:rsid w:val="4B745000"/>
    <w:rsid w:val="4C9A531D"/>
    <w:rsid w:val="4DA97E11"/>
    <w:rsid w:val="4DBC03F5"/>
    <w:rsid w:val="4E335328"/>
    <w:rsid w:val="4E441AD1"/>
    <w:rsid w:val="4EEA4880"/>
    <w:rsid w:val="4F0A4871"/>
    <w:rsid w:val="4F7D61D6"/>
    <w:rsid w:val="50185A4D"/>
    <w:rsid w:val="503942D9"/>
    <w:rsid w:val="524D1D13"/>
    <w:rsid w:val="528079D5"/>
    <w:rsid w:val="528D2EAA"/>
    <w:rsid w:val="52A8522F"/>
    <w:rsid w:val="52AF1B41"/>
    <w:rsid w:val="5362726B"/>
    <w:rsid w:val="53B45F49"/>
    <w:rsid w:val="54147C88"/>
    <w:rsid w:val="54281AFA"/>
    <w:rsid w:val="5512441E"/>
    <w:rsid w:val="557D4BCE"/>
    <w:rsid w:val="55A531BA"/>
    <w:rsid w:val="55F9260A"/>
    <w:rsid w:val="56074E9B"/>
    <w:rsid w:val="566B274A"/>
    <w:rsid w:val="56A15E8C"/>
    <w:rsid w:val="57566F57"/>
    <w:rsid w:val="5761062C"/>
    <w:rsid w:val="57DD31D4"/>
    <w:rsid w:val="57E83927"/>
    <w:rsid w:val="58276B83"/>
    <w:rsid w:val="58FE4D8A"/>
    <w:rsid w:val="594352B9"/>
    <w:rsid w:val="59A92FBB"/>
    <w:rsid w:val="5A033F09"/>
    <w:rsid w:val="5A221D54"/>
    <w:rsid w:val="5A9B5D9E"/>
    <w:rsid w:val="5AE73231"/>
    <w:rsid w:val="5B10545C"/>
    <w:rsid w:val="5BB0570C"/>
    <w:rsid w:val="5C451668"/>
    <w:rsid w:val="5C6C205A"/>
    <w:rsid w:val="5C7A5495"/>
    <w:rsid w:val="5D4C4CF3"/>
    <w:rsid w:val="5E257683"/>
    <w:rsid w:val="5EA553EC"/>
    <w:rsid w:val="5EC71BCD"/>
    <w:rsid w:val="5ED370DF"/>
    <w:rsid w:val="5F61742A"/>
    <w:rsid w:val="5F93241B"/>
    <w:rsid w:val="60A07495"/>
    <w:rsid w:val="60A33BEB"/>
    <w:rsid w:val="611333C5"/>
    <w:rsid w:val="629435B8"/>
    <w:rsid w:val="62B2475E"/>
    <w:rsid w:val="62ED138B"/>
    <w:rsid w:val="634B193A"/>
    <w:rsid w:val="63D530FA"/>
    <w:rsid w:val="63FB09E7"/>
    <w:rsid w:val="645F1DC2"/>
    <w:rsid w:val="648970C2"/>
    <w:rsid w:val="65491356"/>
    <w:rsid w:val="659375C8"/>
    <w:rsid w:val="661004E0"/>
    <w:rsid w:val="66415ACA"/>
    <w:rsid w:val="66697233"/>
    <w:rsid w:val="67743146"/>
    <w:rsid w:val="67892A30"/>
    <w:rsid w:val="67FA7F10"/>
    <w:rsid w:val="689B5C8E"/>
    <w:rsid w:val="69185DF1"/>
    <w:rsid w:val="691C78D4"/>
    <w:rsid w:val="69675B47"/>
    <w:rsid w:val="69706592"/>
    <w:rsid w:val="698762CB"/>
    <w:rsid w:val="69A17079"/>
    <w:rsid w:val="6A4368DA"/>
    <w:rsid w:val="6A5405E4"/>
    <w:rsid w:val="6A8455C3"/>
    <w:rsid w:val="6A883473"/>
    <w:rsid w:val="6AD205BF"/>
    <w:rsid w:val="6AFE0445"/>
    <w:rsid w:val="6BDB24DB"/>
    <w:rsid w:val="6BF6440D"/>
    <w:rsid w:val="6C4F14AB"/>
    <w:rsid w:val="6CB05239"/>
    <w:rsid w:val="6D232646"/>
    <w:rsid w:val="6D6F47F8"/>
    <w:rsid w:val="6D7B31A3"/>
    <w:rsid w:val="6DE84906"/>
    <w:rsid w:val="6DF130DE"/>
    <w:rsid w:val="6E82527D"/>
    <w:rsid w:val="6E9B1D02"/>
    <w:rsid w:val="6EC063AA"/>
    <w:rsid w:val="70226534"/>
    <w:rsid w:val="715B6A6C"/>
    <w:rsid w:val="71EF1DE2"/>
    <w:rsid w:val="72B50B7E"/>
    <w:rsid w:val="743C5B72"/>
    <w:rsid w:val="74C26F1A"/>
    <w:rsid w:val="74F02341"/>
    <w:rsid w:val="75090455"/>
    <w:rsid w:val="7553467E"/>
    <w:rsid w:val="756A2D26"/>
    <w:rsid w:val="75717D08"/>
    <w:rsid w:val="76041EAA"/>
    <w:rsid w:val="76A67F13"/>
    <w:rsid w:val="778E40E4"/>
    <w:rsid w:val="78436C2C"/>
    <w:rsid w:val="784A17C4"/>
    <w:rsid w:val="78966DD7"/>
    <w:rsid w:val="78BA0A49"/>
    <w:rsid w:val="78CC645D"/>
    <w:rsid w:val="79B56435"/>
    <w:rsid w:val="79EB30D7"/>
    <w:rsid w:val="7B4D279B"/>
    <w:rsid w:val="7C4707B1"/>
    <w:rsid w:val="7CF1262E"/>
    <w:rsid w:val="7D0B2529"/>
    <w:rsid w:val="7D1363DA"/>
    <w:rsid w:val="7DB3215D"/>
    <w:rsid w:val="7DEF77B2"/>
    <w:rsid w:val="7E283678"/>
    <w:rsid w:val="7E680A67"/>
    <w:rsid w:val="7EBD46AC"/>
    <w:rsid w:val="7EE06F82"/>
    <w:rsid w:val="7F3D122A"/>
    <w:rsid w:val="7FE72592"/>
    <w:rsid w:val="7FF8DFAB"/>
    <w:rsid w:val="FFFD9E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63"/>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6">
    <w:name w:val="Default Paragraph Font"/>
    <w:autoRedefine/>
    <w:semiHidden/>
    <w:qFormat/>
    <w:uiPriority w:val="0"/>
  </w:style>
  <w:style w:type="table" w:default="1" w:styleId="24">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autoRedefine/>
    <w:qFormat/>
    <w:uiPriority w:val="0"/>
    <w:pPr>
      <w:widowControl/>
      <w:snapToGrid w:val="0"/>
      <w:spacing w:before="60" w:after="160" w:line="259" w:lineRule="auto"/>
      <w:ind w:right="113"/>
    </w:pPr>
    <w:rPr>
      <w:kern w:val="0"/>
      <w:sz w:val="18"/>
      <w:szCs w:val="20"/>
    </w:rPr>
  </w:style>
  <w:style w:type="paragraph" w:customStyle="1" w:styleId="3">
    <w:name w:val="Normal (Web)1"/>
    <w:basedOn w:val="1"/>
    <w:next w:val="4"/>
    <w:autoRedefine/>
    <w:qFormat/>
    <w:uiPriority w:val="0"/>
    <w:pPr>
      <w:widowControl/>
      <w:jc w:val="left"/>
    </w:pPr>
    <w:rPr>
      <w:rFonts w:ascii="宋体"/>
      <w:kern w:val="0"/>
      <w:sz w:val="24"/>
      <w:szCs w:val="21"/>
    </w:rPr>
  </w:style>
  <w:style w:type="paragraph" w:customStyle="1" w:styleId="4">
    <w:name w:val="Date1"/>
    <w:basedOn w:val="1"/>
    <w:next w:val="1"/>
    <w:autoRedefine/>
    <w:qFormat/>
    <w:uiPriority w:val="99"/>
    <w:pPr>
      <w:ind w:left="2500" w:leftChars="2500"/>
    </w:pPr>
  </w:style>
  <w:style w:type="paragraph" w:styleId="6">
    <w:name w:val="Normal Indent"/>
    <w:basedOn w:val="1"/>
    <w:next w:val="7"/>
    <w:autoRedefine/>
    <w:qFormat/>
    <w:uiPriority w:val="0"/>
    <w:pPr>
      <w:spacing w:line="460" w:lineRule="atLeast"/>
      <w:ind w:firstLine="420"/>
    </w:pPr>
    <w:rPr>
      <w:sz w:val="24"/>
      <w:szCs w:val="20"/>
    </w:rPr>
  </w:style>
  <w:style w:type="paragraph" w:styleId="7">
    <w:name w:val="Body Text First Indent 2"/>
    <w:basedOn w:val="8"/>
    <w:next w:val="1"/>
    <w:autoRedefine/>
    <w:qFormat/>
    <w:uiPriority w:val="0"/>
    <w:pPr>
      <w:ind w:firstLine="420" w:firstLineChars="200"/>
    </w:pPr>
    <w:rPr>
      <w:rFonts w:ascii="Calibri" w:hAnsi="Calibri" w:cs="Calibri"/>
      <w:kern w:val="2"/>
      <w:sz w:val="21"/>
      <w:szCs w:val="24"/>
    </w:rPr>
  </w:style>
  <w:style w:type="paragraph" w:styleId="8">
    <w:name w:val="Body Text Indent"/>
    <w:basedOn w:val="1"/>
    <w:next w:val="9"/>
    <w:autoRedefine/>
    <w:qFormat/>
    <w:uiPriority w:val="0"/>
    <w:pPr>
      <w:spacing w:after="120"/>
      <w:ind w:left="420" w:leftChars="200"/>
    </w:pPr>
    <w:rPr>
      <w:kern w:val="0"/>
      <w:sz w:val="24"/>
      <w:szCs w:val="20"/>
    </w:rPr>
  </w:style>
  <w:style w:type="paragraph" w:customStyle="1" w:styleId="9">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0">
    <w:name w:val="caption"/>
    <w:basedOn w:val="1"/>
    <w:next w:val="1"/>
    <w:autoRedefine/>
    <w:qFormat/>
    <w:uiPriority w:val="35"/>
    <w:pPr>
      <w:widowControl/>
      <w:adjustRightInd w:val="0"/>
      <w:snapToGrid w:val="0"/>
      <w:jc w:val="center"/>
    </w:pPr>
    <w:rPr>
      <w:rFonts w:eastAsia="黑体"/>
      <w:kern w:val="0"/>
      <w:sz w:val="24"/>
    </w:rPr>
  </w:style>
  <w:style w:type="paragraph" w:styleId="11">
    <w:name w:val="annotation text"/>
    <w:basedOn w:val="1"/>
    <w:autoRedefine/>
    <w:semiHidden/>
    <w:qFormat/>
    <w:uiPriority w:val="0"/>
    <w:pPr>
      <w:jc w:val="left"/>
    </w:pPr>
    <w:rPr>
      <w:kern w:val="0"/>
      <w:sz w:val="24"/>
      <w:szCs w:val="20"/>
    </w:rPr>
  </w:style>
  <w:style w:type="paragraph" w:styleId="12">
    <w:name w:val="Plain Text"/>
    <w:basedOn w:val="1"/>
    <w:autoRedefine/>
    <w:qFormat/>
    <w:uiPriority w:val="0"/>
    <w:rPr>
      <w:rFonts w:ascii="宋体" w:hAnsi="Courier New" w:eastAsia="宋体" w:cs="Times New Roman"/>
      <w:szCs w:val="20"/>
    </w:rPr>
  </w:style>
  <w:style w:type="paragraph" w:styleId="13">
    <w:name w:val="Body Text Indent 2"/>
    <w:basedOn w:val="1"/>
    <w:qFormat/>
    <w:uiPriority w:val="99"/>
    <w:pPr>
      <w:spacing w:after="120" w:line="480" w:lineRule="auto"/>
      <w:ind w:left="420" w:leftChars="200"/>
    </w:pPr>
  </w:style>
  <w:style w:type="paragraph" w:styleId="14">
    <w:name w:val="footer"/>
    <w:basedOn w:val="1"/>
    <w:autoRedefine/>
    <w:qFormat/>
    <w:uiPriority w:val="99"/>
    <w:pPr>
      <w:tabs>
        <w:tab w:val="center" w:pos="4153"/>
        <w:tab w:val="right" w:pos="8306"/>
      </w:tabs>
      <w:snapToGrid w:val="0"/>
      <w:jc w:val="left"/>
    </w:pPr>
    <w:rPr>
      <w:kern w:val="0"/>
      <w:sz w:val="18"/>
      <w:szCs w:val="20"/>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autoRedefine/>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7">
    <w:name w:val="toc 2"/>
    <w:basedOn w:val="1"/>
    <w:next w:val="1"/>
    <w:autoRedefine/>
    <w:qFormat/>
    <w:uiPriority w:val="39"/>
    <w:pPr>
      <w:ind w:left="210"/>
      <w:jc w:val="left"/>
    </w:pPr>
    <w:rPr>
      <w:smallCaps/>
      <w:sz w:val="20"/>
      <w:szCs w:val="20"/>
    </w:rPr>
  </w:style>
  <w:style w:type="paragraph" w:styleId="18">
    <w:name w:val="Body Text 2"/>
    <w:basedOn w:val="1"/>
    <w:qFormat/>
    <w:uiPriority w:val="0"/>
    <w:rPr>
      <w:sz w:val="28"/>
    </w:rPr>
  </w:style>
  <w:style w:type="paragraph" w:styleId="19">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20">
    <w:name w:val="Normal (Web)"/>
    <w:basedOn w:val="1"/>
    <w:autoRedefine/>
    <w:qFormat/>
    <w:uiPriority w:val="99"/>
    <w:pPr>
      <w:widowControl/>
      <w:spacing w:before="100" w:beforeAutospacing="1" w:after="100" w:afterAutospacing="1"/>
      <w:jc w:val="left"/>
    </w:pPr>
    <w:rPr>
      <w:rFonts w:ascii="宋体" w:hAnsi="宋体"/>
      <w:kern w:val="0"/>
      <w:sz w:val="24"/>
      <w:szCs w:val="20"/>
    </w:rPr>
  </w:style>
  <w:style w:type="paragraph" w:styleId="21">
    <w:name w:val="Title"/>
    <w:basedOn w:val="1"/>
    <w:next w:val="1"/>
    <w:qFormat/>
    <w:uiPriority w:val="10"/>
    <w:pPr>
      <w:widowControl w:val="0"/>
      <w:spacing w:before="120" w:beforeLines="0" w:after="120" w:afterLines="0"/>
      <w:ind w:firstLine="0" w:firstLineChars="0"/>
      <w:outlineLvl w:val="0"/>
    </w:pPr>
    <w:rPr>
      <w:rFonts w:ascii="Cambria" w:hAnsi="Cambria" w:cs="Times New Roman"/>
      <w:b/>
      <w:bCs/>
      <w:sz w:val="32"/>
      <w:szCs w:val="32"/>
    </w:rPr>
  </w:style>
  <w:style w:type="paragraph" w:styleId="22">
    <w:name w:val="Body Text First Indent"/>
    <w:basedOn w:val="1"/>
    <w:next w:val="23"/>
    <w:autoRedefine/>
    <w:qFormat/>
    <w:uiPriority w:val="0"/>
    <w:pPr>
      <w:ind w:firstLine="420" w:firstLineChars="100"/>
    </w:pPr>
  </w:style>
  <w:style w:type="paragraph" w:customStyle="1" w:styleId="23">
    <w:name w:val="样式 正文首行缩进 + 首行缩进:  2 字符1"/>
    <w:basedOn w:val="1"/>
    <w:next w:val="16"/>
    <w:autoRedefine/>
    <w:qFormat/>
    <w:uiPriority w:val="0"/>
    <w:pPr>
      <w:spacing w:line="360" w:lineRule="auto"/>
      <w:ind w:firstLine="480" w:firstLineChars="200"/>
    </w:pPr>
    <w:rPr>
      <w:sz w:val="24"/>
    </w:rPr>
  </w:style>
  <w:style w:type="table" w:styleId="25">
    <w:name w:val="Table Grid"/>
    <w:basedOn w:val="2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page number"/>
    <w:basedOn w:val="26"/>
    <w:autoRedefine/>
    <w:qFormat/>
    <w:uiPriority w:val="0"/>
  </w:style>
  <w:style w:type="character" w:styleId="28">
    <w:name w:val="Hyperlink"/>
    <w:basedOn w:val="26"/>
    <w:qFormat/>
    <w:uiPriority w:val="0"/>
    <w:rPr>
      <w:color w:val="0000FF"/>
      <w:u w:val="single"/>
    </w:rPr>
  </w:style>
  <w:style w:type="paragraph" w:customStyle="1" w:styleId="29">
    <w:name w:val="BodyText"/>
    <w:basedOn w:val="1"/>
    <w:autoRedefine/>
    <w:qFormat/>
    <w:uiPriority w:val="0"/>
    <w:pPr>
      <w:textAlignment w:val="baseline"/>
    </w:pPr>
    <w:rPr>
      <w:rFonts w:ascii="宋体" w:hAnsi="宋体"/>
      <w:szCs w:val="21"/>
    </w:rPr>
  </w:style>
  <w:style w:type="paragraph" w:customStyle="1" w:styleId="30">
    <w:name w:val="样式 正文缩进正文缩进2正文缩进 Char Char正文缩进 Char Char Char Char正文缩进 Char ..."/>
    <w:basedOn w:val="6"/>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31">
    <w:name w:val="样式 正文文本缩进 + 行距: 1.5 倍行距"/>
    <w:basedOn w:val="8"/>
    <w:autoRedefine/>
    <w:qFormat/>
    <w:uiPriority w:val="0"/>
    <w:pPr>
      <w:snapToGrid/>
      <w:spacing w:before="0" w:after="120" w:line="360" w:lineRule="auto"/>
      <w:ind w:left="90" w:leftChars="32" w:firstLine="560" w:firstLineChars="200"/>
    </w:pPr>
    <w:rPr>
      <w:rFonts w:ascii="Times New Roman" w:eastAsia="宋体" w:cs="宋体"/>
    </w:rPr>
  </w:style>
  <w:style w:type="paragraph" w:customStyle="1" w:styleId="32">
    <w:name w:val="Default"/>
    <w:basedOn w:val="33"/>
    <w:next w:val="1"/>
    <w:autoRedefine/>
    <w:qFormat/>
    <w:uiPriority w:val="0"/>
    <w:pPr>
      <w:widowControl w:val="0"/>
      <w:autoSpaceDE w:val="0"/>
      <w:autoSpaceDN w:val="0"/>
    </w:pPr>
    <w:rPr>
      <w:rFonts w:hAnsi="Times New Roman" w:cs="宋体"/>
      <w:color w:val="000000"/>
      <w:szCs w:val="24"/>
    </w:rPr>
  </w:style>
  <w:style w:type="paragraph" w:customStyle="1" w:styleId="3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4">
    <w:name w:val="【正文】"/>
    <w:basedOn w:val="1"/>
    <w:next w:val="19"/>
    <w:autoRedefine/>
    <w:qFormat/>
    <w:uiPriority w:val="0"/>
    <w:pPr>
      <w:ind w:firstLine="480"/>
    </w:pPr>
    <w:rPr>
      <w:sz w:val="24"/>
    </w:rPr>
  </w:style>
  <w:style w:type="paragraph" w:customStyle="1" w:styleId="35">
    <w:name w:val="内容"/>
    <w:basedOn w:val="1"/>
    <w:autoRedefine/>
    <w:qFormat/>
    <w:uiPriority w:val="0"/>
    <w:pPr>
      <w:spacing w:before="156" w:beforeLines="50" w:after="156" w:afterLines="50"/>
      <w:ind w:firstLine="200" w:firstLineChars="200"/>
    </w:pPr>
    <w:rPr>
      <w:color w:val="000000"/>
      <w:sz w:val="24"/>
    </w:rPr>
  </w:style>
  <w:style w:type="paragraph" w:customStyle="1" w:styleId="36">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37">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38">
    <w:name w:val="表中文字"/>
    <w:basedOn w:val="1"/>
    <w:autoRedefine/>
    <w:qFormat/>
    <w:uiPriority w:val="0"/>
    <w:pPr>
      <w:jc w:val="center"/>
    </w:pPr>
  </w:style>
  <w:style w:type="paragraph" w:customStyle="1" w:styleId="39">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40">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41">
    <w:name w:val="表格内容"/>
    <w:autoRedefine/>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42">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3">
    <w:name w:val="首行缩进表格正文"/>
    <w:basedOn w:val="1"/>
    <w:autoRedefine/>
    <w:qFormat/>
    <w:uiPriority w:val="0"/>
    <w:pPr>
      <w:spacing w:line="360" w:lineRule="auto"/>
      <w:ind w:firstLine="720" w:firstLineChars="200"/>
      <w:jc w:val="left"/>
    </w:pPr>
    <w:rPr>
      <w:rFonts w:ascii="Times New Roman" w:hAnsi="Times New Roman" w:eastAsia="宋体"/>
    </w:rPr>
  </w:style>
  <w:style w:type="paragraph" w:customStyle="1" w:styleId="44">
    <w:name w:val="【表中文字】"/>
    <w:basedOn w:val="45"/>
    <w:link w:val="66"/>
    <w:autoRedefine/>
    <w:qFormat/>
    <w:uiPriority w:val="0"/>
    <w:pPr>
      <w:spacing w:line="240" w:lineRule="auto"/>
      <w:jc w:val="center"/>
    </w:pPr>
    <w:rPr>
      <w:rFonts w:ascii="Calibri" w:hAnsi="Calibri" w:eastAsia="宋体" w:cs="Times New Roman"/>
      <w:sz w:val="21"/>
      <w:szCs w:val="22"/>
    </w:rPr>
  </w:style>
  <w:style w:type="paragraph" w:customStyle="1" w:styleId="45">
    <w:name w:val=".表1-1-1内容"/>
    <w:basedOn w:val="1"/>
    <w:autoRedefine/>
    <w:qFormat/>
    <w:uiPriority w:val="0"/>
    <w:pPr>
      <w:spacing w:line="300" w:lineRule="exact"/>
      <w:jc w:val="center"/>
    </w:pPr>
    <w:rPr>
      <w:kern w:val="0"/>
      <w:szCs w:val="21"/>
    </w:rPr>
  </w:style>
  <w:style w:type="paragraph" w:customStyle="1" w:styleId="46">
    <w:name w:val="表格文字"/>
    <w:basedOn w:val="12"/>
    <w:next w:val="1"/>
    <w:autoRedefine/>
    <w:qFormat/>
    <w:uiPriority w:val="0"/>
    <w:pPr>
      <w:spacing w:before="60" w:after="60" w:line="360" w:lineRule="auto"/>
      <w:ind w:firstLine="640"/>
    </w:pPr>
    <w:rPr>
      <w:rFonts w:ascii="Calibri" w:hAnsi="Calibri" w:cs="Times New Roman"/>
    </w:rPr>
  </w:style>
  <w:style w:type="paragraph" w:customStyle="1" w:styleId="47">
    <w:name w:val="文本正文"/>
    <w:autoRedefine/>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48">
    <w:name w:val="样式 文本正文 + Calibri 黑色 Char"/>
    <w:link w:val="49"/>
    <w:autoRedefine/>
    <w:qFormat/>
    <w:uiPriority w:val="0"/>
    <w:rPr>
      <w:color w:val="000000"/>
    </w:rPr>
  </w:style>
  <w:style w:type="paragraph" w:customStyle="1" w:styleId="49">
    <w:name w:val="样式 文本正文 + Calibri 黑色"/>
    <w:basedOn w:val="47"/>
    <w:link w:val="48"/>
    <w:autoRedefine/>
    <w:qFormat/>
    <w:uiPriority w:val="0"/>
    <w:rPr>
      <w:color w:val="000000"/>
    </w:rPr>
  </w:style>
  <w:style w:type="paragraph" w:customStyle="1" w:styleId="50">
    <w:name w:val="样式 黑体 居中 行距: 1.5 倍行距"/>
    <w:basedOn w:val="1"/>
    <w:autoRedefine/>
    <w:qFormat/>
    <w:uiPriority w:val="0"/>
    <w:pPr>
      <w:spacing w:line="360" w:lineRule="auto"/>
      <w:jc w:val="center"/>
    </w:pPr>
    <w:rPr>
      <w:rFonts w:hint="eastAsia" w:ascii="黑体" w:hAnsi="黑体" w:eastAsia="黑体"/>
      <w:kern w:val="0"/>
      <w:sz w:val="24"/>
      <w:szCs w:val="20"/>
    </w:rPr>
  </w:style>
  <w:style w:type="paragraph" w:customStyle="1" w:styleId="51">
    <w:name w:val="雪表头"/>
    <w:basedOn w:val="1"/>
    <w:next w:val="1"/>
    <w:autoRedefine/>
    <w:qFormat/>
    <w:uiPriority w:val="0"/>
    <w:pPr>
      <w:keepNext/>
      <w:spacing w:line="500" w:lineRule="exact"/>
      <w:jc w:val="center"/>
    </w:pPr>
    <w:rPr>
      <w:rFonts w:hint="default" w:ascii="Times New Roman" w:eastAsia="黑体"/>
      <w:kern w:val="2"/>
      <w:szCs w:val="24"/>
    </w:rPr>
  </w:style>
  <w:style w:type="paragraph" w:customStyle="1" w:styleId="52">
    <w:name w:val="表格中文字"/>
    <w:basedOn w:val="1"/>
    <w:autoRedefine/>
    <w:qFormat/>
    <w:uiPriority w:val="0"/>
    <w:pPr>
      <w:spacing w:line="360" w:lineRule="exact"/>
      <w:ind w:firstLine="0" w:firstLineChars="0"/>
      <w:jc w:val="center"/>
    </w:pPr>
    <w:rPr>
      <w:kern w:val="0"/>
      <w:sz w:val="21"/>
      <w:szCs w:val="21"/>
    </w:rPr>
  </w:style>
  <w:style w:type="paragraph" w:customStyle="1" w:styleId="53">
    <w:name w:val="表表头"/>
    <w:basedOn w:val="1"/>
    <w:autoRedefine/>
    <w:qFormat/>
    <w:uiPriority w:val="0"/>
    <w:pPr>
      <w:ind w:firstLine="0" w:firstLineChars="0"/>
      <w:jc w:val="center"/>
    </w:pPr>
    <w:rPr>
      <w:rFonts w:eastAsia="黑体"/>
    </w:rPr>
  </w:style>
  <w:style w:type="paragraph" w:customStyle="1" w:styleId="54">
    <w:name w:val="表文"/>
    <w:basedOn w:val="12"/>
    <w:next w:val="1"/>
    <w:autoRedefine/>
    <w:qFormat/>
    <w:uiPriority w:val="0"/>
    <w:pPr>
      <w:jc w:val="center"/>
    </w:pPr>
    <w:rPr>
      <w:szCs w:val="20"/>
    </w:rPr>
  </w:style>
  <w:style w:type="paragraph" w:customStyle="1" w:styleId="55">
    <w:name w:val="a正文"/>
    <w:basedOn w:val="56"/>
    <w:autoRedefine/>
    <w:qFormat/>
    <w:uiPriority w:val="0"/>
    <w:pPr>
      <w:spacing w:line="520" w:lineRule="exact"/>
      <w:ind w:firstLine="200" w:firstLineChars="200"/>
    </w:pPr>
    <w:rPr>
      <w:kern w:val="0"/>
      <w:szCs w:val="21"/>
    </w:rPr>
  </w:style>
  <w:style w:type="paragraph" w:customStyle="1" w:styleId="56">
    <w:name w:val="正文格式"/>
    <w:basedOn w:val="1"/>
    <w:autoRedefine/>
    <w:qFormat/>
    <w:uiPriority w:val="0"/>
    <w:pPr>
      <w:spacing w:line="360" w:lineRule="auto"/>
      <w:ind w:firstLine="482"/>
    </w:pPr>
  </w:style>
  <w:style w:type="paragraph" w:customStyle="1" w:styleId="57">
    <w:name w:val="..正文"/>
    <w:basedOn w:val="1"/>
    <w:qFormat/>
    <w:uiPriority w:val="0"/>
    <w:pPr>
      <w:spacing w:line="520" w:lineRule="exact"/>
      <w:ind w:firstLine="200" w:firstLineChars="200"/>
    </w:pPr>
    <w:rPr>
      <w:kern w:val="0"/>
      <w:sz w:val="24"/>
    </w:rPr>
  </w:style>
  <w:style w:type="paragraph" w:customStyle="1" w:styleId="58">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59">
    <w:name w:val="11111"/>
    <w:basedOn w:val="1"/>
    <w:next w:val="1"/>
    <w:autoRedefine/>
    <w:qFormat/>
    <w:uiPriority w:val="0"/>
    <w:pPr>
      <w:spacing w:line="360" w:lineRule="auto"/>
      <w:ind w:firstLine="200" w:firstLineChars="200"/>
    </w:pPr>
    <w:rPr>
      <w:rFonts w:hAnsi="宋体" w:cs="宋体"/>
    </w:rPr>
  </w:style>
  <w:style w:type="paragraph" w:customStyle="1" w:styleId="60">
    <w:name w:val="WPSOffice手动目录 1"/>
    <w:qFormat/>
    <w:uiPriority w:val="0"/>
    <w:pPr>
      <w:ind w:leftChars="0"/>
    </w:pPr>
    <w:rPr>
      <w:rFonts w:ascii="Times New Roman" w:hAnsi="Times New Roman" w:eastAsia="宋体" w:cs="Times New Roman"/>
      <w:sz w:val="20"/>
      <w:szCs w:val="20"/>
    </w:rPr>
  </w:style>
  <w:style w:type="paragraph" w:customStyle="1" w:styleId="61">
    <w:name w:val="【表头】"/>
    <w:basedOn w:val="62"/>
    <w:autoRedefine/>
    <w:qFormat/>
    <w:uiPriority w:val="0"/>
    <w:pPr>
      <w:spacing w:line="460" w:lineRule="exact"/>
      <w:jc w:val="center"/>
    </w:pPr>
    <w:rPr>
      <w:b/>
      <w:sz w:val="24"/>
    </w:rPr>
  </w:style>
  <w:style w:type="paragraph" w:customStyle="1" w:styleId="62">
    <w:name w:val="0"/>
    <w:basedOn w:val="1"/>
    <w:autoRedefine/>
    <w:qFormat/>
    <w:uiPriority w:val="99"/>
    <w:pPr>
      <w:widowControl/>
      <w:snapToGrid w:val="0"/>
      <w:jc w:val="left"/>
    </w:pPr>
    <w:rPr>
      <w:rFonts w:ascii="宋体"/>
      <w:kern w:val="0"/>
      <w:sz w:val="20"/>
      <w:szCs w:val="20"/>
    </w:rPr>
  </w:style>
  <w:style w:type="character" w:customStyle="1" w:styleId="63">
    <w:name w:val="标题 1 Char"/>
    <w:link w:val="5"/>
    <w:qFormat/>
    <w:uiPriority w:val="99"/>
    <w:rPr>
      <w:rFonts w:eastAsia="黑体"/>
      <w:b/>
      <w:bCs/>
      <w:color w:val="000000"/>
      <w:kern w:val="44"/>
      <w:sz w:val="30"/>
      <w:szCs w:val="30"/>
    </w:rPr>
  </w:style>
  <w:style w:type="paragraph" w:customStyle="1" w:styleId="64">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65">
    <w:name w:val="表格正文"/>
    <w:qFormat/>
    <w:uiPriority w:val="0"/>
    <w:pPr>
      <w:adjustRightInd w:val="0"/>
      <w:snapToGrid w:val="0"/>
      <w:spacing w:line="440" w:lineRule="exact"/>
      <w:jc w:val="center"/>
    </w:pPr>
    <w:rPr>
      <w:rFonts w:ascii="Times New Roman" w:hAnsi="Times New Roman" w:eastAsia="宋体" w:cs="Times New Roman"/>
      <w:color w:val="FF0000"/>
      <w:szCs w:val="21"/>
      <w:lang w:val="en-US" w:eastAsia="zh-CN" w:bidi="ar-SA"/>
    </w:rPr>
  </w:style>
  <w:style w:type="character" w:customStyle="1" w:styleId="66">
    <w:name w:val="【表中文字】 Char"/>
    <w:link w:val="44"/>
    <w:qFormat/>
    <w:uiPriority w:val="0"/>
    <w:rPr>
      <w:rFonts w:ascii="Calibri" w:hAnsi="Calibri" w:eastAsia="宋体" w:cs="Times New Roman"/>
      <w:sz w:val="21"/>
      <w:szCs w:val="22"/>
    </w:rPr>
  </w:style>
  <w:style w:type="paragraph" w:customStyle="1" w:styleId="67">
    <w:name w:val="Table Text"/>
    <w:basedOn w:val="1"/>
    <w:semiHidden/>
    <w:qFormat/>
    <w:uiPriority w:val="0"/>
    <w:rPr>
      <w:rFonts w:ascii="仿宋" w:hAnsi="仿宋" w:eastAsia="仿宋" w:cs="仿宋"/>
      <w:sz w:val="28"/>
      <w:szCs w:val="2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customXml" Target="../customXml/item2.xml"/><Relationship Id="rId58" Type="http://schemas.openxmlformats.org/officeDocument/2006/relationships/customXml" Target="../customXml/item1.xml"/><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wmf"/><Relationship Id="rId27" Type="http://schemas.openxmlformats.org/officeDocument/2006/relationships/oleObject" Target="embeddings/oleObject2.bin"/><Relationship Id="rId26" Type="http://schemas.openxmlformats.org/officeDocument/2006/relationships/image" Target="media/image15.wmf"/><Relationship Id="rId25" Type="http://schemas.openxmlformats.org/officeDocument/2006/relationships/oleObject" Target="embeddings/oleObject1.bin"/><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f6181ae0-f1a4-48b6-96fd-781dfebc3dc5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454DD15</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c72e0783-64e7-4dbe-a5e7-d2fed472e7ce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3677073C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8effd58e-c8b0-4cf9-ac5b-1849ff696836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50E46AD7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4ceb8b46-957a-4e9c-9b60-696d1f4f7810</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7CA5D012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b5e85d58-ecc9-4d11-a0f4-f46b0958cf53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3282B4A6</paraID>
      <start xmlns="http://schemas.wps.cn/vas-ai-hub/contract-review">485</start>
      <end xmlns="http://schemas.wps.cn/vas-ai-hub/contract-review">486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f9bbd660-f588-4687-af0c-56f3297cb558</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783BAD9E</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497ea4e7-e12f-4899-8fec-0539a811b292</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92198DB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11cc3c7b-cc8a-482f-9d68-295ca7051c35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5F59A4C8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c90cdf6e-ffcf-4441-af6d-a62f6cd3f67d</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14A3FDF4</paraID>
      <start xmlns="http://schemas.wps.cn/vas-ai-hub/contract-review">56</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9eff029d-5040-422a-b0f5-8378a6a6a4c4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41732AC3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2562bc5c-22a4-4d0c-845a-889adc5e9255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325C6849</paraID>
      <start xmlns="http://schemas.wps.cn/vas-ai-hub/contract-review">98</start>
      <end xmlns="http://schemas.wps.cn/vas-ai-hub/contract-review">99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58af0284-ead4-45b8-9b71-693862c5d41e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43B2AA55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b55dee1f-9b4c-4979-8de1-d72303a1fa64</errorID>
      <errorWord xmlns="http://schemas.wps.cn/vas-ai-hub/contract-review">上线</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上限</item>
      </candidateList>
      <explain xmlns="http://schemas.wps.cn/vas-ai-hub/contract-review"/>
      <paraID xmlns="http://schemas.wps.cn/vas-ai-hub/contract-review">26A8FAAB</paraID>
      <start xmlns="http://schemas.wps.cn/vas-ai-hub/contract-review">84</start>
      <end xmlns="http://schemas.wps.cn/vas-ai-hub/contract-review">86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8bbca1a0-457e-465f-b794-93c86a4386a1</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5C155522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bb98b8cc-5bd0-47ab-b916-88b37906d62c</errorID>
      <errorWord xmlns="http://schemas.wps.cn/vas-ai-hub/contract-review">煤厂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煤场</item>
      </candidateList>
      <explain xmlns="http://schemas.wps.cn/vas-ai-hub/contract-review">存在发音相同字词的误用。</explain>
      <paraID xmlns="http://schemas.wps.cn/vas-ai-hub/contract-review">2BB6BF9B</paraID>
      <start xmlns="http://schemas.wps.cn/vas-ai-hub/contract-review">1</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71678e6b-1e5c-4670-88db-8ffa1f28f4d5</errorID>
      <errorWord xmlns="http://schemas.wps.cn/vas-ai-hub/contract-review">煤厂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煤场</item>
      </candidateList>
      <explain xmlns="http://schemas.wps.cn/vas-ai-hub/contract-review">存在发音相同字词的误用。</explain>
      <paraID xmlns="http://schemas.wps.cn/vas-ai-hub/contract-review">2BB6BF9B</paraID>
      <start xmlns="http://schemas.wps.cn/vas-ai-hub/contract-review">55</start>
      <end xmlns="http://schemas.wps.cn/vas-ai-hub/contract-review">57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76ef7fb6-637d-47d1-8a19-dde0ada8a059</errorID>
      <errorWord xmlns="http://schemas.wps.cn/vas-ai-hub/contract-review">厂所</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场所</item>
      </candidateList>
      <explain xmlns="http://schemas.wps.cn/vas-ai-hub/contract-review">存在发音相同字词的误用。</explain>
      <paraID xmlns="http://schemas.wps.cn/vas-ai-hub/contract-review">49F001FF</paraID>
      <start xmlns="http://schemas.wps.cn/vas-ai-hub/contract-review">2</start>
      <end xmlns="http://schemas.wps.cn/vas-ai-hub/contract-review">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678d6cc0-0d97-4a78-94e1-60775b381801</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》和</item>
      </candidateList>
      <explain xmlns="http://schemas.wps.cn/vas-ai-hub/contract-review"/>
      <paraID xmlns="http://schemas.wps.cn/vas-ai-hub/contract-review">4215F098</paraID>
      <start xmlns="http://schemas.wps.cn/vas-ai-hub/contract-review">27</start>
      <end xmlns="http://schemas.wps.cn/vas-ai-hub/contract-review">28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52ebfe61-735b-4e59-8c1f-7cd082a9ff67</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53DC640E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f3cbff54-0b0a-4165-9574-8292e0329048</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》和</item>
      </candidateList>
      <explain xmlns="http://schemas.wps.cn/vas-ai-hub/contract-review"/>
      <paraID xmlns="http://schemas.wps.cn/vas-ai-hub/contract-review">69E91BC2</paraID>
      <start xmlns="http://schemas.wps.cn/vas-ai-hub/contract-review">43</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e1f41fd2-38cd-46d2-ade3-4d64a6fc88e1</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149B1315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a3fabe19-3553-46e8-b7ed-80ad4fdffa36</errorID>
      <errorWord xmlns="http://schemas.wps.cn/vas-ai-hub/contract-review">黑龙江省大气污染防治条例</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《黑龙江省大气污染防治条例》</item>
      </candidateList>
      <explain xmlns="http://schemas.wps.cn/vas-ai-hub/contract-review">完整法律法规名称需要加书名号，请注意检查。</explain>
      <paraID xmlns="http://schemas.wps.cn/vas-ai-hub/contract-review">5E82D453</paraID>
      <start xmlns="http://schemas.wps.cn/vas-ai-hub/contract-review">0</start>
      <end xmlns="http://schemas.wps.cn/vas-ai-hub/contract-review">12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e9c57177-574b-44b9-9900-db89d5ff4b47</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6A532559</paraID>
      <start xmlns="http://schemas.wps.cn/vas-ai-hub/contract-review">41</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6070a396-5c7f-4638-82ab-d489562943e2</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743C8527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88d403dc-985d-479f-b822-366e12647aaf</errorID>
      <errorWord xmlns="http://schemas.wps.cn/vas-ai-hub/contract-review">城乡结合部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城乡接合部</item>
      </candidateList>
      <explain xmlns="http://schemas.wps.cn/vas-ai-hub/contract-review"/>
      <paraID xmlns="http://schemas.wps.cn/vas-ai-hub/contract-review">18C1EC44</paraID>
      <start xmlns="http://schemas.wps.cn/vas-ai-hub/contract-review">88</start>
      <end xmlns="http://schemas.wps.cn/vas-ai-hub/contract-review">93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404b8b25-7ce2-4d1f-b099-c694b5e8b737</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
      <paraID xmlns="http://schemas.wps.cn/vas-ai-hub/contract-review">18C1EC44</paraID>
      <start xmlns="http://schemas.wps.cn/vas-ai-hub/contract-review">104</start>
      <end xmlns="http://schemas.wps.cn/vas-ai-hub/contract-review">105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26c589ff-ed6f-416a-8202-bcb0bd7c6c6c</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  AD0028</paraID>
      <start xmlns="http://schemas.wps.cn/vas-ai-hub/contract-review">41</start>
      <end xmlns="http://schemas.wps.cn/vas-ai-hub/contract-review">42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4e137f25-0136-4c62-8b4f-a9e1dcc1e669</errorID>
      <errorWord xmlns="http://schemas.wps.cn/vas-ai-hub/contract-review">9、</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9.</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35C333FC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6bd8555a-ade7-4976-858b-fdf33b655a38</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103D39B8</paraID>
      <start xmlns="http://schemas.wps.cn/vas-ai-hub/contract-review">63</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ce8db2fa-ed48-4bd0-a5c3-8f40314f2819</errorID>
      <errorWord xmlns="http://schemas.wps.cn/vas-ai-hub/contract-review">10、</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10.</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32DD98CD</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18dde706-65bb-4cd8-83fc-82c0e445556e</errorID>
      <errorWord xmlns="http://schemas.wps.cn/vas-ai-hub/contract-review">遏止</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遏制</item>
      </candidateList>
      <explain xmlns="http://schemas.wps.cn/vas-ai-hub/contract-review">〈动〉制止；控制：～对方的攻势｜～不住的激情。</explain>
      <paraID xmlns="http://schemas.wps.cn/vas-ai-hub/contract-review">66FF8159</paraID>
      <start xmlns="http://schemas.wps.cn/vas-ai-hub/contract-review">215</start>
      <end xmlns="http://schemas.wps.cn/vas-ai-hub/contract-review">217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18275356-3e6f-4475-8b42-193b3aa9e333</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1B73FC6B</paraID>
      <start xmlns="http://schemas.wps.cn/vas-ai-hub/contract-review">45</start>
      <end xmlns="http://schemas.wps.cn/vas-ai-hub/contract-review">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4ec6ce8c-d055-4b56-bc5a-6bc76d666fe9</errorID>
      <errorWord xmlns="http://schemas.wps.cn/vas-ai-hub/contract-review">11、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8F4F726</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29069a66-9842-4766-9ea8-3d35be062cd0</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40FB54C5</paraID>
      <start xmlns="http://schemas.wps.cn/vas-ai-hub/contract-review">34</start>
      <end xmlns="http://schemas.wps.cn/vas-ai-hub/contract-review">35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f44386be-8814-4218-8a94-6e8a798dc554</errorID>
      <errorWord xmlns="http://schemas.wps.cn/vas-ai-hub/contract-review">12、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2ECC3B0</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5dd6ca44-ead9-411a-aa92-03ca66a0219a</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7B6CE07C</paraID>
      <start xmlns="http://schemas.wps.cn/vas-ai-hub/contract-review">54</start>
      <end xmlns="http://schemas.wps.cn/vas-ai-hub/contract-review">55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fe222efa-eab0-484d-95ee-a763fe1572ce</errorID>
      <errorWord xmlns="http://schemas.wps.cn/vas-ai-hub/contract-review">13、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2E5C5B37</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59a2430f-0fe0-4702-9455-36fcd36c8fee</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2E5C5B37</paraID>
      <start xmlns="http://schemas.wps.cn/vas-ai-hub/contract-review">465</start>
      <end xmlns="http://schemas.wps.cn/vas-ai-hub/contract-review">466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10cc66bd-01e4-46a9-9b20-70398f21de7b</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51B70554</paraID>
      <start xmlns="http://schemas.wps.cn/vas-ai-hub/contract-review">463</start>
      <end xmlns="http://schemas.wps.cn/vas-ai-hub/contract-review">464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86cbd542-daea-44c1-858c-51afa0fb7eaa</errorID>
      <errorWord xmlns="http://schemas.wps.cn/vas-ai-hub/contract-review">14、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5B5A2F0</paraID>
      <start xmlns="http://schemas.wps.cn/vas-ai-hub/contract-review">0</start>
      <end xmlns="http://schemas.wps.cn/vas-ai-hub/contract-review">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d916e9d5-6abc-4db7-ab4d-1824cb8bd4ae</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F2A3AD1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b7416c30-f3aa-4fc5-a3eb-583e3b1b428f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25DC1C23</paraID>
      <start xmlns="http://schemas.wps.cn/vas-ai-hub/contract-review">61</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ac11edf2-9e9e-4d16-bbc2-6bbbd8a20c78</errorID>
      <errorWord xmlns="http://schemas.wps.cn/vas-ai-hub/contract-review">，的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item>
      </candidateList>
      <explain xmlns="http://schemas.wps.cn/vas-ai-hub/contract-review"/>
      <paraID xmlns="http://schemas.wps.cn/vas-ai-hub/contract-review">79EB2490</paraID>
      <start xmlns="http://schemas.wps.cn/vas-ai-hub/contract-review">25</start>
      <end xmlns="http://schemas.wps.cn/vas-ai-hub/contract-review">27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c4597a0e-e5b2-4d32-b2e3-41e049f1cfec</errorID>
      <errorWord xmlns="http://schemas.wps.cn/vas-ai-hub/contract-review">场区</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厂区</item>
      </candidateList>
      <explain xmlns="http://schemas.wps.cn/vas-ai-hub/contract-review"/>
      <paraID xmlns="http://schemas.wps.cn/vas-ai-hub/contract-review">511096F9</paraID>
      <start xmlns="http://schemas.wps.cn/vas-ai-hub/contract-review">106</start>
      <end xmlns="http://schemas.wps.cn/vas-ai-hub/contract-review">108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07eb5f42-3991-4b02-84db-c42f5f0b5a37</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1AA2177A</paraID>
      <start xmlns="http://schemas.wps.cn/vas-ai-hub/contract-review">28</start>
      <end xmlns="http://schemas.wps.cn/vas-ai-hub/contract-review">29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85d809b7-7334-4edd-b362-a3fd55c9fdc8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158FA66C</paraID>
      <start xmlns="http://schemas.wps.cn/vas-ai-hub/contract-review">145</start>
      <end xmlns="http://schemas.wps.cn/vas-ai-hub/contract-review">146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5c9a6ba3-327c-41b1-a28c-ca42ba5787dd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78629F7E</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66587cf2-fd9c-47b9-9308-ba320d921608</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53F9266C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db70d6ea-9108-4bf8-a6eb-bd069966ff0c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3B22CA50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d6411ed6-f16f-432b-9d01-979c8223ab7f</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6078467E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67154e99-5a13-48a6-9f5e-4b44b8296ccf</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3432782D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bdc60e19-9c5e-4a40-b208-11f4717121cc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D3D4892</paraID>
      <start xmlns="http://schemas.wps.cn/vas-ai-hub/contract-review">69</start>
      <end xmlns="http://schemas.wps.cn/vas-ai-hub/contract-review">70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eb6ebdb5-7bee-4832-a610-9d69dac7507b</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661128ED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652fcb44-941c-482f-bb3d-ef2cc4c0806b</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4624C234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7c5cbb36-e7d5-4206-9648-330698504997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51F781F2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5e2a3a29-cbc0-4978-9353-6ab301c382d4</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4443D9DE</paraID>
      <start xmlns="http://schemas.wps.cn/vas-ai-hub/contract-review">51</start>
      <end xmlns="http://schemas.wps.cn/vas-ai-hub/contract-review">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b28a30a8-7607-47ce-bd26-cbbe72e4691e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2AE18220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151a5f2c-7ecc-4823-8608-4e29c760054d</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3B0DF9B4</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0d8c8bc2-be2e-4c7c-8f6a-d0e356250442</errorID>
      <errorWord xmlns="http://schemas.wps.cn/vas-ai-hub/contract-review">、和</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item>
      </candidateList>
      <explain xmlns="http://schemas.wps.cn/vas-ai-hub/contract-review"/>
      <paraID xmlns="http://schemas.wps.cn/vas-ai-hub/contract-review">69273293</paraID>
      <start xmlns="http://schemas.wps.cn/vas-ai-hub/contract-review">148</start>
      <end xmlns="http://schemas.wps.cn/vas-ai-hub/contract-review">150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17e52a7a-23ca-4494-9b15-4155cdf00364</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60B4169B</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b9606f7f-1997-4cd8-888e-20cb3a689e95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10DB0BAC</paraID>
      <start xmlns="http://schemas.wps.cn/vas-ai-hub/contract-review">57</start>
      <end xmlns="http://schemas.wps.cn/vas-ai-hub/contract-review">58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fa83930b-be57-48c6-ba3f-d773c8eb7a64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10DB0BAC</paraID>
      <start xmlns="http://schemas.wps.cn/vas-ai-hub/contract-review">98</start>
      <end xmlns="http://schemas.wps.cn/vas-ai-hub/contract-review">99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da3e143e-2968-4657-a02b-da3e6e7f998f</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59C51403</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b1db6369-3d5a-455a-a8cc-1eee2d359f11</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6EA3B741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58713767-3ccb-4e46-b545-59326673630e</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21CF5D2C</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57077e8c-4dc7-47a8-b4e5-5337de55a55f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652C8148</paraID>
      <start xmlns="http://schemas.wps.cn/vas-ai-hub/contract-review">125</start>
      <end xmlns="http://schemas.wps.cn/vas-ai-hub/contract-review">126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3e157ecf-3982-41a7-a8bd-9924f6e8a066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652C8148</paraID>
      <start xmlns="http://schemas.wps.cn/vas-ai-hub/contract-review">210</start>
      <end xmlns="http://schemas.wps.cn/vas-ai-hub/contract-review">211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e040d3b1-0057-4097-a3cd-7cf90ee74f2c</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5207A332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259a0dc0-1196-4e87-8395-f5f2ba0dedc3</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1004284D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0f0a2d86-9b5c-4c70-ac6c-0914d2954855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2A659358</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e2000ac6-ff86-4121-9941-0abacdbc3630</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12BF4155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82085283-e674-46e2-9633-3a4092887f26</errorID>
      <errorWord xmlns="http://schemas.wps.cn/vas-ai-hub/contract-review">十四五期间</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“十四五”期间</item>
      </candidateList>
      <explain xmlns="http://schemas.wps.cn/vas-ai-hub/contract-review">注意检查当前固定表述标点是否使用规范。</explain>
      <paraID xmlns="http://schemas.wps.cn/vas-ai-hub/contract-review">361AC555</paraID>
      <start xmlns="http://schemas.wps.cn/vas-ai-hub/contract-review">59</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c0dd6a07-3848-4025-a246-3db12cd465b8</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22EBD62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ae38209e-7590-4157-a56b-2a5cc630c698</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23D841FE</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9efb3c9b-167e-4c1a-8f90-d30d6f3c54fc</errorID>
      <errorWord xmlns="http://schemas.wps.cn/vas-ai-hub/contract-review">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期间</item>
      </candidateList>
      <explain xmlns="http://schemas.wps.cn/vas-ai-hub/contract-review">〈名〉某个时期里面：农忙～｜春节～｜抗战～。</explain>
      <paraID xmlns="http://schemas.wps.cn/vas-ai-hub/contract-review">3C205400</paraID>
      <start xmlns="http://schemas.wps.cn/vas-ai-hub/contract-review">132</start>
      <end xmlns="http://schemas.wps.cn/vas-ai-hub/contract-review">133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64fa830e-fc5a-435e-8195-cca2e134e14e</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2F11D542</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6e051502-f42c-41b2-8e8f-9f71b0d0ea01</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78E9B39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3d9819c4-4932-4fb3-ba76-c0e4d09d95e3</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2FEB2480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516475cf-ac2b-435c-8f39-f51fdc242b33</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7DA3ECC0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692caad4-901c-42e3-8f61-7c891112e856</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56D92636</paraID>
      <start xmlns="http://schemas.wps.cn/vas-ai-hub/contract-review">112</start>
      <end xmlns="http://schemas.wps.cn/vas-ai-hub/contract-review">113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c1d1b8e2-a14c-40bf-b221-276963799228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56D92636</paraID>
      <start xmlns="http://schemas.wps.cn/vas-ai-hub/contract-review">205</start>
      <end xmlns="http://schemas.wps.cn/vas-ai-hub/contract-review">207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969b5b87-efac-4ef1-824a-04ad5d24d672</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3D16DCE9</paraID>
      <start xmlns="http://schemas.wps.cn/vas-ai-hub/contract-review">191</start>
      <end xmlns="http://schemas.wps.cn/vas-ai-hub/contract-review">192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2821d7a9-b7fa-4a46-8d4c-6a03b067b275</errorID>
      <errorWord xmlns="http://schemas.wps.cn/vas-ai-hub/contract-review">、共4</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共4</item>
      </candidateList>
      <explain xmlns="http://schemas.wps.cn/vas-ai-hub/contract-review"/>
      <paraID xmlns="http://schemas.wps.cn/vas-ai-hub/contract-review">18AEE229</paraID>
      <start xmlns="http://schemas.wps.cn/vas-ai-hub/contract-review">14</start>
      <end xmlns="http://schemas.wps.cn/vas-ai-hub/contract-review">17</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1278aeb1-bdaf-42c0-b719-64f38a7e2ea7</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77D905EF</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8a7ee1d5-a0c6-4a51-a386-4958c0d5fe7d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17C2C8FC</paraID>
      <start xmlns="http://schemas.wps.cn/vas-ai-hub/contract-review">7</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4441863b-38f7-4416-94d7-6a877af5b345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3C5C7A02</paraID>
      <start xmlns="http://schemas.wps.cn/vas-ai-hub/contract-review">37</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0c7d7dc3-c45a-421a-9762-7f8c30b67fe9</errorID>
      <errorWord xmlns="http://schemas.wps.cn/vas-ai-hub/contract-review">积</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积是</item>
      </candidateList>
      <explain xmlns="http://schemas.wps.cn/vas-ai-hub/contract-review"/>
      <paraID xmlns="http://schemas.wps.cn/vas-ai-hub/contract-review">2D3EABBA</paraID>
      <start xmlns="http://schemas.wps.cn/vas-ai-hub/contract-review">229</start>
      <end xmlns="http://schemas.wps.cn/vas-ai-hub/contract-review">230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27e3a90a-2a97-4431-82a8-241d14c93abd</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，本</item>
      </candidateList>
      <explain xmlns="http://schemas.wps.cn/vas-ai-hub/contract-review"/>
      <paraID xmlns="http://schemas.wps.cn/vas-ai-hub/contract-review">2D3EABBA</paraID>
      <start xmlns="http://schemas.wps.cn/vas-ai-hub/contract-review">254</start>
      <end xmlns="http://schemas.wps.cn/vas-ai-hub/contract-review">255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6fd2862c-b000-4004-9015-da2a86045d31</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6B411E39</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08b9db2b-1e6f-4df7-8972-ee0e64b9299c</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266A1735</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47b59fe1-2700-4655-b78d-c4f302f06c55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5D86FB3D</paraID>
      <start xmlns="http://schemas.wps.cn/vas-ai-hub/contract-review">172</start>
      <end xmlns="http://schemas.wps.cn/vas-ai-hub/contract-review">173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d8e7468d-fcfb-4379-9536-ec3f88ba0384</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8700E9D</paraID>
      <start xmlns="http://schemas.wps.cn/vas-ai-hub/contract-review">63</start>
      <end xmlns="http://schemas.wps.cn/vas-ai-hub/contract-review">64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12fd4936-444a-46aa-a482-98bd8be57586</errorID>
      <errorWord xmlns="http://schemas.wps.cn/vas-ai-hub/contract-review">其它</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item>
      </candidateList>
      <explain xmlns="http://schemas.wps.cn/vas-ai-hub/contract-review">词汇[其它]为不规范表述或旧称，其规范书面表述为[其他]。</explain>
      <paraID xmlns="http://schemas.wps.cn/vas-ai-hub/contract-review">57A5E9DF</paraID>
      <start xmlns="http://schemas.wps.cn/vas-ai-hub/contract-review">39</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07c67af9-5166-4453-ad9e-9966edc2d5c7</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，在</item>
      </candidateList>
      <explain xmlns="http://schemas.wps.cn/vas-ai-hub/contract-review"/>
      <paraID xmlns="http://schemas.wps.cn/vas-ai-hub/contract-review">7683E9BC</paraID>
      <start xmlns="http://schemas.wps.cn/vas-ai-hub/contract-review">39</start>
      <end xmlns="http://schemas.wps.cn/vas-ai-hub/contract-review">40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e78db944-ca86-4e16-bd52-07a64a093256</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31AD64A6</paraID>
      <start xmlns="http://schemas.wps.cn/vas-ai-hub/contract-review">59</start>
      <end xmlns="http://schemas.wps.cn/vas-ai-hub/contract-review">60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2b694497-5a1e-4556-ba7e-a7b44071436e</errorID>
      <errorWord xmlns="http://schemas.wps.cn/vas-ai-hub/contract-review">束</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束后</item>
      </candidateList>
      <explain xmlns="http://schemas.wps.cn/vas-ai-hub/contract-review"/>
      <paraID xmlns="http://schemas.wps.cn/vas-ai-hub/contract-review"> B53D7ED</paraID>
      <start xmlns="http://schemas.wps.cn/vas-ai-hub/contract-review">151</start>
      <end xmlns="http://schemas.wps.cn/vas-ai-hub/contract-review">152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7ad8877e-64aa-4c73-98fa-b27a9e72bdd2</errorID>
      <errorWord xmlns="http://schemas.wps.cn/vas-ai-hub/contract-review">5、</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5.</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1F336AE0</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4d6aa654-496c-4b26-992c-46066cb01397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39E7BFC1</paraID>
      <start xmlns="http://schemas.wps.cn/vas-ai-hub/contract-review">88</start>
      <end xmlns="http://schemas.wps.cn/vas-ai-hub/contract-review">89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b71f49fd-8915-4124-93e6-934550d70685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166A9CEB</paraID>
      <start xmlns="http://schemas.wps.cn/vas-ai-hub/contract-review">40</start>
      <end xmlns="http://schemas.wps.cn/vas-ai-hub/contract-review">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f2e58390-06a6-4c31-a55d-b856236addc1</errorID>
      <errorWord xmlns="http://schemas.wps.cn/vas-ai-hub/contract-review">6、</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6.</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236B7231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671993df-53b5-464d-bfa2-88d0c41a3d8c</errorID>
      <errorWord xmlns="http://schemas.wps.cn/vas-ai-hub/contract-review">7、</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7.</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6CD46261</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50b53740-bfcb-454b-a609-758769a11844</errorID>
      <errorWord xmlns="http://schemas.wps.cn/vas-ai-hub/contract-review">粘稠</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黏稠</item>
      </candidateList>
      <explain xmlns="http://schemas.wps.cn/vas-ai-hub/contract-review">存在发音相同字词的误用。</explain>
      <paraID xmlns="http://schemas.wps.cn/vas-ai-hub/contract-review">1A1D564F</paraID>
      <start xmlns="http://schemas.wps.cn/vas-ai-hub/contract-review">13</start>
      <end xmlns="http://schemas.wps.cn/vas-ai-hub/contract-review">15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5cc4aa72-d96a-43de-a613-349014b1aa5f</errorID>
      <errorWord xmlns="http://schemas.wps.cn/vas-ai-hub/contract-review">粘度</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黏度</item>
      </candidateList>
      <explain xmlns="http://schemas.wps.cn/vas-ai-hub/contract-review">词汇[粘度]为不规范表述或旧称，其规范书面表述为[黏度]。</explain>
      <paraID xmlns="http://schemas.wps.cn/vas-ai-hub/contract-review">1A1D564F</paraID>
      <start xmlns="http://schemas.wps.cn/vas-ai-hub/contract-review">60</start>
      <end xmlns="http://schemas.wps.cn/vas-ai-hub/contract-review">62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b42892ce-0a1f-4cf8-8bc6-12bb9c6bcd3a</errorID>
      <errorWord xmlns="http://schemas.wps.cn/vas-ai-hub/contract-review">粘度</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黏度</item>
      </candidateList>
      <explain xmlns="http://schemas.wps.cn/vas-ai-hub/contract-review">词汇[粘度]为不规范表述或旧称，其规范书面表述为[黏度]。</explain>
      <paraID xmlns="http://schemas.wps.cn/vas-ai-hub/contract-review">1A1D564F</paraID>
      <start xmlns="http://schemas.wps.cn/vas-ai-hub/contract-review">72</start>
      <end xmlns="http://schemas.wps.cn/vas-ai-hub/contract-review">74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d3622bbe-c6bd-4590-bb87-7a4b9433aed8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6966673D</paraID>
      <start xmlns="http://schemas.wps.cn/vas-ai-hub/contract-review">9</start>
      <end xmlns="http://schemas.wps.cn/vas-ai-hub/contract-review">10</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101e9211-ea25-407d-aba1-3d9cfa21e165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4C7FD1A5</paraID>
      <start xmlns="http://schemas.wps.cn/vas-ai-hub/contract-review">11</start>
      <end xmlns="http://schemas.wps.cn/vas-ai-hub/contract-review">14</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cc9d1cd3-86c6-499e-935a-a789386f4ddf</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1961467D</paraID>
      <start xmlns="http://schemas.wps.cn/vas-ai-hub/contract-review">5</start>
      <end xmlns="http://schemas.wps.cn/vas-ai-hub/contract-review">8</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334f34c2-fe25-483a-968f-eb9841b6afde</errorID>
      <errorWord xmlns="http://schemas.wps.cn/vas-ai-hub/contract-review">正立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竖立</item>
      </candidateList>
      <explain xmlns="http://schemas.wps.cn/vas-ai-hub/contract-review">〈动〉物体垂直，一端向上，一端接触地面或埋在地里：门前～一根旗杆。</explain>
      <paraID xmlns="http://schemas.wps.cn/vas-ai-hub/contract-review"> 2376318</paraID>
      <start xmlns="http://schemas.wps.cn/vas-ai-hub/contract-review">71</start>
      <end xmlns="http://schemas.wps.cn/vas-ai-hub/contract-review">73</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57e65e7b-6b64-44b5-9da0-be53e53b5c0d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53633693</paraID>
      <start xmlns="http://schemas.wps.cn/vas-ai-hub/contract-review">140</start>
      <end xmlns="http://schemas.wps.cn/vas-ai-hub/contract-review">141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d9440ae3-d02f-4e9d-82f6-3d61bc1fabfb</errorID>
      <errorWord xmlns="http://schemas.wps.cn/vas-ai-hub/contract-review">的</errorWord>
      <group xmlns="http://schemas.wps.cn/vas-ai-hub/contract-review">L1_Word</group>
      <groupName xmlns="http://schemas.wps.cn/vas-ai-hub/contract-review">字词问题</groupName>
      <ability xmlns="http://schemas.wps.cn/vas-ai-hub/contract-review">L2_DDD</ability>
      <abilityName xmlns="http://schemas.wps.cn/vas-ai-hub/contract-review">的地得用法</abilityName>
      <candidateList xmlns="http://schemas.wps.cn/vas-ai-hub/contract-review">
        <item xmlns="http://schemas.wps.cn/vas-ai-hub/contract-review">地</item>
      </candidateList>
      <explain xmlns="http://schemas.wps.cn/vas-ai-hub/contract-review">“地”常用于连接修饰语与动词性中心语，表示动作的方式、状态或程度。</explain>
      <paraID xmlns="http://schemas.wps.cn/vas-ai-hub/contract-review">53633693</paraID>
      <start xmlns="http://schemas.wps.cn/vas-ai-hub/contract-review">224</start>
      <end xmlns="http://schemas.wps.cn/vas-ai-hub/contract-review">225</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4ee0ad72-ee01-4061-a69f-28b987e25a81</errorID>
      <errorWord xmlns="http://schemas.wps.cn/vas-ai-hub/contract-review">8、</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8.</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54470E4D</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78955af2-a111-4219-b308-e2ff1df44362</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796277CD</paraID>
      <start xmlns="http://schemas.wps.cn/vas-ai-hub/contract-review">38</start>
      <end xmlns="http://schemas.wps.cn/vas-ai-hub/contract-review">39</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ced90079-d21e-409b-bd31-da2ccece4ca0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152D2B30</paraID>
      <start xmlns="http://schemas.wps.cn/vas-ai-hub/contract-review">110</start>
      <end xmlns="http://schemas.wps.cn/vas-ai-hub/contract-review">111</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1505bdfd-f35f-4eef-beaf-e57183262b49</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152D2B30</paraID>
      <start xmlns="http://schemas.wps.cn/vas-ai-hub/contract-review">195</start>
      <end xmlns="http://schemas.wps.cn/vas-ai-hub/contract-review">196</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12934b07-1dde-44bc-b44a-8e240c9e04e5</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749163D7</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dce91bda-0d9c-4503-bfff-a7fc4cfded49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383202C6</paraID>
      <start xmlns="http://schemas.wps.cn/vas-ai-hub/contract-review">0</start>
      <end xmlns="http://schemas.wps.cn/vas-ai-hub/contract-review">2</end>
      <status xmlns="http://schemas.wps.cn/vas-ai-hub/contract-review">unmodified</status>
      <modifiedWord xmlns="http://schemas.wps.cn/vas-ai-hub/contract-review"/>
      <trackRevisions xmlns="http://schemas.wps.cn/vas-ai-hub/contract-review">false</trackRevisions>
    </reviewItem>
    <reviewItem xmlns="http://schemas.wps.cn/vas-ai-hub/contract-review">
      <errorID xmlns="http://schemas.wps.cn/vas-ai-hub/contract-review">34d1ca96-3c95-4533-8748-c6a49543e34e</errorID>
      <errorWord xmlns="http://schemas.wps.cn/vas-ai-hub/contract-review">[2016]</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〔2016〕</item>
      </candidateList>
      <explain xmlns="http://schemas.wps.cn/vas-ai-hub/contract-review"/>
      <paraID xmlns="http://schemas.wps.cn/vas-ai-hub/contract-review">383202C6</paraID>
      <start xmlns="http://schemas.wps.cn/vas-ai-hub/contract-review">38</start>
      <end xmlns="http://schemas.wps.cn/vas-ai-hub/contract-review">44</end>
      <status xmlns="http://schemas.wps.cn/vas-ai-hub/contract-review">unmodified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8cddbae-fcbb-426e-ad8b-0f590f30e045}">
  <ds:schemaRefs/>
</ds:datastoreItem>
</file>

<file path=docProps/app.xml><?xml version="1.0" encoding="utf-8"?>
<Properties xmlns="http://schemas.openxmlformats.org/officeDocument/2006/extended-properties" xmlns:vt="http://schemas.openxmlformats.org/officeDocument/2006/docPropsVTypes">
  <Template>Normal.dotm</Template>
  <Pages>65</Pages>
  <Words>26660</Words>
  <Characters>29018</Characters>
  <Lines>0</Lines>
  <Paragraphs>0</Paragraphs>
  <TotalTime>17</TotalTime>
  <ScaleCrop>false</ScaleCrop>
  <LinksUpToDate>false</LinksUpToDate>
  <CharactersWithSpaces>29207</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2023-10-27T06:18:00Z</dcterms:created>
  <dc:creator>小哲</dc:creator>
  <cp:lastModifiedBy>WPS_1742558756</cp:lastModifiedBy>
  <cp:lastPrinted>2024-07-30T08:44:00Z</cp:lastPrinted>
  <dcterms:modified xsi:type="dcterms:W3CDTF">2026-03-12T16:08:12Z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2052-12.8.2.1119</vt:lpwstr>
  </property>
  <property fmtid="{D5CDD505-2E9C-101B-9397-08002B2CF9AE}" pid="3" name="ICV">
    <vt:lpwstr>59CD945E9E0A41D86C74B2693DAF77FB_43</vt:lpwstr>
  </property>
  <property fmtid="{D5CDD505-2E9C-101B-9397-08002B2CF9AE}" pid="4" name="KSOTemplateDocerSaveRecord">
    <vt:lpwstr>eyJoZGlkIjoiNDA3ZDEzYTcyZWRiOGYyNzJkZjRjYTAzZDg0ODNmY2UiLCJ1c2VySWQiOiIzNDIxNTk0NDEifQ==</vt:lpwstr>
  </property>
</Properties>
</file>