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6FF06E">
      <w:pPr>
        <w:rPr>
          <w:rFonts w:hint="default" w:ascii="Times New Roman" w:hAnsi="Times New Roman" w:eastAsia="仿宋_GB2312" w:cs="Times New Roman"/>
          <w:color w:val="auto"/>
          <w:sz w:val="36"/>
          <w:szCs w:val="36"/>
          <w:highlight w:val="none"/>
        </w:rPr>
      </w:pPr>
      <w:bookmarkStart w:id="0" w:name="_Hlk57883707"/>
    </w:p>
    <w:p w14:paraId="39A7FFDD">
      <w:pPr>
        <w:rPr>
          <w:rFonts w:hint="default" w:ascii="Times New Roman" w:hAnsi="Times New Roman" w:eastAsia="仿宋_GB2312" w:cs="Times New Roman"/>
          <w:color w:val="auto"/>
          <w:sz w:val="36"/>
          <w:szCs w:val="36"/>
          <w:highlight w:val="none"/>
        </w:rPr>
      </w:pPr>
    </w:p>
    <w:p w14:paraId="2B46BE5B">
      <w:pPr>
        <w:rPr>
          <w:rFonts w:hint="default" w:ascii="Times New Roman" w:hAnsi="Times New Roman" w:eastAsia="仿宋_GB2312" w:cs="Times New Roman"/>
          <w:color w:val="auto"/>
          <w:sz w:val="36"/>
          <w:szCs w:val="36"/>
          <w:highlight w:val="none"/>
        </w:rPr>
      </w:pPr>
    </w:p>
    <w:bookmarkEnd w:id="0"/>
    <w:p w14:paraId="063CE776">
      <w:pPr>
        <w:adjustRightInd w:val="0"/>
        <w:snapToGrid w:val="0"/>
        <w:jc w:val="center"/>
        <w:rPr>
          <w:rFonts w:hint="eastAsia" w:ascii="宋体" w:hAnsi="宋体" w:eastAsia="宋体" w:cs="宋体"/>
          <w:bCs/>
          <w:color w:val="auto"/>
          <w:sz w:val="72"/>
          <w:szCs w:val="72"/>
          <w:highlight w:val="none"/>
        </w:rPr>
      </w:pPr>
      <w:r>
        <w:rPr>
          <w:rFonts w:hint="eastAsia" w:ascii="宋体" w:hAnsi="宋体" w:eastAsia="宋体" w:cs="宋体"/>
          <w:bCs/>
          <w:color w:val="auto"/>
          <w:sz w:val="72"/>
          <w:szCs w:val="72"/>
          <w:highlight w:val="none"/>
        </w:rPr>
        <w:t>建设项目环境影响报告表</w:t>
      </w:r>
    </w:p>
    <w:p w14:paraId="07BC85BA">
      <w:pPr>
        <w:adjustRightInd w:val="0"/>
        <w:snapToGrid w:val="0"/>
        <w:spacing w:before="249" w:beforeLines="80"/>
        <w:jc w:val="center"/>
        <w:rPr>
          <w:rFonts w:hint="eastAsia" w:ascii="宋体" w:hAnsi="宋体" w:eastAsia="宋体" w:cs="宋体"/>
          <w:bCs/>
          <w:color w:val="auto"/>
          <w:sz w:val="48"/>
          <w:szCs w:val="48"/>
          <w:highlight w:val="none"/>
        </w:rPr>
      </w:pPr>
      <w:r>
        <w:rPr>
          <w:rFonts w:hint="eastAsia" w:ascii="宋体" w:hAnsi="宋体" w:eastAsia="宋体" w:cs="宋体"/>
          <w:bCs/>
          <w:color w:val="auto"/>
          <w:sz w:val="48"/>
          <w:szCs w:val="48"/>
          <w:highlight w:val="none"/>
        </w:rPr>
        <w:t>（污染影响类）</w:t>
      </w:r>
    </w:p>
    <w:p w14:paraId="35A771B0">
      <w:pPr>
        <w:adjustRightInd w:val="0"/>
        <w:snapToGrid w:val="0"/>
        <w:spacing w:line="288" w:lineRule="auto"/>
        <w:jc w:val="center"/>
        <w:rPr>
          <w:rFonts w:hint="eastAsia" w:ascii="宋体" w:hAnsi="宋体" w:eastAsia="宋体" w:cs="宋体"/>
          <w:color w:val="auto"/>
          <w:kern w:val="44"/>
          <w:sz w:val="44"/>
          <w:szCs w:val="44"/>
          <w:highlight w:val="none"/>
        </w:rPr>
      </w:pPr>
      <w:bookmarkStart w:id="1" w:name="_Hlk57883728"/>
    </w:p>
    <w:p w14:paraId="1DD6589D">
      <w:pPr>
        <w:jc w:val="center"/>
        <w:rPr>
          <w:rFonts w:hint="eastAsia" w:ascii="宋体" w:hAnsi="宋体" w:eastAsia="宋体" w:cs="宋体"/>
          <w:color w:val="auto"/>
          <w:sz w:val="52"/>
          <w:szCs w:val="52"/>
          <w:highlight w:val="none"/>
        </w:rPr>
      </w:pPr>
    </w:p>
    <w:p w14:paraId="09CD0FAD">
      <w:pPr>
        <w:ind w:firstLine="1040"/>
        <w:rPr>
          <w:rFonts w:hint="eastAsia" w:ascii="宋体" w:hAnsi="宋体" w:eastAsia="宋体" w:cs="宋体"/>
          <w:color w:val="auto"/>
          <w:sz w:val="44"/>
          <w:szCs w:val="44"/>
          <w:highlight w:val="none"/>
        </w:rPr>
      </w:pPr>
    </w:p>
    <w:p w14:paraId="43CE536A">
      <w:pPr>
        <w:pStyle w:val="2"/>
        <w:rPr>
          <w:rFonts w:hint="eastAsia" w:ascii="宋体" w:hAnsi="宋体" w:eastAsia="宋体" w:cs="宋体"/>
          <w:color w:val="auto"/>
          <w:sz w:val="44"/>
          <w:szCs w:val="44"/>
          <w:highlight w:val="none"/>
        </w:rPr>
      </w:pPr>
    </w:p>
    <w:p w14:paraId="65372352">
      <w:pPr>
        <w:pStyle w:val="3"/>
        <w:rPr>
          <w:rFonts w:hint="eastAsia" w:ascii="宋体" w:hAnsi="宋体" w:eastAsia="宋体" w:cs="宋体"/>
          <w:color w:val="auto"/>
          <w:sz w:val="44"/>
          <w:szCs w:val="44"/>
          <w:highlight w:val="none"/>
        </w:rPr>
      </w:pPr>
    </w:p>
    <w:p w14:paraId="2AF7D992">
      <w:pPr>
        <w:pStyle w:val="4"/>
        <w:rPr>
          <w:rFonts w:hint="eastAsia" w:ascii="宋体" w:hAnsi="宋体" w:eastAsia="宋体" w:cs="宋体"/>
          <w:color w:val="auto"/>
          <w:highlight w:val="none"/>
        </w:rPr>
      </w:pPr>
    </w:p>
    <w:p w14:paraId="19B2A798">
      <w:pPr>
        <w:rPr>
          <w:rFonts w:hint="eastAsia" w:ascii="宋体" w:hAnsi="宋体" w:eastAsia="宋体" w:cs="宋体"/>
          <w:color w:val="auto"/>
          <w:sz w:val="44"/>
          <w:szCs w:val="44"/>
          <w:highlight w:val="none"/>
        </w:rPr>
      </w:pPr>
    </w:p>
    <w:bookmarkEnd w:id="1"/>
    <w:p w14:paraId="543EDCBD">
      <w:pPr>
        <w:adjustRightInd w:val="0"/>
        <w:snapToGrid w:val="0"/>
        <w:spacing w:line="288" w:lineRule="auto"/>
        <w:ind w:left="1630" w:hanging="1500" w:hangingChars="500"/>
        <w:jc w:val="left"/>
        <w:rPr>
          <w:rFonts w:hint="eastAsia" w:ascii="宋体" w:hAnsi="宋体" w:eastAsia="宋体" w:cs="宋体"/>
          <w:color w:val="auto"/>
          <w:spacing w:val="-17"/>
          <w:sz w:val="30"/>
          <w:szCs w:val="30"/>
          <w:highlight w:val="none"/>
          <w:u w:val="single"/>
          <w:lang w:val="en-US"/>
        </w:rPr>
      </w:pPr>
      <w:r>
        <w:rPr>
          <w:rFonts w:hint="eastAsia" w:ascii="宋体" w:hAnsi="宋体" w:eastAsia="宋体" w:cs="宋体"/>
          <w:color w:val="auto"/>
          <w:sz w:val="30"/>
          <w:szCs w:val="30"/>
          <w:highlight w:val="none"/>
        </w:rPr>
        <w:t>项目名称</w:t>
      </w:r>
      <w:r>
        <w:rPr>
          <w:rFonts w:hint="eastAsia" w:ascii="宋体" w:hAnsi="宋体" w:eastAsia="宋体" w:cs="宋体"/>
          <w:color w:val="auto"/>
          <w:spacing w:val="-17"/>
          <w:sz w:val="30"/>
          <w:szCs w:val="30"/>
          <w:highlight w:val="none"/>
        </w:rPr>
        <w:t>：</w:t>
      </w:r>
      <w:r>
        <w:rPr>
          <w:rFonts w:hint="eastAsia" w:ascii="宋体" w:hAnsi="宋体" w:cs="宋体"/>
          <w:color w:val="auto"/>
          <w:sz w:val="30"/>
          <w:szCs w:val="30"/>
          <w:u w:val="single"/>
          <w:lang w:val="en-US" w:eastAsia="zh-CN"/>
        </w:rPr>
        <w:t>鸡东县祥辰粮食有限公司生物质热风炉建设项目</w:t>
      </w:r>
      <w:r>
        <w:rPr>
          <w:rFonts w:hint="eastAsia" w:ascii="宋体" w:hAnsi="宋体" w:cs="宋体"/>
          <w:color w:val="auto"/>
          <w:sz w:val="30"/>
          <w:szCs w:val="30"/>
          <w:highlight w:val="none"/>
          <w:u w:val="single"/>
          <w:lang w:val="en-US" w:eastAsia="zh-CN"/>
        </w:rPr>
        <w:t xml:space="preserve"> </w:t>
      </w:r>
    </w:p>
    <w:p w14:paraId="5E897BF7">
      <w:pPr>
        <w:adjustRightInd w:val="0"/>
        <w:snapToGrid w:val="0"/>
        <w:spacing w:line="288" w:lineRule="auto"/>
        <w:rPr>
          <w:rFonts w:hint="eastAsia" w:ascii="宋体" w:hAnsi="宋体" w:eastAsia="宋体" w:cs="宋体"/>
          <w:color w:val="auto"/>
          <w:sz w:val="30"/>
          <w:szCs w:val="30"/>
          <w:highlight w:val="none"/>
          <w:u w:val="single"/>
          <w:lang w:val="en-US"/>
        </w:rPr>
      </w:pPr>
      <w:r>
        <w:rPr>
          <w:rFonts w:hint="eastAsia" w:ascii="宋体" w:hAnsi="宋体" w:eastAsia="宋体" w:cs="宋体"/>
          <w:color w:val="auto"/>
          <w:sz w:val="30"/>
          <w:szCs w:val="30"/>
          <w:highlight w:val="none"/>
        </w:rPr>
        <w:t>建设单位：</w:t>
      </w:r>
      <w:r>
        <w:rPr>
          <w:rFonts w:hint="eastAsia" w:ascii="宋体" w:hAnsi="宋体" w:eastAsia="宋体" w:cs="宋体"/>
          <w:color w:val="auto"/>
          <w:sz w:val="30"/>
          <w:szCs w:val="30"/>
          <w:highlight w:val="none"/>
          <w:u w:val="single"/>
          <w:lang w:val="en-US" w:eastAsia="zh-CN"/>
        </w:rPr>
        <w:t xml:space="preserve">        </w:t>
      </w:r>
      <w:r>
        <w:rPr>
          <w:rFonts w:hint="eastAsia" w:ascii="宋体" w:hAnsi="宋体" w:cs="宋体"/>
          <w:color w:val="auto"/>
          <w:sz w:val="30"/>
          <w:szCs w:val="30"/>
          <w:highlight w:val="none"/>
          <w:u w:val="single"/>
          <w:lang w:val="en-US" w:eastAsia="zh-CN"/>
        </w:rPr>
        <w:t xml:space="preserve"> 鸡东县祥辰粮食有限公司</w:t>
      </w:r>
      <w:r>
        <w:rPr>
          <w:rFonts w:hint="eastAsia" w:ascii="宋体" w:hAnsi="宋体" w:eastAsia="宋体" w:cs="宋体"/>
          <w:color w:val="auto"/>
          <w:sz w:val="30"/>
          <w:szCs w:val="30"/>
          <w:highlight w:val="none"/>
          <w:u w:val="single"/>
          <w:lang w:val="en-US" w:eastAsia="zh-CN"/>
        </w:rPr>
        <w:t xml:space="preserve">  </w:t>
      </w:r>
      <w:r>
        <w:rPr>
          <w:rFonts w:hint="eastAsia" w:ascii="宋体" w:hAnsi="宋体" w:cs="宋体"/>
          <w:color w:val="auto"/>
          <w:sz w:val="30"/>
          <w:szCs w:val="30"/>
          <w:highlight w:val="none"/>
          <w:u w:val="single"/>
          <w:lang w:val="en-US" w:eastAsia="zh-CN"/>
        </w:rPr>
        <w:t xml:space="preserve">   </w:t>
      </w:r>
      <w:r>
        <w:rPr>
          <w:rFonts w:hint="eastAsia" w:ascii="宋体" w:hAnsi="宋体" w:eastAsia="宋体" w:cs="宋体"/>
          <w:color w:val="auto"/>
          <w:sz w:val="30"/>
          <w:szCs w:val="30"/>
          <w:highlight w:val="none"/>
          <w:u w:val="single"/>
          <w:lang w:val="en-US" w:eastAsia="zh-CN"/>
        </w:rPr>
        <w:t xml:space="preserve">   </w:t>
      </w:r>
      <w:r>
        <w:rPr>
          <w:rFonts w:hint="eastAsia" w:ascii="宋体" w:hAnsi="宋体" w:cs="宋体"/>
          <w:color w:val="auto"/>
          <w:sz w:val="30"/>
          <w:szCs w:val="30"/>
          <w:highlight w:val="none"/>
          <w:u w:val="single"/>
          <w:lang w:val="en-US" w:eastAsia="zh-CN"/>
        </w:rPr>
        <w:t xml:space="preserve">  </w:t>
      </w:r>
      <w:r>
        <w:rPr>
          <w:rFonts w:hint="eastAsia" w:ascii="宋体" w:hAnsi="宋体" w:eastAsia="宋体" w:cs="宋体"/>
          <w:color w:val="auto"/>
          <w:sz w:val="30"/>
          <w:szCs w:val="30"/>
          <w:highlight w:val="none"/>
          <w:u w:val="single"/>
          <w:lang w:val="en-US" w:eastAsia="zh-CN"/>
        </w:rPr>
        <w:t xml:space="preserve"> </w:t>
      </w:r>
    </w:p>
    <w:p w14:paraId="64117FE4">
      <w:pPr>
        <w:adjustRightInd w:val="0"/>
        <w:snapToGrid w:val="0"/>
        <w:spacing w:line="288" w:lineRule="auto"/>
        <w:rPr>
          <w:rFonts w:hint="eastAsia" w:ascii="宋体" w:hAnsi="宋体" w:eastAsia="宋体" w:cs="宋体"/>
          <w:color w:val="auto"/>
          <w:sz w:val="36"/>
          <w:szCs w:val="36"/>
          <w:highlight w:val="none"/>
          <w:u w:val="single"/>
        </w:rPr>
      </w:pPr>
      <w:r>
        <w:rPr>
          <w:rFonts w:hint="eastAsia" w:ascii="宋体" w:hAnsi="宋体" w:eastAsia="宋体" w:cs="宋体"/>
          <w:color w:val="auto"/>
          <w:sz w:val="30"/>
          <w:szCs w:val="30"/>
          <w:highlight w:val="none"/>
        </w:rPr>
        <w:t>编制日期：</w:t>
      </w:r>
      <w:r>
        <w:rPr>
          <w:rFonts w:hint="eastAsia" w:ascii="宋体" w:hAnsi="宋体" w:eastAsia="宋体" w:cs="宋体"/>
          <w:color w:val="auto"/>
          <w:sz w:val="30"/>
          <w:szCs w:val="30"/>
          <w:highlight w:val="none"/>
          <w:u w:val="single"/>
          <w:lang w:val="en-US" w:eastAsia="zh-CN"/>
        </w:rPr>
        <w:t xml:space="preserve">           </w:t>
      </w:r>
      <w:r>
        <w:rPr>
          <w:rFonts w:hint="eastAsia" w:ascii="宋体" w:hAnsi="宋体" w:cs="宋体"/>
          <w:color w:val="auto"/>
          <w:sz w:val="30"/>
          <w:szCs w:val="30"/>
          <w:highlight w:val="none"/>
          <w:u w:val="single"/>
          <w:lang w:val="en-US" w:eastAsia="zh-CN"/>
        </w:rPr>
        <w:t xml:space="preserve"> </w:t>
      </w:r>
      <w:r>
        <w:rPr>
          <w:rFonts w:hint="eastAsia" w:ascii="宋体" w:hAnsi="宋体" w:eastAsia="宋体" w:cs="宋体"/>
          <w:color w:val="auto"/>
          <w:sz w:val="30"/>
          <w:szCs w:val="30"/>
          <w:highlight w:val="none"/>
          <w:u w:val="single"/>
          <w:lang w:val="en-US" w:eastAsia="zh-CN"/>
        </w:rPr>
        <w:t xml:space="preserve"> </w:t>
      </w:r>
      <w:r>
        <w:rPr>
          <w:rFonts w:hint="default" w:ascii="Times New Roman" w:hAnsi="Times New Roman" w:eastAsia="宋体" w:cs="Times New Roman"/>
          <w:color w:val="auto"/>
          <w:sz w:val="30"/>
          <w:szCs w:val="30"/>
          <w:highlight w:val="none"/>
          <w:u w:val="single"/>
          <w:lang w:val="en-US" w:eastAsia="zh-CN"/>
        </w:rPr>
        <w:t xml:space="preserve"> </w:t>
      </w:r>
      <w:r>
        <w:rPr>
          <w:rFonts w:hint="default" w:ascii="Times New Roman" w:hAnsi="Times New Roman" w:eastAsia="宋体" w:cs="Times New Roman"/>
          <w:color w:val="auto"/>
          <w:sz w:val="30"/>
          <w:szCs w:val="30"/>
          <w:highlight w:val="none"/>
          <w:u w:val="single"/>
        </w:rPr>
        <w:t>202</w:t>
      </w:r>
      <w:r>
        <w:rPr>
          <w:rFonts w:hint="default" w:ascii="Times New Roman" w:hAnsi="Times New Roman" w:eastAsia="宋体" w:cs="Times New Roman"/>
          <w:color w:val="auto"/>
          <w:sz w:val="30"/>
          <w:szCs w:val="30"/>
          <w:highlight w:val="none"/>
          <w:u w:val="single"/>
          <w:lang w:val="en-US" w:eastAsia="zh-CN"/>
        </w:rPr>
        <w:t>5</w:t>
      </w:r>
      <w:r>
        <w:rPr>
          <w:rFonts w:hint="default" w:ascii="Times New Roman" w:hAnsi="Times New Roman" w:eastAsia="宋体" w:cs="Times New Roman"/>
          <w:color w:val="auto"/>
          <w:sz w:val="30"/>
          <w:szCs w:val="30"/>
          <w:highlight w:val="none"/>
          <w:u w:val="single"/>
        </w:rPr>
        <w:t>年</w:t>
      </w:r>
      <w:r>
        <w:rPr>
          <w:rFonts w:hint="eastAsia" w:cs="Times New Roman"/>
          <w:color w:val="auto"/>
          <w:sz w:val="30"/>
          <w:szCs w:val="30"/>
          <w:highlight w:val="none"/>
          <w:u w:val="single"/>
          <w:lang w:val="en-US" w:eastAsia="zh-CN"/>
        </w:rPr>
        <w:t>11</w:t>
      </w:r>
      <w:r>
        <w:rPr>
          <w:rFonts w:hint="eastAsia" w:ascii="宋体" w:hAnsi="宋体" w:eastAsia="宋体" w:cs="宋体"/>
          <w:color w:val="auto"/>
          <w:sz w:val="36"/>
          <w:szCs w:val="36"/>
          <w:highlight w:val="none"/>
          <w:u w:val="single"/>
        </w:rPr>
        <w:t xml:space="preserve">月     </w:t>
      </w:r>
      <w:r>
        <w:rPr>
          <w:rFonts w:hint="eastAsia" w:ascii="宋体" w:hAnsi="宋体" w:eastAsia="宋体" w:cs="宋体"/>
          <w:color w:val="auto"/>
          <w:sz w:val="36"/>
          <w:szCs w:val="36"/>
          <w:highlight w:val="none"/>
          <w:u w:val="single"/>
          <w:lang w:val="en-US" w:eastAsia="zh-CN"/>
        </w:rPr>
        <w:t xml:space="preserve">     </w:t>
      </w:r>
      <w:r>
        <w:rPr>
          <w:rFonts w:hint="eastAsia" w:ascii="宋体" w:hAnsi="宋体" w:cs="宋体"/>
          <w:color w:val="auto"/>
          <w:sz w:val="36"/>
          <w:szCs w:val="36"/>
          <w:highlight w:val="none"/>
          <w:u w:val="single"/>
          <w:lang w:val="en-US" w:eastAsia="zh-CN"/>
        </w:rPr>
        <w:t xml:space="preserve">  </w:t>
      </w:r>
      <w:r>
        <w:rPr>
          <w:rFonts w:hint="eastAsia" w:ascii="宋体" w:hAnsi="宋体" w:eastAsia="宋体" w:cs="宋体"/>
          <w:color w:val="auto"/>
          <w:sz w:val="36"/>
          <w:szCs w:val="36"/>
          <w:highlight w:val="none"/>
          <w:u w:val="single"/>
          <w:lang w:val="en-US" w:eastAsia="zh-CN"/>
        </w:rPr>
        <w:t xml:space="preserve"> </w:t>
      </w:r>
      <w:r>
        <w:rPr>
          <w:rFonts w:hint="eastAsia" w:ascii="宋体" w:hAnsi="宋体" w:eastAsia="宋体" w:cs="宋体"/>
          <w:color w:val="auto"/>
          <w:sz w:val="36"/>
          <w:szCs w:val="36"/>
          <w:highlight w:val="none"/>
          <w:u w:val="single"/>
        </w:rPr>
        <w:t xml:space="preserve"> </w:t>
      </w:r>
    </w:p>
    <w:p w14:paraId="0279FDB7">
      <w:pPr>
        <w:adjustRightInd w:val="0"/>
        <w:snapToGrid w:val="0"/>
        <w:spacing w:line="288" w:lineRule="auto"/>
        <w:ind w:firstLine="1040"/>
        <w:rPr>
          <w:rFonts w:hint="eastAsia" w:ascii="宋体" w:hAnsi="宋体" w:eastAsia="宋体" w:cs="宋体"/>
          <w:color w:val="auto"/>
          <w:sz w:val="36"/>
          <w:szCs w:val="36"/>
          <w:highlight w:val="none"/>
          <w:u w:val="single"/>
        </w:rPr>
      </w:pPr>
    </w:p>
    <w:p w14:paraId="4849D799">
      <w:pPr>
        <w:adjustRightInd w:val="0"/>
        <w:snapToGrid w:val="0"/>
        <w:spacing w:line="288" w:lineRule="auto"/>
        <w:ind w:firstLine="1040"/>
        <w:rPr>
          <w:rFonts w:hint="eastAsia" w:ascii="宋体" w:hAnsi="宋体" w:eastAsia="宋体" w:cs="宋体"/>
          <w:color w:val="auto"/>
          <w:sz w:val="36"/>
          <w:szCs w:val="36"/>
          <w:highlight w:val="none"/>
        </w:rPr>
      </w:pPr>
    </w:p>
    <w:p w14:paraId="625ED134">
      <w:pPr>
        <w:adjustRightInd w:val="0"/>
        <w:snapToGrid w:val="0"/>
        <w:spacing w:line="288" w:lineRule="auto"/>
        <w:rPr>
          <w:rFonts w:hint="eastAsia" w:ascii="宋体" w:hAnsi="宋体" w:eastAsia="宋体" w:cs="宋体"/>
          <w:color w:val="auto"/>
          <w:sz w:val="36"/>
          <w:szCs w:val="36"/>
          <w:highlight w:val="none"/>
        </w:rPr>
      </w:pPr>
    </w:p>
    <w:p w14:paraId="3B641ADB">
      <w:pPr>
        <w:adjustRightInd w:val="0"/>
        <w:snapToGrid w:val="0"/>
        <w:spacing w:line="288" w:lineRule="auto"/>
        <w:ind w:firstLine="1040"/>
        <w:rPr>
          <w:rFonts w:hint="eastAsia" w:ascii="宋体" w:hAnsi="宋体" w:eastAsia="宋体" w:cs="宋体"/>
          <w:color w:val="auto"/>
          <w:sz w:val="36"/>
          <w:szCs w:val="36"/>
          <w:highlight w:val="none"/>
        </w:rPr>
      </w:pPr>
    </w:p>
    <w:p w14:paraId="3881B850">
      <w:pPr>
        <w:adjustRightInd w:val="0"/>
        <w:snapToGrid w:val="0"/>
        <w:spacing w:line="288" w:lineRule="auto"/>
        <w:jc w:val="center"/>
        <w:rPr>
          <w:rFonts w:hint="eastAsia" w:ascii="宋体" w:hAnsi="宋体" w:eastAsia="宋体" w:cs="宋体"/>
          <w:color w:val="auto"/>
          <w:sz w:val="36"/>
          <w:szCs w:val="36"/>
          <w:highlight w:val="none"/>
          <w:lang w:val="en-US" w:eastAsia="zh-CN"/>
        </w:rPr>
        <w:sectPr>
          <w:footerReference r:id="rId3" w:type="default"/>
          <w:pgSz w:w="11850" w:h="16783"/>
          <w:pgMar w:top="1701" w:right="1531" w:bottom="1701" w:left="1531" w:header="851" w:footer="1077" w:gutter="0"/>
          <w:pgBorders>
            <w:top w:val="none" w:sz="0" w:space="0"/>
            <w:left w:val="none" w:sz="0" w:space="0"/>
            <w:bottom w:val="none" w:sz="0" w:space="0"/>
            <w:right w:val="none" w:sz="0" w:space="0"/>
          </w:pgBorders>
          <w:pgNumType w:start="1"/>
          <w:cols w:space="0" w:num="1"/>
          <w:docGrid w:type="lines" w:linePitch="312" w:charSpace="0"/>
        </w:sectPr>
      </w:pPr>
      <w:r>
        <w:rPr>
          <w:rFonts w:hint="eastAsia" w:ascii="宋体" w:hAnsi="宋体" w:eastAsia="宋体" w:cs="宋体"/>
          <w:color w:val="auto"/>
          <w:sz w:val="36"/>
          <w:szCs w:val="36"/>
          <w:highlight w:val="none"/>
        </w:rPr>
        <w:t>中华人民共和国生态环境部</w:t>
      </w:r>
      <w:r>
        <w:rPr>
          <w:rFonts w:hint="eastAsia" w:ascii="宋体" w:hAnsi="宋体" w:cs="宋体"/>
          <w:color w:val="auto"/>
          <w:sz w:val="36"/>
          <w:szCs w:val="36"/>
          <w:highlight w:val="none"/>
          <w:lang w:val="en-US" w:eastAsia="zh-CN"/>
        </w:rPr>
        <w:t>制</w:t>
      </w:r>
    </w:p>
    <w:p w14:paraId="2EF39694">
      <w:pPr>
        <w:adjustRightInd w:val="0"/>
        <w:snapToGrid w:val="0"/>
        <w:spacing w:line="288" w:lineRule="auto"/>
        <w:jc w:val="both"/>
        <w:rPr>
          <w:rFonts w:hint="default" w:ascii="Times New Roman" w:hAnsi="Times New Roman" w:eastAsia="楷体_GB2312" w:cs="Times New Roman"/>
          <w:color w:val="auto"/>
          <w:sz w:val="36"/>
          <w:szCs w:val="36"/>
          <w:highlight w:val="none"/>
        </w:rPr>
        <w:sectPr>
          <w:pgSz w:w="11850" w:h="16783"/>
          <w:pgMar w:top="1701" w:right="1531" w:bottom="1701" w:left="1531" w:header="851" w:footer="1077" w:gutter="0"/>
          <w:pgBorders>
            <w:top w:val="none" w:sz="0" w:space="0"/>
            <w:left w:val="none" w:sz="0" w:space="0"/>
            <w:bottom w:val="none" w:sz="0" w:space="0"/>
            <w:right w:val="none" w:sz="0" w:space="0"/>
          </w:pgBorders>
          <w:pgNumType w:start="1"/>
          <w:cols w:space="0" w:num="1"/>
          <w:docGrid w:type="lines" w:linePitch="312" w:charSpace="0"/>
        </w:sectPr>
      </w:pPr>
      <w:r>
        <w:drawing>
          <wp:inline distT="0" distB="0" distL="114300" distR="114300">
            <wp:extent cx="5404485" cy="7143750"/>
            <wp:effectExtent l="0" t="0" r="5715" b="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pic:cNvPicPr>
                  </pic:nvPicPr>
                  <pic:blipFill>
                    <a:blip r:embed="rId8"/>
                    <a:stretch>
                      <a:fillRect/>
                    </a:stretch>
                  </pic:blipFill>
                  <pic:spPr>
                    <a:xfrm>
                      <a:off x="0" y="0"/>
                      <a:ext cx="5404485" cy="7143750"/>
                    </a:xfrm>
                    <a:prstGeom prst="rect">
                      <a:avLst/>
                    </a:prstGeom>
                    <a:noFill/>
                    <a:ln>
                      <a:noFill/>
                    </a:ln>
                  </pic:spPr>
                </pic:pic>
              </a:graphicData>
            </a:graphic>
          </wp:inline>
        </w:drawing>
      </w:r>
    </w:p>
    <w:p w14:paraId="637F674B">
      <w:pPr>
        <w:pStyle w:val="30"/>
        <w:spacing w:before="0" w:beforeAutospacing="0" w:after="156" w:afterLines="50" w:afterAutospacing="0"/>
        <w:jc w:val="center"/>
        <w:outlineLvl w:val="0"/>
        <w:rPr>
          <w:rFonts w:hint="default" w:ascii="Times New Roman" w:hAnsi="Times New Roman" w:eastAsia="黑体" w:cs="Times New Roman"/>
          <w:snapToGrid w:val="0"/>
          <w:color w:val="auto"/>
          <w:kern w:val="21"/>
          <w:sz w:val="30"/>
          <w:szCs w:val="30"/>
          <w:highlight w:val="none"/>
        </w:rPr>
      </w:pPr>
      <w:bookmarkStart w:id="2" w:name="_Toc16950"/>
      <w:r>
        <w:rPr>
          <w:rFonts w:hint="default" w:ascii="Times New Roman" w:hAnsi="Times New Roman" w:eastAsia="黑体" w:cs="Times New Roman"/>
          <w:snapToGrid w:val="0"/>
          <w:color w:val="auto"/>
          <w:kern w:val="21"/>
          <w:sz w:val="30"/>
          <w:szCs w:val="30"/>
          <w:highlight w:val="none"/>
        </w:rPr>
        <w:t>一、建设项目基本情况</w:t>
      </w:r>
      <w:bookmarkEnd w:id="2"/>
    </w:p>
    <w:tbl>
      <w:tblPr>
        <w:tblStyle w:val="36"/>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24"/>
        <w:gridCol w:w="2139"/>
        <w:gridCol w:w="2145"/>
        <w:gridCol w:w="3163"/>
      </w:tblGrid>
      <w:tr w14:paraId="6767B4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038BB2B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建设项目名称</w:t>
            </w:r>
          </w:p>
        </w:tc>
        <w:tc>
          <w:tcPr>
            <w:tcW w:w="4104" w:type="pct"/>
            <w:gridSpan w:val="3"/>
            <w:vAlign w:val="center"/>
          </w:tcPr>
          <w:p w14:paraId="4742945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eastAsia="zh-CN"/>
              </w:rPr>
            </w:pPr>
            <w:r>
              <w:rPr>
                <w:rFonts w:hint="eastAsia"/>
                <w:color w:val="auto"/>
                <w:sz w:val="21"/>
                <w:szCs w:val="21"/>
                <w:lang w:val="en-US" w:eastAsia="zh-CN"/>
              </w:rPr>
              <w:t>鸡东县祥辰粮食有限公司生物质热风炉建设项目</w:t>
            </w:r>
          </w:p>
        </w:tc>
      </w:tr>
      <w:tr w14:paraId="7A762B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205BB41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项目代码</w:t>
            </w:r>
          </w:p>
        </w:tc>
        <w:tc>
          <w:tcPr>
            <w:tcW w:w="4104" w:type="pct"/>
            <w:gridSpan w:val="3"/>
            <w:vAlign w:val="center"/>
          </w:tcPr>
          <w:p w14:paraId="27BF6FDB">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无</w:t>
            </w:r>
          </w:p>
        </w:tc>
      </w:tr>
      <w:tr w14:paraId="50E19A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7BF1DA5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建设单位联系人</w:t>
            </w:r>
          </w:p>
        </w:tc>
        <w:tc>
          <w:tcPr>
            <w:tcW w:w="2139" w:type="dxa"/>
            <w:vAlign w:val="center"/>
          </w:tcPr>
          <w:p w14:paraId="2BA90A2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1"/>
                <w:szCs w:val="21"/>
                <w:highlight w:val="none"/>
                <w:lang w:val="en-US" w:eastAsia="zh-CN"/>
              </w:rPr>
            </w:pPr>
            <w:r>
              <w:rPr>
                <w:rFonts w:hint="eastAsia"/>
                <w:color w:val="auto"/>
                <w:sz w:val="21"/>
                <w:szCs w:val="21"/>
                <w:lang w:val="en-US" w:eastAsia="zh-CN"/>
              </w:rPr>
              <w:t>赵斌</w:t>
            </w:r>
          </w:p>
        </w:tc>
        <w:tc>
          <w:tcPr>
            <w:tcW w:w="2145" w:type="dxa"/>
            <w:vAlign w:val="center"/>
          </w:tcPr>
          <w:p w14:paraId="7128672D">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联系方式</w:t>
            </w:r>
          </w:p>
        </w:tc>
        <w:tc>
          <w:tcPr>
            <w:tcW w:w="3163" w:type="dxa"/>
            <w:vAlign w:val="center"/>
          </w:tcPr>
          <w:p w14:paraId="264B8C4B">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kern w:val="21"/>
                <w:sz w:val="21"/>
                <w:szCs w:val="21"/>
                <w:highlight w:val="none"/>
                <w:lang w:val="en-US"/>
              </w:rPr>
            </w:pPr>
            <w:r>
              <w:rPr>
                <w:rFonts w:hint="eastAsia"/>
                <w:color w:val="auto"/>
                <w:sz w:val="21"/>
                <w:szCs w:val="21"/>
                <w:lang w:val="en-US" w:eastAsia="zh-CN"/>
              </w:rPr>
              <w:t>13555461355</w:t>
            </w:r>
          </w:p>
        </w:tc>
      </w:tr>
      <w:tr w14:paraId="0B0647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CFC361A">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建设地点</w:t>
            </w:r>
          </w:p>
        </w:tc>
        <w:tc>
          <w:tcPr>
            <w:tcW w:w="4104" w:type="pct"/>
            <w:gridSpan w:val="3"/>
            <w:vAlign w:val="center"/>
          </w:tcPr>
          <w:p w14:paraId="07CD3C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Cs w:val="21"/>
                <w:highlight w:val="none"/>
                <w:lang w:val="en-US" w:eastAsia="zh-CN"/>
              </w:rPr>
            </w:pPr>
            <w:r>
              <w:rPr>
                <w:rFonts w:hint="eastAsia"/>
                <w:color w:val="auto"/>
                <w:highlight w:val="none"/>
                <w:lang w:val="en-US" w:eastAsia="zh-CN"/>
              </w:rPr>
              <w:t>黑龙江省鸡西市鸡东县东海镇发展村五组</w:t>
            </w:r>
          </w:p>
        </w:tc>
      </w:tr>
      <w:tr w14:paraId="5D9CC6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ABD84F9">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地理坐标</w:t>
            </w:r>
          </w:p>
        </w:tc>
        <w:tc>
          <w:tcPr>
            <w:tcW w:w="4104" w:type="pct"/>
            <w:gridSpan w:val="3"/>
            <w:vAlign w:val="center"/>
          </w:tcPr>
          <w:p w14:paraId="6F02AC5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eastAsiaTheme="minorEastAsia"/>
                <w:color w:val="auto"/>
                <w:szCs w:val="21"/>
                <w:highlight w:val="none"/>
              </w:rPr>
              <w:t>（</w:t>
            </w:r>
            <w:r>
              <w:rPr>
                <w:rFonts w:hint="default" w:ascii="Times New Roman" w:hAnsi="Times New Roman" w:cs="Times New Roman" w:eastAsiaTheme="minorEastAsia"/>
                <w:color w:val="auto"/>
                <w:szCs w:val="21"/>
                <w:highlight w:val="none"/>
                <w:u w:val="single"/>
              </w:rPr>
              <w:t xml:space="preserve"> 1</w:t>
            </w:r>
            <w:r>
              <w:rPr>
                <w:rFonts w:hint="eastAsia" w:cs="Times New Roman" w:eastAsiaTheme="minorEastAsia"/>
                <w:color w:val="auto"/>
                <w:szCs w:val="21"/>
                <w:highlight w:val="none"/>
                <w:u w:val="single"/>
                <w:lang w:val="en-US" w:eastAsia="zh-CN"/>
              </w:rPr>
              <w:t>31</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度</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18</w:t>
            </w:r>
            <w:r>
              <w:rPr>
                <w:rFonts w:hint="default" w:ascii="Times New Roman" w:hAnsi="Times New Roman" w:cs="Times New Roman" w:eastAsiaTheme="minorEastAsia"/>
                <w:color w:val="auto"/>
                <w:szCs w:val="21"/>
                <w:highlight w:val="none"/>
              </w:rPr>
              <w:t>分</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1.530</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秒，</w:t>
            </w:r>
            <w:r>
              <w:rPr>
                <w:rFonts w:hint="default" w:ascii="Times New Roman" w:hAnsi="Times New Roman" w:cs="Times New Roman" w:eastAsiaTheme="minorEastAsia"/>
                <w:color w:val="auto"/>
                <w:szCs w:val="21"/>
                <w:highlight w:val="none"/>
                <w:u w:val="single"/>
              </w:rPr>
              <w:t xml:space="preserve"> 4</w:t>
            </w:r>
            <w:r>
              <w:rPr>
                <w:rFonts w:hint="eastAsia" w:cs="Times New Roman" w:eastAsiaTheme="minorEastAsia"/>
                <w:color w:val="auto"/>
                <w:szCs w:val="21"/>
                <w:highlight w:val="none"/>
                <w:u w:val="single"/>
                <w:lang w:val="en-US" w:eastAsia="zh-CN"/>
              </w:rPr>
              <w:t>5</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度</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18</w:t>
            </w:r>
            <w:r>
              <w:rPr>
                <w:rFonts w:hint="default" w:ascii="Times New Roman" w:hAnsi="Times New Roman" w:cs="Times New Roman" w:eastAsiaTheme="minorEastAsia"/>
                <w:color w:val="auto"/>
                <w:szCs w:val="21"/>
                <w:highlight w:val="none"/>
              </w:rPr>
              <w:t>分</w:t>
            </w:r>
            <w:r>
              <w:rPr>
                <w:rFonts w:hint="default" w:ascii="Times New Roman" w:hAnsi="Times New Roman" w:cs="Times New Roman" w:eastAsiaTheme="minorEastAsia"/>
                <w:color w:val="auto"/>
                <w:szCs w:val="21"/>
                <w:highlight w:val="none"/>
                <w:u w:val="single"/>
              </w:rPr>
              <w:t xml:space="preserve"> </w:t>
            </w:r>
            <w:r>
              <w:rPr>
                <w:rFonts w:hint="eastAsia" w:cs="Times New Roman" w:eastAsiaTheme="minorEastAsia"/>
                <w:color w:val="auto"/>
                <w:szCs w:val="21"/>
                <w:highlight w:val="none"/>
                <w:u w:val="single"/>
                <w:lang w:val="en-US" w:eastAsia="zh-CN"/>
              </w:rPr>
              <w:t>40.920</w:t>
            </w:r>
            <w:r>
              <w:rPr>
                <w:rFonts w:hint="default" w:ascii="Times New Roman" w:hAnsi="Times New Roman" w:cs="Times New Roman" w:eastAsiaTheme="minorEastAsia"/>
                <w:color w:val="auto"/>
                <w:szCs w:val="21"/>
                <w:highlight w:val="none"/>
                <w:u w:val="single"/>
              </w:rPr>
              <w:t xml:space="preserve"> </w:t>
            </w:r>
            <w:r>
              <w:rPr>
                <w:rFonts w:hint="default" w:ascii="Times New Roman" w:hAnsi="Times New Roman" w:cs="Times New Roman" w:eastAsiaTheme="minorEastAsia"/>
                <w:color w:val="auto"/>
                <w:szCs w:val="21"/>
                <w:highlight w:val="none"/>
              </w:rPr>
              <w:t>秒）</w:t>
            </w:r>
          </w:p>
        </w:tc>
      </w:tr>
      <w:tr w14:paraId="7C0798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0D0FF67">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国民经济</w:t>
            </w:r>
          </w:p>
          <w:p w14:paraId="3B02992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行业类别</w:t>
            </w:r>
          </w:p>
        </w:tc>
        <w:tc>
          <w:tcPr>
            <w:tcW w:w="1179" w:type="pct"/>
            <w:vAlign w:val="center"/>
          </w:tcPr>
          <w:p w14:paraId="33D3E887">
            <w:pPr>
              <w:pStyle w:val="86"/>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A0514农产品初加工活动；</w:t>
            </w:r>
          </w:p>
          <w:p w14:paraId="63AE6E74">
            <w:pPr>
              <w:keepNext w:val="0"/>
              <w:keepLines w:val="0"/>
              <w:suppressLineNumbers w:val="0"/>
              <w:spacing w:before="0" w:beforeAutospacing="0" w:after="0" w:afterAutospacing="0"/>
              <w:ind w:left="0" w:right="0"/>
              <w:jc w:val="both"/>
              <w:rPr>
                <w:rFonts w:hint="default" w:ascii="Times New Roman" w:hAnsi="Times New Roman" w:cs="Times New Roman"/>
                <w:color w:val="auto"/>
                <w:kern w:val="21"/>
                <w:szCs w:val="21"/>
                <w:highlight w:val="none"/>
                <w:lang w:val="en-US"/>
              </w:rPr>
            </w:pPr>
            <w:r>
              <w:rPr>
                <w:rFonts w:hint="default" w:ascii="Times New Roman" w:hAnsi="Times New Roman" w:eastAsia="宋体" w:cs="Times New Roman"/>
                <w:color w:val="auto"/>
                <w:sz w:val="21"/>
                <w:szCs w:val="21"/>
                <w:highlight w:val="none"/>
              </w:rPr>
              <w:t>D4430热力生产和供应</w:t>
            </w:r>
          </w:p>
        </w:tc>
        <w:tc>
          <w:tcPr>
            <w:tcW w:w="1182" w:type="pct"/>
            <w:vAlign w:val="center"/>
          </w:tcPr>
          <w:p w14:paraId="7545A88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w:t>
            </w:r>
          </w:p>
          <w:p w14:paraId="4B903BC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行业类别</w:t>
            </w:r>
          </w:p>
        </w:tc>
        <w:tc>
          <w:tcPr>
            <w:tcW w:w="1743" w:type="pct"/>
            <w:vAlign w:val="center"/>
          </w:tcPr>
          <w:p w14:paraId="254943FD">
            <w:pPr>
              <w:keepNext w:val="0"/>
              <w:keepLines w:val="0"/>
              <w:widowControl/>
              <w:suppressLineNumbers w:val="0"/>
              <w:spacing w:before="0" w:beforeAutospacing="0" w:after="0" w:afterAutospacing="0"/>
              <w:ind w:left="0" w:right="0"/>
              <w:jc w:val="center"/>
              <w:rPr>
                <w:rFonts w:hint="default" w:eastAsia="宋体"/>
                <w:color w:val="FF0000"/>
                <w:highlight w:val="none"/>
                <w:lang w:val="en-US" w:eastAsia="zh-CN"/>
              </w:rPr>
            </w:pPr>
            <w:r>
              <w:rPr>
                <w:rFonts w:hint="default" w:ascii="Times New Roman" w:hAnsi="Times New Roman" w:eastAsia="宋体" w:cs="Times New Roman"/>
                <w:color w:val="FF0000"/>
                <w:sz w:val="21"/>
                <w:szCs w:val="21"/>
                <w:highlight w:val="none"/>
                <w:lang w:val="en-US"/>
              </w:rPr>
              <w:t>四十一、电力、热力生产和供应业 91.热力生产和供应工程（包括建设单位自建自用的供热工程）</w:t>
            </w:r>
          </w:p>
        </w:tc>
      </w:tr>
      <w:tr w14:paraId="26D49B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68" w:hRule="atLeast"/>
          <w:jc w:val="center"/>
        </w:trPr>
        <w:tc>
          <w:tcPr>
            <w:tcW w:w="895" w:type="pct"/>
            <w:tcMar>
              <w:top w:w="16" w:type="dxa"/>
              <w:left w:w="16" w:type="dxa"/>
              <w:right w:w="16" w:type="dxa"/>
            </w:tcMar>
            <w:vAlign w:val="center"/>
          </w:tcPr>
          <w:p w14:paraId="4D8BF2D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建设性质</w:t>
            </w:r>
          </w:p>
        </w:tc>
        <w:tc>
          <w:tcPr>
            <w:tcW w:w="1179" w:type="pct"/>
            <w:vAlign w:val="center"/>
          </w:tcPr>
          <w:p w14:paraId="3672D80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新建（迁建）</w:t>
            </w:r>
          </w:p>
          <w:p w14:paraId="1DA861A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改建</w:t>
            </w:r>
          </w:p>
          <w:p w14:paraId="782D41C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扩建</w:t>
            </w:r>
          </w:p>
          <w:p w14:paraId="2A05AB8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技术改造</w:t>
            </w:r>
          </w:p>
        </w:tc>
        <w:tc>
          <w:tcPr>
            <w:tcW w:w="1182" w:type="pct"/>
            <w:vAlign w:val="center"/>
          </w:tcPr>
          <w:p w14:paraId="7A3568F7">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w:t>
            </w:r>
          </w:p>
          <w:p w14:paraId="7DFECF8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申报情形</w:t>
            </w:r>
          </w:p>
        </w:tc>
        <w:tc>
          <w:tcPr>
            <w:tcW w:w="1743" w:type="pct"/>
            <w:vAlign w:val="center"/>
          </w:tcPr>
          <w:p w14:paraId="133CCB1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首次申报项目</w:t>
            </w:r>
          </w:p>
          <w:p w14:paraId="7E0E354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不予批准后再次申报项目</w:t>
            </w:r>
          </w:p>
          <w:p w14:paraId="0D24BA8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超五年重新审核项目</w:t>
            </w:r>
          </w:p>
          <w:p w14:paraId="0155C28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重大变动重新报批项目</w:t>
            </w:r>
          </w:p>
        </w:tc>
      </w:tr>
      <w:tr w14:paraId="088D51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69ABEDA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项目审批（核准/</w:t>
            </w:r>
          </w:p>
          <w:p w14:paraId="72F8652C">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备案）部门（选填）</w:t>
            </w:r>
          </w:p>
        </w:tc>
        <w:tc>
          <w:tcPr>
            <w:tcW w:w="1179" w:type="pct"/>
            <w:vAlign w:val="center"/>
          </w:tcPr>
          <w:p w14:paraId="393C856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c>
          <w:tcPr>
            <w:tcW w:w="1182" w:type="pct"/>
            <w:vAlign w:val="center"/>
          </w:tcPr>
          <w:p w14:paraId="4F72EC3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项目审批（核准/</w:t>
            </w:r>
          </w:p>
          <w:p w14:paraId="4C76A70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备案）文号（选填）</w:t>
            </w:r>
          </w:p>
        </w:tc>
        <w:tc>
          <w:tcPr>
            <w:tcW w:w="1743" w:type="pct"/>
            <w:vAlign w:val="center"/>
          </w:tcPr>
          <w:p w14:paraId="1CE5E94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r>
      <w:tr w14:paraId="76BC3E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7CD079F">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总投资（万元）</w:t>
            </w:r>
          </w:p>
        </w:tc>
        <w:tc>
          <w:tcPr>
            <w:tcW w:w="1179" w:type="pct"/>
            <w:vAlign w:val="center"/>
          </w:tcPr>
          <w:p w14:paraId="0EA2D9A2">
            <w:pPr>
              <w:pStyle w:val="86"/>
              <w:keepNext w:val="0"/>
              <w:keepLines w:val="0"/>
              <w:suppressLineNumbers w:val="0"/>
              <w:spacing w:before="0" w:beforeAutospacing="0" w:after="0" w:afterAutospacing="0"/>
              <w:ind w:left="0" w:right="0"/>
              <w:rPr>
                <w:rFonts w:hint="default" w:ascii="Times New Roman" w:hAnsi="Times New Roman" w:eastAsia="宋体" w:cs="Times New Roman"/>
                <w:color w:val="auto"/>
                <w:kern w:val="21"/>
                <w:highlight w:val="none"/>
                <w:lang w:val="en-US" w:eastAsia="zh-CN"/>
              </w:rPr>
            </w:pPr>
            <w:r>
              <w:rPr>
                <w:rFonts w:hint="eastAsia" w:eastAsia="宋体" w:cs="Times New Roman"/>
                <w:color w:val="auto"/>
                <w:kern w:val="21"/>
                <w:highlight w:val="none"/>
                <w:lang w:val="en-US" w:eastAsia="zh-CN"/>
              </w:rPr>
              <w:t>50</w:t>
            </w:r>
          </w:p>
        </w:tc>
        <w:tc>
          <w:tcPr>
            <w:tcW w:w="1182" w:type="pct"/>
            <w:tcMar>
              <w:top w:w="16" w:type="dxa"/>
              <w:left w:w="16" w:type="dxa"/>
              <w:right w:w="16" w:type="dxa"/>
            </w:tcMar>
            <w:vAlign w:val="center"/>
          </w:tcPr>
          <w:p w14:paraId="6052A18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环保投资（万元）</w:t>
            </w:r>
          </w:p>
        </w:tc>
        <w:tc>
          <w:tcPr>
            <w:tcW w:w="1743" w:type="pct"/>
            <w:vAlign w:val="center"/>
          </w:tcPr>
          <w:p w14:paraId="48D37547">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1"/>
                <w:szCs w:val="21"/>
                <w:highlight w:val="none"/>
                <w:lang w:val="en-US" w:eastAsia="zh-CN"/>
              </w:rPr>
            </w:pPr>
            <w:r>
              <w:rPr>
                <w:rFonts w:hint="eastAsia" w:cs="Times New Roman" w:eastAsiaTheme="minorEastAsia"/>
                <w:color w:val="auto"/>
                <w:kern w:val="21"/>
                <w:szCs w:val="21"/>
                <w:highlight w:val="none"/>
                <w:lang w:val="en-US" w:eastAsia="zh-CN"/>
              </w:rPr>
              <w:t>15.5</w:t>
            </w:r>
          </w:p>
        </w:tc>
      </w:tr>
      <w:tr w14:paraId="6BF8BD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41F383A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环保投资占比（%）</w:t>
            </w:r>
          </w:p>
        </w:tc>
        <w:tc>
          <w:tcPr>
            <w:tcW w:w="1179" w:type="pct"/>
            <w:vAlign w:val="center"/>
          </w:tcPr>
          <w:p w14:paraId="257B05FD">
            <w:pPr>
              <w:pStyle w:val="86"/>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kern w:val="21"/>
                <w:highlight w:val="none"/>
                <w:lang w:val="en-US" w:eastAsia="zh-CN"/>
              </w:rPr>
            </w:pPr>
            <w:r>
              <w:rPr>
                <w:rFonts w:hint="eastAsia" w:cs="Times New Roman" w:eastAsiaTheme="minorEastAsia"/>
                <w:color w:val="auto"/>
                <w:kern w:val="21"/>
                <w:highlight w:val="none"/>
                <w:lang w:val="en-US" w:eastAsia="zh-CN"/>
              </w:rPr>
              <w:t>31</w:t>
            </w:r>
          </w:p>
        </w:tc>
        <w:tc>
          <w:tcPr>
            <w:tcW w:w="1182" w:type="pct"/>
            <w:tcMar>
              <w:top w:w="16" w:type="dxa"/>
              <w:left w:w="16" w:type="dxa"/>
              <w:right w:w="16" w:type="dxa"/>
            </w:tcMar>
            <w:vAlign w:val="center"/>
          </w:tcPr>
          <w:p w14:paraId="47D5EB8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21"/>
                <w:szCs w:val="21"/>
                <w:highlight w:val="none"/>
                <w:lang w:val="en-US" w:eastAsia="zh-CN"/>
              </w:rPr>
            </w:pPr>
            <w:r>
              <w:rPr>
                <w:rFonts w:hint="default" w:ascii="Times New Roman" w:hAnsi="Times New Roman" w:eastAsia="宋体" w:cs="Times New Roman"/>
                <w:color w:val="FF0000"/>
                <w:kern w:val="21"/>
                <w:szCs w:val="21"/>
                <w:highlight w:val="none"/>
                <w:lang w:val="en-US" w:eastAsia="zh-CN"/>
              </w:rPr>
              <w:t>施工工期</w:t>
            </w:r>
          </w:p>
        </w:tc>
        <w:tc>
          <w:tcPr>
            <w:tcW w:w="1743" w:type="pct"/>
            <w:vAlign w:val="center"/>
          </w:tcPr>
          <w:p w14:paraId="07BEF9B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kern w:val="21"/>
                <w:szCs w:val="21"/>
                <w:highlight w:val="none"/>
                <w:lang w:val="en-US" w:eastAsia="zh-CN"/>
              </w:rPr>
            </w:pPr>
            <w:r>
              <w:rPr>
                <w:rFonts w:hint="eastAsia" w:ascii="Times New Roman" w:hAnsi="Times New Roman" w:eastAsia="宋体" w:cs="Times New Roman"/>
                <w:color w:val="FF0000"/>
                <w:kern w:val="21"/>
                <w:szCs w:val="21"/>
                <w:highlight w:val="none"/>
                <w:lang w:val="en-US" w:eastAsia="zh-CN"/>
              </w:rPr>
              <w:t>2026年</w:t>
            </w:r>
            <w:r>
              <w:rPr>
                <w:rFonts w:hint="eastAsia" w:cs="Times New Roman"/>
                <w:color w:val="FF0000"/>
                <w:kern w:val="21"/>
                <w:szCs w:val="21"/>
                <w:highlight w:val="none"/>
                <w:lang w:val="en-US" w:eastAsia="zh-CN"/>
              </w:rPr>
              <w:t>4</w:t>
            </w:r>
            <w:r>
              <w:rPr>
                <w:rFonts w:hint="eastAsia" w:ascii="Times New Roman" w:hAnsi="Times New Roman" w:eastAsia="宋体" w:cs="Times New Roman"/>
                <w:color w:val="FF0000"/>
                <w:kern w:val="21"/>
                <w:szCs w:val="21"/>
                <w:highlight w:val="none"/>
                <w:lang w:val="en-US" w:eastAsia="zh-CN"/>
              </w:rPr>
              <w:t>月-2026年</w:t>
            </w:r>
            <w:r>
              <w:rPr>
                <w:rFonts w:hint="eastAsia" w:cs="Times New Roman"/>
                <w:color w:val="FF0000"/>
                <w:kern w:val="21"/>
                <w:szCs w:val="21"/>
                <w:highlight w:val="none"/>
                <w:lang w:val="en-US" w:eastAsia="zh-CN"/>
              </w:rPr>
              <w:t>5</w:t>
            </w:r>
            <w:r>
              <w:rPr>
                <w:rFonts w:hint="eastAsia" w:ascii="Times New Roman" w:hAnsi="Times New Roman" w:eastAsia="宋体" w:cs="Times New Roman"/>
                <w:color w:val="FF0000"/>
                <w:kern w:val="21"/>
                <w:szCs w:val="21"/>
                <w:highlight w:val="none"/>
                <w:lang w:val="en-US" w:eastAsia="zh-CN"/>
              </w:rPr>
              <w:t>月</w:t>
            </w:r>
          </w:p>
          <w:p w14:paraId="64073D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21"/>
                <w:szCs w:val="21"/>
                <w:highlight w:val="none"/>
                <w:lang w:val="en-US" w:eastAsia="zh-CN"/>
              </w:rPr>
            </w:pPr>
            <w:r>
              <w:rPr>
                <w:rFonts w:hint="eastAsia" w:ascii="Times New Roman" w:hAnsi="Times New Roman" w:eastAsia="宋体" w:cs="Times New Roman"/>
                <w:color w:val="FF0000"/>
                <w:kern w:val="21"/>
                <w:szCs w:val="21"/>
                <w:highlight w:val="none"/>
                <w:lang w:val="en-US" w:eastAsia="zh-CN"/>
              </w:rPr>
              <w:t>2个月</w:t>
            </w:r>
          </w:p>
        </w:tc>
      </w:tr>
      <w:tr w14:paraId="1315E7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E998A3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是否开工建设</w:t>
            </w:r>
          </w:p>
        </w:tc>
        <w:tc>
          <w:tcPr>
            <w:tcW w:w="1179" w:type="pct"/>
            <w:vAlign w:val="center"/>
          </w:tcPr>
          <w:p w14:paraId="21A5C078">
            <w:pPr>
              <w:keepNext w:val="0"/>
              <w:keepLines w:val="0"/>
              <w:suppressLineNumbers w:val="0"/>
              <w:spacing w:before="0" w:beforeAutospacing="0" w:after="0" w:afterAutospacing="0"/>
              <w:ind w:left="0" w:right="0" w:firstLine="105"/>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否</w:t>
            </w:r>
          </w:p>
          <w:p w14:paraId="73682BE7">
            <w:pPr>
              <w:keepNext w:val="0"/>
              <w:keepLines w:val="0"/>
              <w:suppressLineNumbers w:val="0"/>
              <w:spacing w:before="0" w:beforeAutospacing="0" w:after="0" w:afterAutospacing="0"/>
              <w:ind w:left="0" w:right="0" w:firstLine="92"/>
              <w:jc w:val="left"/>
              <w:rPr>
                <w:rFonts w:hint="default" w:ascii="Times New Roman" w:hAnsi="Times New Roman" w:eastAsia="宋体" w:cs="Times New Roman"/>
                <w:color w:val="auto"/>
                <w:kern w:val="21"/>
                <w:szCs w:val="21"/>
                <w:highlight w:val="none"/>
                <w:u w:val="single"/>
                <w:lang w:val="en-US" w:eastAsia="zh-CN"/>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是：</w:t>
            </w:r>
            <w:r>
              <w:rPr>
                <w:rFonts w:hint="eastAsia" w:cs="Times New Roman"/>
                <w:color w:val="auto"/>
                <w:kern w:val="21"/>
                <w:szCs w:val="21"/>
                <w:highlight w:val="none"/>
                <w:u w:val="single"/>
                <w:lang w:val="en-US" w:eastAsia="zh-CN"/>
              </w:rPr>
              <w:t xml:space="preserve">          </w:t>
            </w:r>
          </w:p>
        </w:tc>
        <w:tc>
          <w:tcPr>
            <w:tcW w:w="1182" w:type="pct"/>
            <w:vAlign w:val="center"/>
          </w:tcPr>
          <w:p w14:paraId="54902B56">
            <w:pPr>
              <w:keepNext w:val="0"/>
              <w:keepLines w:val="0"/>
              <w:suppressLineNumbers w:val="0"/>
              <w:spacing w:before="0" w:beforeAutospacing="0" w:after="0" w:afterAutospacing="0"/>
              <w:ind w:left="0" w:right="0" w:firstLine="92"/>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用地（用海）面积（m</w:t>
            </w:r>
            <w:r>
              <w:rPr>
                <w:rFonts w:hint="default" w:ascii="Times New Roman" w:hAnsi="Times New Roman" w:cs="Times New Roman"/>
                <w:color w:val="auto"/>
                <w:kern w:val="21"/>
                <w:szCs w:val="21"/>
                <w:highlight w:val="none"/>
                <w:vertAlign w:val="superscript"/>
              </w:rPr>
              <w:t>2</w:t>
            </w:r>
            <w:r>
              <w:rPr>
                <w:rFonts w:hint="default" w:ascii="Times New Roman" w:hAnsi="Times New Roman" w:cs="Times New Roman"/>
                <w:color w:val="auto"/>
                <w:kern w:val="21"/>
                <w:szCs w:val="21"/>
                <w:highlight w:val="none"/>
              </w:rPr>
              <w:t>）</w:t>
            </w:r>
          </w:p>
        </w:tc>
        <w:tc>
          <w:tcPr>
            <w:tcW w:w="1743" w:type="pct"/>
            <w:vAlign w:val="center"/>
          </w:tcPr>
          <w:p w14:paraId="40DA90BF">
            <w:pPr>
              <w:pStyle w:val="5"/>
              <w:keepLines w:val="0"/>
              <w:suppressLineNumbers w:val="0"/>
              <w:spacing w:beforeAutospacing="0" w:afterAutospacing="0" w:line="240" w:lineRule="auto"/>
              <w:ind w:right="0"/>
              <w:jc w:val="center"/>
              <w:rPr>
                <w:rFonts w:hint="default" w:ascii="Times New Roman" w:hAnsi="Times New Roman" w:eastAsia="宋体" w:cs="Times New Roman"/>
                <w:color w:val="auto"/>
                <w:kern w:val="21"/>
                <w:szCs w:val="21"/>
                <w:highlight w:val="none"/>
                <w:lang w:val="en-US" w:eastAsia="zh-CN"/>
              </w:rPr>
            </w:pPr>
            <w:r>
              <w:rPr>
                <w:rFonts w:hint="eastAsia" w:eastAsia="宋体" w:cs="Times New Roman"/>
                <w:b w:val="0"/>
                <w:bCs w:val="0"/>
                <w:color w:val="auto"/>
                <w:kern w:val="21"/>
                <w:sz w:val="21"/>
                <w:szCs w:val="21"/>
                <w:highlight w:val="none"/>
                <w:lang w:val="en-US" w:eastAsia="zh-CN"/>
              </w:rPr>
              <w:t>5853.64</w:t>
            </w:r>
          </w:p>
        </w:tc>
      </w:tr>
      <w:tr w14:paraId="5CB219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895" w:type="pct"/>
            <w:tcMar>
              <w:top w:w="16" w:type="dxa"/>
              <w:left w:w="16" w:type="dxa"/>
              <w:right w:w="16" w:type="dxa"/>
            </w:tcMar>
            <w:vAlign w:val="center"/>
          </w:tcPr>
          <w:p w14:paraId="4A50F04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专项评价设置情况</w:t>
            </w:r>
          </w:p>
        </w:tc>
        <w:tc>
          <w:tcPr>
            <w:tcW w:w="4104" w:type="pct"/>
            <w:gridSpan w:val="3"/>
            <w:tcMar>
              <w:top w:w="16" w:type="dxa"/>
              <w:left w:w="16" w:type="dxa"/>
              <w:right w:w="16" w:type="dxa"/>
            </w:tcMar>
            <w:vAlign w:val="center"/>
          </w:tcPr>
          <w:p w14:paraId="77BAB831">
            <w:pPr>
              <w:keepNext w:val="0"/>
              <w:keepLines w:val="0"/>
              <w:suppressLineNumbers w:val="0"/>
              <w:snapToGrid w:val="0"/>
              <w:spacing w:before="0" w:beforeAutospacing="0" w:after="0" w:afterAutospacing="0" w:line="360" w:lineRule="auto"/>
              <w:ind w:left="0" w:right="0" w:firstLine="420" w:firstLineChars="200"/>
              <w:rPr>
                <w:rFonts w:hint="default"/>
                <w:color w:val="auto"/>
                <w:highlight w:val="none"/>
              </w:rPr>
            </w:pPr>
            <w:r>
              <w:rPr>
                <w:rFonts w:hint="default"/>
                <w:color w:val="auto"/>
                <w:szCs w:val="21"/>
                <w:highlight w:val="none"/>
              </w:rPr>
              <w:t>根据《建设项目环境影响报告表</w:t>
            </w:r>
            <w:r>
              <w:rPr>
                <w:rFonts w:hint="eastAsia"/>
                <w:color w:val="auto"/>
                <w:szCs w:val="21"/>
                <w:highlight w:val="none"/>
              </w:rPr>
              <w:t>编制</w:t>
            </w:r>
            <w:r>
              <w:rPr>
                <w:rFonts w:hint="default"/>
                <w:color w:val="auto"/>
                <w:szCs w:val="21"/>
                <w:highlight w:val="none"/>
              </w:rPr>
              <w:t>技术指南（污染影响类）》可知，土壤、声环境</w:t>
            </w:r>
            <w:r>
              <w:rPr>
                <w:rFonts w:hint="eastAsia"/>
                <w:color w:val="auto"/>
                <w:szCs w:val="21"/>
                <w:highlight w:val="none"/>
                <w:lang w:val="en-US" w:eastAsia="zh-CN"/>
              </w:rPr>
              <w:t>及</w:t>
            </w:r>
            <w:r>
              <w:rPr>
                <w:rFonts w:hint="default"/>
                <w:color w:val="auto"/>
                <w:szCs w:val="21"/>
                <w:highlight w:val="none"/>
              </w:rPr>
              <w:t>地下水不开展专项评价，本项目大气、地表水、环境风险、生态和海洋专项评价设置情况详见</w:t>
            </w:r>
            <w:r>
              <w:rPr>
                <w:rFonts w:hint="eastAsia"/>
                <w:color w:val="auto"/>
                <w:szCs w:val="21"/>
                <w:highlight w:val="none"/>
              </w:rPr>
              <w:t>下</w:t>
            </w:r>
            <w:r>
              <w:rPr>
                <w:rFonts w:hint="default"/>
                <w:color w:val="auto"/>
                <w:szCs w:val="21"/>
                <w:highlight w:val="none"/>
              </w:rPr>
              <w:t>表1-1。</w:t>
            </w:r>
          </w:p>
          <w:p w14:paraId="4A8FF4F2">
            <w:pPr>
              <w:keepNext w:val="0"/>
              <w:keepLines w:val="0"/>
              <w:suppressLineNumbers w:val="0"/>
              <w:snapToGrid w:val="0"/>
              <w:spacing w:before="0" w:beforeAutospacing="0" w:after="0" w:afterAutospacing="0"/>
              <w:ind w:left="0" w:right="0"/>
              <w:jc w:val="center"/>
              <w:rPr>
                <w:rFonts w:hint="default"/>
                <w:b/>
                <w:color w:val="auto"/>
                <w:kern w:val="0"/>
                <w:sz w:val="21"/>
                <w:szCs w:val="21"/>
                <w:highlight w:val="none"/>
              </w:rPr>
            </w:pPr>
            <w:r>
              <w:rPr>
                <w:rFonts w:hint="eastAsia"/>
                <w:b/>
                <w:color w:val="auto"/>
                <w:kern w:val="0"/>
                <w:sz w:val="21"/>
                <w:szCs w:val="21"/>
                <w:highlight w:val="none"/>
              </w:rPr>
              <w:t>表1-1本项目专项评价设置情况</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70"/>
              <w:gridCol w:w="4045"/>
            </w:tblGrid>
            <w:tr w14:paraId="4E926D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423017AA">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设置原则</w:t>
                  </w:r>
                </w:p>
              </w:tc>
              <w:tc>
                <w:tcPr>
                  <w:tcW w:w="2727" w:type="pct"/>
                  <w:noWrap w:val="0"/>
                  <w:vAlign w:val="center"/>
                </w:tcPr>
                <w:p w14:paraId="42E356F2">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本项目设置情况</w:t>
                  </w:r>
                </w:p>
              </w:tc>
            </w:tr>
            <w:tr w14:paraId="19EBC9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3FAB2F06">
                  <w:pPr>
                    <w:pStyle w:val="27"/>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排放废气含有毒有害污染物、二噁英、苯并[</w:t>
                  </w:r>
                  <w:r>
                    <w:rPr>
                      <w:rFonts w:hint="default" w:ascii="Times New Roman" w:hAnsi="Times New Roman"/>
                      <w:i/>
                      <w:color w:val="auto"/>
                      <w:sz w:val="18"/>
                      <w:szCs w:val="18"/>
                      <w:highlight w:val="none"/>
                    </w:rPr>
                    <w:t>a</w:t>
                  </w:r>
                  <w:r>
                    <w:rPr>
                      <w:rFonts w:hint="default" w:ascii="Times New Roman" w:hAnsi="Times New Roman"/>
                      <w:color w:val="auto"/>
                      <w:sz w:val="18"/>
                      <w:szCs w:val="18"/>
                      <w:highlight w:val="none"/>
                    </w:rPr>
                    <w:t>]芘、氰化物、氯气且厂界外500米</w:t>
                  </w:r>
                  <w:r>
                    <w:rPr>
                      <w:rFonts w:hint="eastAsia" w:ascii="Times New Roman" w:hAnsi="Times New Roman"/>
                      <w:color w:val="auto"/>
                      <w:sz w:val="18"/>
                      <w:szCs w:val="18"/>
                      <w:highlight w:val="none"/>
                    </w:rPr>
                    <w:t>范</w:t>
                  </w:r>
                  <w:r>
                    <w:rPr>
                      <w:rFonts w:hint="default" w:ascii="Times New Roman" w:hAnsi="Times New Roman"/>
                      <w:color w:val="auto"/>
                      <w:sz w:val="18"/>
                      <w:szCs w:val="18"/>
                      <w:highlight w:val="none"/>
                    </w:rPr>
                    <w:t>围内有环境空气保护目标的建设项</w:t>
                  </w:r>
                  <w:r>
                    <w:rPr>
                      <w:rFonts w:hint="eastAsia" w:ascii="Times New Roman" w:hAnsi="Times New Roman"/>
                      <w:color w:val="auto"/>
                      <w:sz w:val="18"/>
                      <w:szCs w:val="18"/>
                      <w:highlight w:val="none"/>
                    </w:rPr>
                    <w:t>目</w:t>
                  </w:r>
                </w:p>
              </w:tc>
              <w:tc>
                <w:tcPr>
                  <w:tcW w:w="4045" w:type="dxa"/>
                  <w:noWrap w:val="0"/>
                  <w:vAlign w:val="center"/>
                </w:tcPr>
                <w:p w14:paraId="68962F50">
                  <w:pPr>
                    <w:pStyle w:val="27"/>
                    <w:keepNext w:val="0"/>
                    <w:keepLines w:val="0"/>
                    <w:suppressLineNumbers w:val="0"/>
                    <w:spacing w:before="0" w:beforeAutospacing="0" w:after="0" w:afterAutospacing="0"/>
                    <w:ind w:left="0" w:leftChars="0" w:right="0" w:rightChars="0"/>
                    <w:jc w:val="center"/>
                    <w:rPr>
                      <w:rFonts w:hint="default" w:ascii="Times New Roman" w:hAnsi="Times New Roman"/>
                      <w:color w:val="FF0000"/>
                      <w:sz w:val="18"/>
                      <w:szCs w:val="18"/>
                      <w:highlight w:val="none"/>
                    </w:rPr>
                  </w:pPr>
                  <w:r>
                    <w:rPr>
                      <w:rFonts w:hint="eastAsia" w:ascii="Times New Roman" w:hAnsi="Times New Roman" w:eastAsia="宋体"/>
                      <w:color w:val="FF0000"/>
                      <w:sz w:val="18"/>
                      <w:szCs w:val="18"/>
                      <w:highlight w:val="none"/>
                    </w:rPr>
                    <w:t>本项目</w:t>
                  </w:r>
                  <w:r>
                    <w:rPr>
                      <w:rFonts w:hint="eastAsia" w:ascii="Times New Roman" w:hAnsi="Times New Roman" w:eastAsia="宋体"/>
                      <w:color w:val="FF0000"/>
                      <w:sz w:val="18"/>
                      <w:szCs w:val="18"/>
                      <w:highlight w:val="none"/>
                      <w:lang w:val="en-US" w:eastAsia="zh-CN"/>
                    </w:rPr>
                    <w:t>厂界外500米范围内存在环境空气保护目标，</w:t>
                  </w:r>
                  <w:r>
                    <w:rPr>
                      <w:rFonts w:hint="eastAsia" w:ascii="Times New Roman" w:hAnsi="Times New Roman" w:eastAsia="宋体"/>
                      <w:color w:val="FF0000"/>
                      <w:sz w:val="18"/>
                      <w:szCs w:val="18"/>
                      <w:highlight w:val="none"/>
                    </w:rPr>
                    <w:t>排放废气中不含有毒有害污染物、</w:t>
                  </w:r>
                  <w:r>
                    <w:rPr>
                      <w:rFonts w:hint="default" w:ascii="Times New Roman" w:hAnsi="Times New Roman" w:eastAsia="宋体"/>
                      <w:color w:val="FF0000"/>
                      <w:sz w:val="18"/>
                      <w:szCs w:val="18"/>
                      <w:highlight w:val="none"/>
                    </w:rPr>
                    <w:t>二噁英、苯并[a]芘、氰化物、氯气</w:t>
                  </w:r>
                  <w:r>
                    <w:rPr>
                      <w:rFonts w:hint="eastAsia" w:ascii="Times New Roman" w:hAnsi="Times New Roman" w:eastAsia="宋体"/>
                      <w:color w:val="FF0000"/>
                      <w:sz w:val="18"/>
                      <w:szCs w:val="18"/>
                      <w:highlight w:val="none"/>
                    </w:rPr>
                    <w:t>，</w:t>
                  </w:r>
                  <w:r>
                    <w:rPr>
                      <w:rFonts w:hint="eastAsia" w:ascii="Times New Roman" w:hAnsi="Times New Roman" w:eastAsia="宋体"/>
                      <w:color w:val="FF0000"/>
                      <w:sz w:val="18"/>
                      <w:szCs w:val="18"/>
                      <w:highlight w:val="none"/>
                      <w:lang w:val="en-US" w:eastAsia="zh-CN"/>
                    </w:rPr>
                    <w:t>根据《直接法测定固体生物质燃料中汞的试验研究》（煤质技术，2020年）可知，生物质汞含量为15.47ng/g。生物质汞含量极低，因此，不需设置大气专项评价。</w:t>
                  </w:r>
                </w:p>
              </w:tc>
            </w:tr>
            <w:tr w14:paraId="197345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7A7681BF">
                  <w:pPr>
                    <w:pStyle w:val="27"/>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新增工业废水直排建设项目（槽罐车外送污水处理厂的除外）；新增废水直排的污水集中处理厂</w:t>
                  </w:r>
                </w:p>
              </w:tc>
              <w:tc>
                <w:tcPr>
                  <w:tcW w:w="2727" w:type="pct"/>
                  <w:noWrap w:val="0"/>
                  <w:vAlign w:val="center"/>
                </w:tcPr>
                <w:p w14:paraId="6B8067BF">
                  <w:pPr>
                    <w:pStyle w:val="27"/>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本项目不属于新增工业废水直排建设项目，也不属于新增废水直排的污水集中处理厂，不需设置地表水专项评价。</w:t>
                  </w:r>
                </w:p>
              </w:tc>
            </w:tr>
            <w:tr w14:paraId="521319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72" w:type="pct"/>
                  <w:noWrap w:val="0"/>
                  <w:vAlign w:val="center"/>
                </w:tcPr>
                <w:p w14:paraId="20B142A6">
                  <w:pPr>
                    <w:pStyle w:val="27"/>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有毒有害和易燃易爆危险物质存储量超过临界量的建设项目</w:t>
                  </w:r>
                </w:p>
              </w:tc>
              <w:tc>
                <w:tcPr>
                  <w:tcW w:w="4045" w:type="dxa"/>
                  <w:noWrap w:val="0"/>
                  <w:vAlign w:val="center"/>
                </w:tcPr>
                <w:p w14:paraId="1072E48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jc w:val="left"/>
                    <w:textAlignment w:val="auto"/>
                    <w:rPr>
                      <w:rFonts w:hint="default" w:ascii="Times New Roman" w:hAnsi="Times New Roman"/>
                      <w:color w:val="FF0000"/>
                      <w:sz w:val="18"/>
                      <w:szCs w:val="18"/>
                      <w:highlight w:val="none"/>
                    </w:rPr>
                  </w:pPr>
                  <w:r>
                    <w:rPr>
                      <w:rFonts w:hint="default" w:ascii="Times New Roman" w:hAnsi="Times New Roman" w:eastAsia="宋体" w:cs="Times New Roman"/>
                      <w:color w:val="FF0000"/>
                      <w:kern w:val="2"/>
                      <w:sz w:val="18"/>
                      <w:szCs w:val="18"/>
                      <w:highlight w:val="none"/>
                      <w:lang w:val="en-US" w:eastAsia="zh-CN" w:bidi="ar-SA"/>
                    </w:rPr>
                    <w:t>本项目涉及危险物质存储量未超过临界量</w:t>
                  </w:r>
                  <w:r>
                    <w:rPr>
                      <w:rFonts w:hint="eastAsia" w:ascii="Times New Roman" w:hAnsi="Times New Roman" w:eastAsia="宋体" w:cs="Times New Roman"/>
                      <w:color w:val="FF0000"/>
                      <w:kern w:val="2"/>
                      <w:sz w:val="18"/>
                      <w:szCs w:val="18"/>
                      <w:highlight w:val="none"/>
                      <w:lang w:val="en-US" w:eastAsia="zh-CN" w:bidi="ar-SA"/>
                    </w:rPr>
                    <w:t>，</w:t>
                  </w:r>
                  <w:r>
                    <w:rPr>
                      <w:rFonts w:hint="eastAsia" w:cs="Times New Roman"/>
                      <w:color w:val="FF0000"/>
                      <w:kern w:val="2"/>
                      <w:sz w:val="18"/>
                      <w:szCs w:val="18"/>
                      <w:highlight w:val="none"/>
                      <w:lang w:val="en-US" w:eastAsia="zh-CN" w:bidi="ar-SA"/>
                    </w:rPr>
                    <w:t>经计算Q值为</w:t>
                  </w:r>
                  <w:r>
                    <w:rPr>
                      <w:rFonts w:hint="eastAsia"/>
                      <w:color w:val="FF0000"/>
                      <w:sz w:val="18"/>
                      <w:szCs w:val="18"/>
                      <w:lang w:val="en-US" w:eastAsia="zh-CN"/>
                    </w:rPr>
                    <w:t>8.0</w:t>
                  </w:r>
                  <w:r>
                    <w:rPr>
                      <w:rFonts w:hint="default" w:ascii="Arial" w:hAnsi="Arial" w:cs="Arial"/>
                      <w:color w:val="FF0000"/>
                      <w:sz w:val="18"/>
                      <w:szCs w:val="18"/>
                      <w:lang w:val="en-US" w:eastAsia="zh-CN"/>
                    </w:rPr>
                    <w:t>×</w:t>
                  </w:r>
                  <w:r>
                    <w:rPr>
                      <w:rFonts w:hint="eastAsia"/>
                      <w:color w:val="FF0000"/>
                      <w:sz w:val="18"/>
                      <w:szCs w:val="18"/>
                      <w:lang w:val="en-US" w:eastAsia="zh-CN"/>
                    </w:rPr>
                    <w:t>10</w:t>
                  </w:r>
                  <w:r>
                    <w:rPr>
                      <w:rFonts w:hint="eastAsia"/>
                      <w:color w:val="FF0000"/>
                      <w:sz w:val="18"/>
                      <w:szCs w:val="18"/>
                      <w:vertAlign w:val="superscript"/>
                      <w:lang w:val="en-US" w:eastAsia="zh-CN"/>
                    </w:rPr>
                    <w:t>-6</w:t>
                  </w:r>
                  <w:r>
                    <w:rPr>
                      <w:rFonts w:hint="eastAsia" w:cs="Times New Roman"/>
                      <w:color w:val="FF0000"/>
                      <w:kern w:val="2"/>
                      <w:sz w:val="18"/>
                      <w:szCs w:val="18"/>
                      <w:highlight w:val="none"/>
                      <w:lang w:val="en-US" w:eastAsia="zh-CN" w:bidi="ar-SA"/>
                    </w:rPr>
                    <w:t>，</w:t>
                  </w:r>
                  <w:r>
                    <w:rPr>
                      <w:rFonts w:hint="eastAsia" w:ascii="Times New Roman" w:hAnsi="Times New Roman" w:eastAsia="宋体" w:cs="Times New Roman"/>
                      <w:color w:val="FF0000"/>
                      <w:kern w:val="2"/>
                      <w:sz w:val="18"/>
                      <w:szCs w:val="18"/>
                      <w:highlight w:val="none"/>
                      <w:lang w:val="en-US" w:eastAsia="zh-CN" w:bidi="ar-SA"/>
                    </w:rPr>
                    <w:t>因此无需开展环境风险专项评价</w:t>
                  </w:r>
                </w:p>
              </w:tc>
            </w:tr>
            <w:tr w14:paraId="4B4FDD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68C4EBC3">
                  <w:pPr>
                    <w:pStyle w:val="27"/>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取水口下游500米范围内有重要水生生物的自然产卵场、索饵场、越冬场和洄游通道的新增河道取水的污染类建设项目</w:t>
                  </w:r>
                </w:p>
              </w:tc>
              <w:tc>
                <w:tcPr>
                  <w:tcW w:w="2727" w:type="pct"/>
                  <w:noWrap w:val="0"/>
                  <w:vAlign w:val="center"/>
                </w:tcPr>
                <w:p w14:paraId="2F57D1DB">
                  <w:pPr>
                    <w:pStyle w:val="27"/>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本项目</w:t>
                  </w:r>
                  <w:r>
                    <w:rPr>
                      <w:rFonts w:hint="eastAsia" w:ascii="Times New Roman" w:hAnsi="Times New Roman"/>
                      <w:color w:val="auto"/>
                      <w:sz w:val="18"/>
                      <w:szCs w:val="18"/>
                      <w:highlight w:val="none"/>
                      <w:lang w:eastAsia="zh-CN"/>
                    </w:rPr>
                    <w:t>不涉及河道取水，</w:t>
                  </w:r>
                  <w:r>
                    <w:rPr>
                      <w:rFonts w:hint="eastAsia" w:ascii="Times New Roman" w:hAnsi="Times New Roman"/>
                      <w:color w:val="auto"/>
                      <w:sz w:val="18"/>
                      <w:szCs w:val="18"/>
                      <w:highlight w:val="none"/>
                      <w:lang w:val="en-US" w:eastAsia="zh-CN"/>
                    </w:rPr>
                    <w:t>不属于</w:t>
                  </w:r>
                  <w:r>
                    <w:rPr>
                      <w:rFonts w:hint="eastAsia" w:ascii="Times New Roman" w:hAnsi="Times New Roman"/>
                      <w:color w:val="auto"/>
                      <w:sz w:val="18"/>
                      <w:szCs w:val="18"/>
                      <w:highlight w:val="none"/>
                    </w:rPr>
                    <w:t>取水口下游500米范围内有重要水生生物的自然产卵场、索饵场、越冬场和洄游通道的新增河道取水的污染类建设项目</w:t>
                  </w:r>
                  <w:r>
                    <w:rPr>
                      <w:rFonts w:hint="default" w:ascii="Times New Roman" w:hAnsi="Times New Roman"/>
                      <w:color w:val="auto"/>
                      <w:sz w:val="18"/>
                      <w:szCs w:val="18"/>
                      <w:highlight w:val="none"/>
                    </w:rPr>
                    <w:t>，不需设置生态专项评价。</w:t>
                  </w:r>
                </w:p>
              </w:tc>
            </w:tr>
            <w:tr w14:paraId="1E4CB8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noWrap w:val="0"/>
                  <w:vAlign w:val="center"/>
                </w:tcPr>
                <w:p w14:paraId="52B840A5">
                  <w:pPr>
                    <w:pStyle w:val="27"/>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直接向海排放污染物的海洋工程建设项目</w:t>
                  </w:r>
                </w:p>
              </w:tc>
              <w:tc>
                <w:tcPr>
                  <w:tcW w:w="2727" w:type="pct"/>
                  <w:noWrap w:val="0"/>
                  <w:vAlign w:val="center"/>
                </w:tcPr>
                <w:p w14:paraId="4290B63C">
                  <w:pPr>
                    <w:pStyle w:val="27"/>
                    <w:keepNext w:val="0"/>
                    <w:keepLines w:val="0"/>
                    <w:suppressLineNumbers w:val="0"/>
                    <w:spacing w:before="0" w:beforeAutospacing="0" w:after="0" w:afterAutospacing="0"/>
                    <w:ind w:left="0" w:leftChars="0" w:right="0"/>
                    <w:jc w:val="both"/>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本项目不属于海洋工程，不需设置海洋专项评价。</w:t>
                  </w:r>
                </w:p>
              </w:tc>
            </w:tr>
          </w:tbl>
          <w:p w14:paraId="3A44DB94">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default"/>
                <w:color w:val="auto"/>
                <w:szCs w:val="21"/>
                <w:highlight w:val="none"/>
              </w:rPr>
              <w:t>综上所述，本项目无需开展专项评价工作。</w:t>
            </w:r>
          </w:p>
        </w:tc>
      </w:tr>
      <w:tr w14:paraId="27C9FB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895" w:type="pct"/>
            <w:tcMar>
              <w:top w:w="16" w:type="dxa"/>
              <w:left w:w="16" w:type="dxa"/>
              <w:right w:w="16" w:type="dxa"/>
            </w:tcMar>
            <w:vAlign w:val="center"/>
          </w:tcPr>
          <w:p w14:paraId="1A27377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规划情况</w:t>
            </w:r>
          </w:p>
        </w:tc>
        <w:tc>
          <w:tcPr>
            <w:tcW w:w="4104" w:type="pct"/>
            <w:gridSpan w:val="3"/>
            <w:tcMar>
              <w:top w:w="16" w:type="dxa"/>
              <w:left w:w="16" w:type="dxa"/>
              <w:right w:w="16" w:type="dxa"/>
            </w:tcMar>
            <w:vAlign w:val="center"/>
          </w:tcPr>
          <w:p w14:paraId="5FB3D8A2">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宋体" w:cs="Times New Roman"/>
                <w:color w:val="auto"/>
                <w:kern w:val="21"/>
                <w:sz w:val="21"/>
                <w:szCs w:val="21"/>
                <w:highlight w:val="none"/>
                <w:lang w:val="en-US" w:eastAsia="zh-CN"/>
              </w:rPr>
            </w:pPr>
            <w:r>
              <w:rPr>
                <w:rFonts w:hint="eastAsia" w:ascii="Times New Roman Regular" w:hAnsi="Times New Roman Regular" w:cs="Times New Roman Regular"/>
                <w:color w:val="auto"/>
                <w:kern w:val="0"/>
                <w:sz w:val="21"/>
                <w:szCs w:val="21"/>
                <w:highlight w:val="none"/>
                <w:lang w:val="en-US" w:eastAsia="zh-CN" w:bidi="ar-SA"/>
              </w:rPr>
              <w:t>无</w:t>
            </w:r>
          </w:p>
        </w:tc>
      </w:tr>
      <w:tr w14:paraId="3AB55C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7" w:hRule="atLeast"/>
          <w:jc w:val="center"/>
        </w:trPr>
        <w:tc>
          <w:tcPr>
            <w:tcW w:w="895" w:type="pct"/>
            <w:tcMar>
              <w:top w:w="16" w:type="dxa"/>
              <w:left w:w="16" w:type="dxa"/>
              <w:right w:w="16" w:type="dxa"/>
            </w:tcMar>
            <w:vAlign w:val="center"/>
          </w:tcPr>
          <w:p w14:paraId="5A2D7CE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规划环境影响</w:t>
            </w:r>
          </w:p>
          <w:p w14:paraId="2E76DDF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评价情况</w:t>
            </w:r>
          </w:p>
        </w:tc>
        <w:tc>
          <w:tcPr>
            <w:tcW w:w="4104" w:type="pct"/>
            <w:gridSpan w:val="3"/>
            <w:tcMar>
              <w:top w:w="16" w:type="dxa"/>
              <w:left w:w="16" w:type="dxa"/>
              <w:right w:w="16" w:type="dxa"/>
            </w:tcMar>
            <w:vAlign w:val="center"/>
          </w:tcPr>
          <w:p w14:paraId="11005B0A">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eastAsia" w:ascii="Times New Roman" w:hAnsi="Times New Roman" w:eastAsia="宋体" w:cs="Times New Roman"/>
                <w:color w:val="auto"/>
                <w:kern w:val="21"/>
                <w:sz w:val="21"/>
                <w:szCs w:val="21"/>
                <w:highlight w:val="none"/>
                <w:lang w:val="en-US" w:eastAsia="zh-CN"/>
              </w:rPr>
            </w:pPr>
            <w:r>
              <w:rPr>
                <w:rFonts w:hint="eastAsia" w:ascii="Times New Roman Regular" w:hAnsi="Times New Roman Regular" w:cs="Times New Roman Regular"/>
                <w:color w:val="auto"/>
                <w:kern w:val="0"/>
                <w:sz w:val="21"/>
                <w:szCs w:val="21"/>
                <w:highlight w:val="none"/>
                <w:lang w:val="en-US" w:eastAsia="zh-CN" w:bidi="ar-SA"/>
              </w:rPr>
              <w:t>无</w:t>
            </w:r>
          </w:p>
        </w:tc>
      </w:tr>
      <w:tr w14:paraId="29CA71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895" w:type="pct"/>
            <w:tcMar>
              <w:top w:w="16" w:type="dxa"/>
              <w:left w:w="16" w:type="dxa"/>
              <w:right w:w="16" w:type="dxa"/>
            </w:tcMar>
            <w:vAlign w:val="center"/>
          </w:tcPr>
          <w:p w14:paraId="39FF1E59">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规划及规划环境影响评价符合性分析</w:t>
            </w:r>
          </w:p>
        </w:tc>
        <w:tc>
          <w:tcPr>
            <w:tcW w:w="4104" w:type="pct"/>
            <w:gridSpan w:val="3"/>
            <w:tcMar>
              <w:top w:w="16" w:type="dxa"/>
              <w:left w:w="16" w:type="dxa"/>
              <w:right w:w="16" w:type="dxa"/>
            </w:tcMar>
            <w:vAlign w:val="center"/>
          </w:tcPr>
          <w:p w14:paraId="38E184B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eastAsia="宋体"/>
                <w:color w:val="auto"/>
                <w:highlight w:val="none"/>
                <w:lang w:val="en-US" w:eastAsia="zh-CN"/>
              </w:rPr>
            </w:pPr>
            <w:r>
              <w:rPr>
                <w:rFonts w:hint="eastAsia"/>
                <w:color w:val="auto"/>
                <w:highlight w:val="none"/>
                <w:lang w:val="en-US" w:eastAsia="zh-CN"/>
              </w:rPr>
              <w:t>无</w:t>
            </w:r>
          </w:p>
        </w:tc>
      </w:tr>
      <w:tr w14:paraId="447F76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95" w:type="pct"/>
            <w:tcMar>
              <w:top w:w="16" w:type="dxa"/>
              <w:left w:w="16" w:type="dxa"/>
              <w:right w:w="16" w:type="dxa"/>
            </w:tcMar>
            <w:vAlign w:val="center"/>
          </w:tcPr>
          <w:p w14:paraId="44CD9047">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Cs w:val="21"/>
                <w:highlight w:val="none"/>
              </w:rPr>
            </w:pPr>
            <w:bookmarkStart w:id="3" w:name="_Hlk56690880"/>
            <w:r>
              <w:rPr>
                <w:rFonts w:hint="default" w:ascii="Times New Roman" w:hAnsi="Times New Roman" w:cs="Times New Roman"/>
                <w:color w:val="auto"/>
                <w:kern w:val="21"/>
                <w:szCs w:val="21"/>
                <w:highlight w:val="none"/>
              </w:rPr>
              <w:t>其他符合性分析</w:t>
            </w:r>
          </w:p>
        </w:tc>
        <w:tc>
          <w:tcPr>
            <w:tcW w:w="4104" w:type="pct"/>
            <w:gridSpan w:val="3"/>
            <w:tcMar>
              <w:top w:w="16" w:type="dxa"/>
              <w:left w:w="16" w:type="dxa"/>
              <w:right w:w="16" w:type="dxa"/>
            </w:tcMar>
            <w:vAlign w:val="center"/>
          </w:tcPr>
          <w:p w14:paraId="5C3D0A04">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textAlignment w:val="auto"/>
              <w:rPr>
                <w:rFonts w:hint="default"/>
                <w:b/>
                <w:bCs/>
                <w:color w:val="auto"/>
                <w:kern w:val="0"/>
                <w:sz w:val="21"/>
                <w:szCs w:val="21"/>
                <w:highlight w:val="none"/>
              </w:rPr>
            </w:pPr>
            <w:r>
              <w:rPr>
                <w:rFonts w:hint="eastAsia"/>
                <w:b/>
                <w:bCs/>
                <w:color w:val="auto"/>
                <w:kern w:val="0"/>
                <w:sz w:val="21"/>
                <w:szCs w:val="21"/>
                <w:highlight w:val="none"/>
                <w:lang w:val="en-US" w:eastAsia="zh-CN"/>
              </w:rPr>
              <w:t>1、</w:t>
            </w:r>
            <w:r>
              <w:rPr>
                <w:rFonts w:hint="eastAsia"/>
                <w:b/>
                <w:bCs/>
                <w:color w:val="auto"/>
                <w:kern w:val="0"/>
                <w:sz w:val="21"/>
                <w:szCs w:val="21"/>
                <w:highlight w:val="none"/>
                <w:lang w:eastAsia="zh-CN"/>
              </w:rPr>
              <w:t>生态环境分区管控</w:t>
            </w:r>
            <w:r>
              <w:rPr>
                <w:rFonts w:hint="eastAsia"/>
                <w:b/>
                <w:bCs/>
                <w:color w:val="auto"/>
                <w:kern w:val="0"/>
                <w:sz w:val="21"/>
                <w:szCs w:val="21"/>
                <w:highlight w:val="none"/>
              </w:rPr>
              <w:t>符合性分析</w:t>
            </w:r>
          </w:p>
          <w:p w14:paraId="2A908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cs="Times New Roman"/>
                <w:color w:val="auto"/>
                <w:kern w:val="0"/>
                <w:sz w:val="21"/>
                <w:szCs w:val="21"/>
                <w:highlight w:val="none"/>
                <w:lang w:eastAsia="zh-CN" w:bidi="ar"/>
              </w:rPr>
            </w:pPr>
            <w:r>
              <w:rPr>
                <w:rFonts w:hint="default" w:ascii="Times New Roman" w:hAnsi="Times New Roman" w:cs="Times New Roman"/>
                <w:color w:val="auto"/>
                <w:kern w:val="0"/>
                <w:sz w:val="21"/>
                <w:szCs w:val="21"/>
                <w:highlight w:val="none"/>
                <w:lang w:bidi="ar"/>
              </w:rPr>
              <w:t>本项目位于</w:t>
            </w:r>
            <w:r>
              <w:rPr>
                <w:rFonts w:hint="eastAsia" w:cs="Times New Roman"/>
                <w:color w:val="auto"/>
                <w:sz w:val="21"/>
                <w:szCs w:val="21"/>
                <w:highlight w:val="none"/>
                <w:lang w:val="en-US" w:eastAsia="zh-CN"/>
              </w:rPr>
              <w:t>黑龙江省鸡西市</w:t>
            </w:r>
            <w:r>
              <w:rPr>
                <w:rFonts w:hint="eastAsia"/>
                <w:color w:val="auto"/>
                <w:highlight w:val="none"/>
                <w:lang w:val="en-US" w:eastAsia="zh-CN"/>
              </w:rPr>
              <w:t>鸡东县东海镇发展村五组</w:t>
            </w:r>
            <w:r>
              <w:rPr>
                <w:rFonts w:hint="default" w:ascii="Times New Roman" w:hAnsi="Times New Roman" w:cs="Times New Roman"/>
                <w:color w:val="auto"/>
                <w:sz w:val="21"/>
                <w:szCs w:val="21"/>
                <w:highlight w:val="none"/>
              </w:rPr>
              <w:t>，根据</w:t>
            </w:r>
            <w:r>
              <w:rPr>
                <w:rFonts w:hint="default" w:ascii="Times New Roman" w:hAnsi="Times New Roman" w:cs="Times New Roman"/>
                <w:color w:val="auto"/>
                <w:kern w:val="0"/>
                <w:sz w:val="21"/>
                <w:szCs w:val="21"/>
                <w:highlight w:val="none"/>
                <w:lang w:bidi="ar"/>
              </w:rPr>
              <w:t>《黑龙江省人民政府关于实施</w:t>
            </w:r>
            <w:r>
              <w:rPr>
                <w:rFonts w:hint="eastAsia" w:ascii="宋体" w:hAnsi="宋体" w:eastAsia="宋体" w:cs="宋体"/>
                <w:color w:val="auto"/>
                <w:kern w:val="0"/>
                <w:sz w:val="21"/>
                <w:szCs w:val="21"/>
                <w:highlight w:val="none"/>
                <w:lang w:bidi="ar"/>
              </w:rPr>
              <w:t>“三线一单”生</w:t>
            </w:r>
            <w:r>
              <w:rPr>
                <w:rFonts w:hint="default" w:ascii="Times New Roman" w:hAnsi="Times New Roman" w:cs="Times New Roman"/>
                <w:color w:val="auto"/>
                <w:kern w:val="0"/>
                <w:sz w:val="21"/>
                <w:szCs w:val="21"/>
                <w:highlight w:val="none"/>
                <w:lang w:bidi="ar"/>
              </w:rPr>
              <w:t>态环境分区管控的意见》（黑政发〔2020〕14号）、《</w:t>
            </w:r>
            <w:r>
              <w:rPr>
                <w:rFonts w:hint="eastAsia" w:cs="Times New Roman"/>
                <w:color w:val="auto"/>
                <w:kern w:val="0"/>
                <w:sz w:val="21"/>
                <w:szCs w:val="21"/>
                <w:highlight w:val="none"/>
                <w:lang w:eastAsia="zh-CN" w:bidi="ar"/>
              </w:rPr>
              <w:t>鸡西</w:t>
            </w:r>
            <w:r>
              <w:rPr>
                <w:rFonts w:hint="default" w:ascii="Times New Roman" w:hAnsi="Times New Roman" w:cs="Times New Roman"/>
                <w:color w:val="auto"/>
                <w:kern w:val="0"/>
                <w:sz w:val="21"/>
                <w:szCs w:val="21"/>
                <w:highlight w:val="none"/>
                <w:lang w:bidi="ar"/>
              </w:rPr>
              <w:t>市人民政府关于实施</w:t>
            </w:r>
            <w:r>
              <w:rPr>
                <w:rFonts w:hint="eastAsia" w:ascii="宋体" w:hAnsi="宋体" w:eastAsia="宋体" w:cs="宋体"/>
                <w:color w:val="auto"/>
                <w:kern w:val="0"/>
                <w:sz w:val="21"/>
                <w:szCs w:val="21"/>
                <w:highlight w:val="none"/>
                <w:lang w:bidi="ar"/>
              </w:rPr>
              <w:t>“三线一单”</w:t>
            </w:r>
            <w:r>
              <w:rPr>
                <w:rFonts w:hint="default" w:ascii="Times New Roman" w:hAnsi="Times New Roman" w:cs="Times New Roman"/>
                <w:color w:val="auto"/>
                <w:kern w:val="0"/>
                <w:sz w:val="21"/>
                <w:szCs w:val="21"/>
                <w:highlight w:val="none"/>
                <w:lang w:bidi="ar"/>
              </w:rPr>
              <w:t>生态环境分区管控的意见》（</w:t>
            </w:r>
            <w:r>
              <w:rPr>
                <w:rFonts w:hint="eastAsia" w:ascii="Times New Roman" w:hAnsi="Times New Roman" w:cs="Times New Roman"/>
                <w:color w:val="auto"/>
                <w:kern w:val="0"/>
                <w:sz w:val="21"/>
                <w:szCs w:val="21"/>
                <w:highlight w:val="none"/>
                <w:lang w:eastAsia="zh-CN" w:bidi="ar"/>
              </w:rPr>
              <w:t>鸡</w:t>
            </w:r>
            <w:r>
              <w:rPr>
                <w:rFonts w:hint="default" w:ascii="Times New Roman" w:hAnsi="Times New Roman" w:cs="Times New Roman"/>
                <w:color w:val="auto"/>
                <w:kern w:val="0"/>
                <w:sz w:val="21"/>
                <w:szCs w:val="21"/>
                <w:highlight w:val="none"/>
                <w:lang w:bidi="ar"/>
              </w:rPr>
              <w:t>政发〔2021〕</w:t>
            </w:r>
            <w:r>
              <w:rPr>
                <w:rFonts w:hint="eastAsia" w:ascii="Times New Roman" w:hAnsi="Times New Roman" w:cs="Times New Roman"/>
                <w:color w:val="auto"/>
                <w:kern w:val="0"/>
                <w:sz w:val="21"/>
                <w:szCs w:val="21"/>
                <w:highlight w:val="none"/>
                <w:lang w:val="en-US" w:eastAsia="zh-CN" w:bidi="ar"/>
              </w:rPr>
              <w:t>7</w:t>
            </w:r>
            <w:r>
              <w:rPr>
                <w:rFonts w:hint="default" w:ascii="Times New Roman" w:hAnsi="Times New Roman" w:cs="Times New Roman"/>
                <w:color w:val="auto"/>
                <w:kern w:val="0"/>
                <w:sz w:val="21"/>
                <w:szCs w:val="21"/>
                <w:highlight w:val="none"/>
                <w:lang w:bidi="ar"/>
              </w:rPr>
              <w:t>号）</w:t>
            </w:r>
            <w:r>
              <w:rPr>
                <w:rFonts w:hint="eastAsia" w:ascii="Times New Roman" w:hAnsi="Times New Roman" w:cs="Times New Roman"/>
                <w:color w:val="auto"/>
                <w:kern w:val="0"/>
                <w:sz w:val="21"/>
                <w:szCs w:val="21"/>
                <w:highlight w:val="none"/>
                <w:lang w:eastAsia="zh-CN" w:bidi="ar"/>
              </w:rPr>
              <w:t>和《</w:t>
            </w:r>
            <w:r>
              <w:rPr>
                <w:rFonts w:hint="eastAsia" w:cs="Times New Roman"/>
                <w:color w:val="auto"/>
                <w:kern w:val="0"/>
                <w:sz w:val="21"/>
                <w:szCs w:val="21"/>
                <w:highlight w:val="none"/>
                <w:lang w:eastAsia="zh-CN" w:bidi="ar"/>
              </w:rPr>
              <w:t>鸡东县祥辰粮食有限公司生物质热风炉建设项目生态环境分区管控分析报告》（见附件）</w:t>
            </w:r>
            <w:r>
              <w:rPr>
                <w:rFonts w:hint="default" w:ascii="Times New Roman" w:hAnsi="Times New Roman" w:cs="Times New Roman"/>
                <w:color w:val="auto"/>
                <w:kern w:val="0"/>
                <w:sz w:val="21"/>
                <w:szCs w:val="21"/>
                <w:highlight w:val="none"/>
                <w:lang w:bidi="ar"/>
              </w:rPr>
              <w:t>，</w:t>
            </w:r>
            <w:r>
              <w:rPr>
                <w:rFonts w:hint="eastAsia" w:cs="Times New Roman"/>
                <w:color w:val="auto"/>
                <w:kern w:val="0"/>
                <w:sz w:val="21"/>
                <w:szCs w:val="21"/>
                <w:highlight w:val="none"/>
                <w:lang w:eastAsia="zh-CN" w:bidi="ar"/>
              </w:rPr>
              <w:t>本项目与“生态环境分区管控”符合性如下：</w:t>
            </w:r>
          </w:p>
          <w:p w14:paraId="45BA23DF">
            <w:pPr>
              <w:pStyle w:val="27"/>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leftChars="0" w:right="0" w:firstLine="420" w:firstLineChars="200"/>
              <w:textAlignment w:val="auto"/>
              <w:rPr>
                <w:rFonts w:hint="eastAsia"/>
                <w:color w:val="auto"/>
                <w:sz w:val="21"/>
                <w:szCs w:val="21"/>
                <w:lang w:eastAsia="zh-CN"/>
              </w:rPr>
            </w:pPr>
            <w:r>
              <w:rPr>
                <w:rFonts w:hint="eastAsia" w:ascii="Calibri" w:hAnsi="Calibri" w:eastAsia="宋体" w:cs="Times New Roman"/>
                <w:color w:val="auto"/>
                <w:kern w:val="2"/>
                <w:sz w:val="21"/>
                <w:szCs w:val="21"/>
                <w:lang w:val="en-US" w:eastAsia="zh-CN" w:bidi="ar-SA"/>
              </w:rPr>
              <w:t>（1）</w:t>
            </w:r>
            <w:r>
              <w:rPr>
                <w:rFonts w:hint="eastAsia"/>
                <w:color w:val="auto"/>
                <w:sz w:val="21"/>
                <w:szCs w:val="21"/>
                <w:lang w:eastAsia="zh-CN"/>
              </w:rPr>
              <w:t>“一图”</w:t>
            </w:r>
          </w:p>
          <w:p w14:paraId="0E17FB87">
            <w:pPr>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lang w:val="en-US" w:eastAsia="zh-CN" w:bidi="ar"/>
              </w:rPr>
            </w:pPr>
            <w:r>
              <w:rPr>
                <w:rFonts w:hint="eastAsia"/>
                <w:color w:val="auto"/>
                <w:sz w:val="21"/>
                <w:szCs w:val="21"/>
                <w:lang w:eastAsia="zh-CN"/>
              </w:rPr>
              <w:t>根据</w:t>
            </w:r>
            <w:r>
              <w:rPr>
                <w:rFonts w:hint="eastAsia"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eastAsia="zh-CN" w:bidi="ar"/>
              </w:rPr>
              <w:t>鸡东县祥辰粮食有限公司生物质热风炉建设项目生态环境分区管控分析报告》，项目与环境管控单元叠加图见图</w:t>
            </w:r>
            <w:r>
              <w:rPr>
                <w:rFonts w:hint="eastAsia" w:cs="Times New Roman"/>
                <w:color w:val="auto"/>
                <w:kern w:val="0"/>
                <w:sz w:val="21"/>
                <w:szCs w:val="21"/>
                <w:highlight w:val="none"/>
                <w:lang w:val="en-US" w:eastAsia="zh-CN" w:bidi="ar"/>
              </w:rPr>
              <w:t>1-1。</w:t>
            </w:r>
          </w:p>
          <w:p w14:paraId="569142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kern w:val="0"/>
                <w:sz w:val="21"/>
                <w:szCs w:val="21"/>
                <w:highlight w:val="none"/>
              </w:rPr>
            </w:pPr>
            <w:r>
              <w:rPr>
                <w:rFonts w:hint="default"/>
              </w:rPr>
              <w:drawing>
                <wp:inline distT="0" distB="0" distL="114300" distR="114300">
                  <wp:extent cx="4702175" cy="2489835"/>
                  <wp:effectExtent l="0" t="0" r="3175" b="571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9"/>
                          <a:stretch>
                            <a:fillRect/>
                          </a:stretch>
                        </pic:blipFill>
                        <pic:spPr>
                          <a:xfrm>
                            <a:off x="0" y="0"/>
                            <a:ext cx="4702175" cy="2489835"/>
                          </a:xfrm>
                          <a:prstGeom prst="rect">
                            <a:avLst/>
                          </a:prstGeom>
                          <a:noFill/>
                          <a:ln>
                            <a:noFill/>
                          </a:ln>
                        </pic:spPr>
                      </pic:pic>
                    </a:graphicData>
                  </a:graphic>
                </wp:inline>
              </w:drawing>
            </w:r>
          </w:p>
          <w:p w14:paraId="1E05D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eastAsia" w:ascii="宋体" w:hAnsi="宋体" w:eastAsia="宋体" w:cs="宋体"/>
                <w:b/>
                <w:bCs/>
                <w:color w:val="auto"/>
                <w:kern w:val="0"/>
                <w:sz w:val="21"/>
                <w:szCs w:val="21"/>
                <w:highlight w:val="none"/>
                <w:lang w:val="en-US" w:eastAsia="zh-CN"/>
              </w:rPr>
            </w:pPr>
            <w:r>
              <w:rPr>
                <w:rFonts w:hint="eastAsia" w:ascii="宋体" w:hAnsi="宋体" w:eastAsia="宋体" w:cs="宋体"/>
                <w:b/>
                <w:bCs/>
                <w:color w:val="auto"/>
                <w:kern w:val="0"/>
                <w:sz w:val="21"/>
                <w:szCs w:val="21"/>
                <w:highlight w:val="none"/>
                <w:lang w:eastAsia="zh-CN"/>
              </w:rPr>
              <w:t>图</w:t>
            </w:r>
            <w:r>
              <w:rPr>
                <w:rFonts w:hint="eastAsia" w:ascii="宋体" w:hAnsi="宋体" w:eastAsia="宋体" w:cs="宋体"/>
                <w:b/>
                <w:bCs/>
                <w:color w:val="auto"/>
                <w:kern w:val="0"/>
                <w:sz w:val="21"/>
                <w:szCs w:val="21"/>
                <w:highlight w:val="none"/>
                <w:lang w:val="en-US" w:eastAsia="zh-CN"/>
              </w:rPr>
              <w:t>1-1与生态环境分区管控叠加图</w:t>
            </w:r>
          </w:p>
          <w:p w14:paraId="07F4930B">
            <w:pPr>
              <w:pStyle w:val="151"/>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一表”</w:t>
            </w:r>
          </w:p>
          <w:p w14:paraId="346552CF">
            <w:pPr>
              <w:pStyle w:val="151"/>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本项目与生态环境准入清单符合性情况见表1-2。</w:t>
            </w:r>
          </w:p>
          <w:p w14:paraId="30B4B2A4">
            <w:pPr>
              <w:keepNext w:val="0"/>
              <w:keepLines w:val="0"/>
              <w:suppressLineNumbers w:val="0"/>
              <w:bidi w:val="0"/>
              <w:spacing w:before="0" w:beforeAutospacing="0" w:after="0" w:afterAutospacing="0"/>
              <w:ind w:left="0" w:right="0"/>
              <w:jc w:val="center"/>
              <w:rPr>
                <w:rFonts w:hint="default"/>
                <w:b/>
                <w:bCs/>
                <w:color w:val="auto"/>
                <w:sz w:val="21"/>
                <w:szCs w:val="21"/>
                <w:highlight w:val="none"/>
              </w:rPr>
            </w:pPr>
            <w:r>
              <w:rPr>
                <w:rFonts w:hint="default"/>
                <w:b/>
                <w:bCs/>
                <w:color w:val="auto"/>
                <w:sz w:val="21"/>
                <w:szCs w:val="21"/>
                <w:highlight w:val="none"/>
              </w:rPr>
              <w:t>表1-</w:t>
            </w:r>
            <w:r>
              <w:rPr>
                <w:rFonts w:hint="eastAsia"/>
                <w:b/>
                <w:bCs/>
                <w:color w:val="auto"/>
                <w:sz w:val="21"/>
                <w:szCs w:val="21"/>
                <w:highlight w:val="none"/>
                <w:lang w:val="en-US" w:eastAsia="zh-CN"/>
              </w:rPr>
              <w:t xml:space="preserve">2   </w:t>
            </w:r>
            <w:r>
              <w:rPr>
                <w:rFonts w:hint="default"/>
                <w:b/>
                <w:bCs/>
                <w:color w:val="auto"/>
                <w:sz w:val="21"/>
                <w:szCs w:val="21"/>
                <w:highlight w:val="none"/>
              </w:rPr>
              <w:t>生态环境准入清单符合性分析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8"/>
              <w:gridCol w:w="4546"/>
              <w:gridCol w:w="1631"/>
            </w:tblGrid>
            <w:tr w14:paraId="1D97E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bottom w:val="single" w:color="auto" w:sz="4" w:space="0"/>
                  </w:tcBorders>
                  <w:noWrap w:val="0"/>
                  <w:vAlign w:val="center"/>
                </w:tcPr>
                <w:p w14:paraId="00BD1867">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一、生态保护红线</w:t>
                  </w:r>
                </w:p>
              </w:tc>
            </w:tr>
            <w:tr w14:paraId="1CAD5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132C3D2D">
                  <w:pPr>
                    <w:pStyle w:val="168"/>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textAlignment w:val="auto"/>
                    <w:rPr>
                      <w:rFonts w:hint="default"/>
                      <w:color w:val="auto"/>
                      <w:sz w:val="21"/>
                      <w:szCs w:val="21"/>
                      <w:highlight w:val="none"/>
                    </w:rPr>
                  </w:pPr>
                  <w:r>
                    <w:rPr>
                      <w:rFonts w:hint="eastAsia"/>
                      <w:color w:val="auto"/>
                      <w:sz w:val="21"/>
                      <w:szCs w:val="21"/>
                      <w:lang w:val="en-US" w:eastAsia="zh-CN"/>
                    </w:rPr>
                    <w:t>根据</w:t>
                  </w:r>
                  <w:r>
                    <w:rPr>
                      <w:rFonts w:hint="eastAsia" w:ascii="Times New Roman" w:hAnsi="Times New Roman" w:cs="Times New Roman"/>
                      <w:color w:val="auto"/>
                      <w:sz w:val="21"/>
                      <w:szCs w:val="21"/>
                      <w:lang w:val="en-US" w:eastAsia="zh-CN"/>
                    </w:rPr>
                    <w:t>《</w:t>
                  </w:r>
                  <w:r>
                    <w:rPr>
                      <w:rFonts w:hint="eastAsia" w:cs="Times New Roman"/>
                      <w:color w:val="auto"/>
                      <w:kern w:val="0"/>
                      <w:sz w:val="21"/>
                      <w:szCs w:val="21"/>
                      <w:highlight w:val="none"/>
                      <w:lang w:eastAsia="zh-CN" w:bidi="ar"/>
                    </w:rPr>
                    <w:t>鸡东县祥辰粮食有限公司生物质热风炉建设项目生态环境分区管控分析报告</w:t>
                  </w:r>
                  <w:r>
                    <w:rPr>
                      <w:rFonts w:hint="eastAsia" w:ascii="Times New Roman" w:hAnsi="Times New Roman" w:cs="Times New Roman"/>
                      <w:color w:val="auto"/>
                      <w:sz w:val="21"/>
                      <w:szCs w:val="21"/>
                      <w:lang w:val="en-US" w:eastAsia="zh-CN"/>
                    </w:rPr>
                    <w:t>》，本项目不涉及生态保护红线。</w:t>
                  </w:r>
                </w:p>
              </w:tc>
            </w:tr>
            <w:tr w14:paraId="095A44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6F5BC949">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二、环境质量底线</w:t>
                  </w:r>
                </w:p>
              </w:tc>
            </w:tr>
            <w:tr w14:paraId="09AF0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30A370CA">
                  <w:pPr>
                    <w:pStyle w:val="169"/>
                    <w:keepNext w:val="0"/>
                    <w:keepLines w:val="0"/>
                    <w:suppressLineNumbers w:val="0"/>
                    <w:spacing w:before="0" w:beforeAutospacing="0" w:after="0" w:afterAutospacing="0"/>
                    <w:ind w:left="0" w:right="0" w:firstLine="480"/>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环境质量底线是国家和地方设置的大气、水和土壤环境质量目标，也是改善环境质量的基准线。项目环境影响评价应对照区域环境质量目标，深入分析预测项目建设对环境质量的影响，强化污染防治措施和污染物排放控制要求。</w:t>
                  </w:r>
                </w:p>
                <w:p w14:paraId="5F59A4C8">
                  <w:pPr>
                    <w:pStyle w:val="169"/>
                    <w:keepNext w:val="0"/>
                    <w:keepLines w:val="0"/>
                    <w:suppressLineNumbers w:val="0"/>
                    <w:spacing w:before="0" w:beforeAutospacing="0" w:after="0" w:afterAutospacing="0"/>
                    <w:ind w:left="0" w:right="0" w:firstLine="482"/>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1、大气环境</w:t>
                  </w:r>
                </w:p>
                <w:p w14:paraId="1C2D6C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FF0000"/>
                      <w:kern w:val="0"/>
                      <w:sz w:val="21"/>
                      <w:szCs w:val="21"/>
                      <w:highlight w:val="none"/>
                      <w:lang w:val="en-US" w:eastAsia="zh-CN"/>
                    </w:rPr>
                  </w:pPr>
                  <w:r>
                    <w:rPr>
                      <w:rFonts w:hint="default" w:ascii="Times New Roman" w:hAnsi="Times New Roman" w:cs="Times New Roman"/>
                      <w:color w:val="FF0000"/>
                      <w:sz w:val="21"/>
                      <w:szCs w:val="21"/>
                      <w:highlight w:val="none"/>
                    </w:rPr>
                    <w:t>根据</w:t>
                  </w:r>
                  <w:r>
                    <w:rPr>
                      <w:rFonts w:hint="eastAsia" w:cs="Times New Roman"/>
                      <w:color w:val="FF0000"/>
                      <w:sz w:val="21"/>
                      <w:szCs w:val="21"/>
                      <w:highlight w:val="none"/>
                      <w:lang w:eastAsia="zh-CN"/>
                    </w:rPr>
                    <w:t>《2025年黑龙江省生态环境质量状况》（2026年1月）</w:t>
                  </w:r>
                  <w:r>
                    <w:rPr>
                      <w:rFonts w:hint="default" w:ascii="Times New Roman" w:hAnsi="Times New Roman" w:cs="Times New Roman"/>
                      <w:color w:val="FF0000"/>
                      <w:sz w:val="21"/>
                      <w:szCs w:val="21"/>
                      <w:highlight w:val="none"/>
                    </w:rPr>
                    <w:t>，</w:t>
                  </w:r>
                  <w:r>
                    <w:rPr>
                      <w:rFonts w:hint="default" w:ascii="Times New Roman" w:hAnsi="Times New Roman" w:cs="Times New Roman"/>
                      <w:color w:val="FF0000"/>
                      <w:sz w:val="21"/>
                      <w:szCs w:val="21"/>
                      <w:highlight w:val="none"/>
                      <w:lang w:val="en-US" w:eastAsia="zh-CN"/>
                    </w:rPr>
                    <w:t>鸡西市空气质量级别达二级标准，</w:t>
                  </w:r>
                  <w:r>
                    <w:rPr>
                      <w:rFonts w:hint="eastAsia" w:cs="Times New Roman"/>
                      <w:color w:val="FF0000"/>
                      <w:sz w:val="21"/>
                      <w:szCs w:val="21"/>
                      <w:highlight w:val="none"/>
                      <w:lang w:val="en-US" w:eastAsia="zh-CN"/>
                    </w:rPr>
                    <w:t>达标天数为350天</w:t>
                  </w:r>
                  <w:r>
                    <w:rPr>
                      <w:rFonts w:hint="default" w:ascii="Times New Roman" w:hAnsi="Times New Roman" w:cs="Times New Roman"/>
                      <w:color w:val="FF0000"/>
                      <w:sz w:val="21"/>
                      <w:szCs w:val="21"/>
                      <w:highlight w:val="none"/>
                      <w:lang w:val="en-US" w:eastAsia="zh-CN"/>
                    </w:rPr>
                    <w:t>（95.9%）</w:t>
                  </w:r>
                  <w:r>
                    <w:rPr>
                      <w:rFonts w:hint="eastAsia" w:cs="Times New Roman"/>
                      <w:color w:val="FF0000"/>
                      <w:sz w:val="21"/>
                      <w:szCs w:val="21"/>
                      <w:highlight w:val="none"/>
                      <w:lang w:val="en-US" w:eastAsia="zh-CN"/>
                    </w:rPr>
                    <w:t>。</w:t>
                  </w:r>
                  <w:r>
                    <w:rPr>
                      <w:rFonts w:hint="default" w:ascii="Times New Roman" w:hAnsi="Times New Roman" w:cs="Times New Roman"/>
                      <w:color w:val="FF0000"/>
                      <w:sz w:val="21"/>
                      <w:szCs w:val="21"/>
                      <w:highlight w:val="none"/>
                      <w:lang w:val="en-US" w:eastAsia="zh-CN"/>
                    </w:rPr>
                    <w:t>PM</w:t>
                  </w:r>
                  <w:r>
                    <w:rPr>
                      <w:rFonts w:hint="default" w:ascii="Times New Roman" w:hAnsi="Times New Roman" w:cs="Times New Roman"/>
                      <w:color w:val="FF0000"/>
                      <w:sz w:val="21"/>
                      <w:szCs w:val="21"/>
                      <w:highlight w:val="none"/>
                      <w:vertAlign w:val="subscript"/>
                      <w:lang w:val="en-US" w:eastAsia="zh-CN"/>
                    </w:rPr>
                    <w:t>2.5</w:t>
                  </w:r>
                  <w:r>
                    <w:rPr>
                      <w:rFonts w:hint="default" w:ascii="Times New Roman" w:hAnsi="Times New Roman" w:cs="Times New Roman"/>
                      <w:color w:val="FF0000"/>
                      <w:sz w:val="21"/>
                      <w:szCs w:val="21"/>
                      <w:highlight w:val="none"/>
                      <w:lang w:val="en-US" w:eastAsia="zh-CN"/>
                    </w:rPr>
                    <w:t>、PM</w:t>
                  </w:r>
                  <w:r>
                    <w:rPr>
                      <w:rFonts w:hint="default" w:ascii="Times New Roman" w:hAnsi="Times New Roman" w:cs="Times New Roman"/>
                      <w:color w:val="FF0000"/>
                      <w:sz w:val="21"/>
                      <w:szCs w:val="21"/>
                      <w:highlight w:val="none"/>
                      <w:vertAlign w:val="subscript"/>
                      <w:lang w:val="en-US" w:eastAsia="zh-CN"/>
                    </w:rPr>
                    <w:t>10</w:t>
                  </w:r>
                  <w:r>
                    <w:rPr>
                      <w:rFonts w:hint="default" w:ascii="Times New Roman" w:hAnsi="Times New Roman" w:cs="Times New Roman"/>
                      <w:color w:val="FF0000"/>
                      <w:sz w:val="21"/>
                      <w:szCs w:val="21"/>
                      <w:highlight w:val="none"/>
                      <w:lang w:val="en-US" w:eastAsia="zh-CN"/>
                    </w:rPr>
                    <w:t>、SO</w:t>
                  </w:r>
                  <w:r>
                    <w:rPr>
                      <w:rFonts w:hint="default" w:ascii="Times New Roman" w:hAnsi="Times New Roman" w:cs="Times New Roman"/>
                      <w:color w:val="FF0000"/>
                      <w:sz w:val="21"/>
                      <w:szCs w:val="21"/>
                      <w:highlight w:val="none"/>
                      <w:vertAlign w:val="subscript"/>
                      <w:lang w:val="en-US" w:eastAsia="zh-CN"/>
                    </w:rPr>
                    <w:t>2</w:t>
                  </w:r>
                  <w:r>
                    <w:rPr>
                      <w:rFonts w:hint="default" w:ascii="Times New Roman" w:hAnsi="Times New Roman" w:cs="Times New Roman"/>
                      <w:color w:val="FF0000"/>
                      <w:sz w:val="21"/>
                      <w:szCs w:val="21"/>
                      <w:highlight w:val="none"/>
                      <w:lang w:val="en-US" w:eastAsia="zh-CN"/>
                    </w:rPr>
                    <w:t>、NO</w:t>
                  </w:r>
                  <w:r>
                    <w:rPr>
                      <w:rFonts w:hint="default" w:ascii="Times New Roman" w:hAnsi="Times New Roman" w:cs="Times New Roman"/>
                      <w:color w:val="FF0000"/>
                      <w:sz w:val="21"/>
                      <w:szCs w:val="21"/>
                      <w:highlight w:val="none"/>
                      <w:vertAlign w:val="subscript"/>
                      <w:lang w:val="en-US" w:eastAsia="zh-CN"/>
                    </w:rPr>
                    <w:t>2</w:t>
                  </w:r>
                  <w:r>
                    <w:rPr>
                      <w:rFonts w:hint="default" w:ascii="Times New Roman" w:hAnsi="Times New Roman" w:cs="Times New Roman"/>
                      <w:color w:val="FF0000"/>
                      <w:sz w:val="21"/>
                      <w:szCs w:val="21"/>
                      <w:highlight w:val="none"/>
                      <w:lang w:val="en-US" w:eastAsia="zh-CN"/>
                    </w:rPr>
                    <w:t>、CO-95per、O</w:t>
                  </w:r>
                  <w:r>
                    <w:rPr>
                      <w:rFonts w:hint="default" w:ascii="Times New Roman" w:hAnsi="Times New Roman" w:cs="Times New Roman"/>
                      <w:color w:val="FF0000"/>
                      <w:sz w:val="21"/>
                      <w:szCs w:val="21"/>
                      <w:highlight w:val="none"/>
                      <w:vertAlign w:val="subscript"/>
                      <w:lang w:val="en-US" w:eastAsia="zh-CN"/>
                    </w:rPr>
                    <w:t>3</w:t>
                  </w:r>
                  <w:r>
                    <w:rPr>
                      <w:rFonts w:hint="default" w:ascii="Times New Roman" w:hAnsi="Times New Roman" w:cs="Times New Roman"/>
                      <w:color w:val="FF0000"/>
                      <w:sz w:val="21"/>
                      <w:szCs w:val="21"/>
                      <w:highlight w:val="none"/>
                      <w:lang w:val="en-US" w:eastAsia="zh-CN"/>
                    </w:rPr>
                    <w:t>-8h-90per年均浓度分别为2</w:t>
                  </w:r>
                  <w:r>
                    <w:rPr>
                      <w:rFonts w:hint="eastAsia" w:cs="Times New Roman"/>
                      <w:color w:val="FF0000"/>
                      <w:sz w:val="21"/>
                      <w:szCs w:val="21"/>
                      <w:highlight w:val="none"/>
                      <w:lang w:val="en-US" w:eastAsia="zh-CN"/>
                    </w:rPr>
                    <w:t>6</w:t>
                  </w:r>
                  <w:r>
                    <w:rPr>
                      <w:rFonts w:hint="default" w:ascii="Times New Roman" w:hAnsi="Times New Roman" w:eastAsia="宋体" w:cs="Times New Roman"/>
                      <w:color w:val="FF0000"/>
                      <w:sz w:val="21"/>
                      <w:szCs w:val="21"/>
                      <w:highlight w:val="none"/>
                      <w:lang w:val="en-US" w:eastAsia="zh-CN"/>
                    </w:rPr>
                    <w:t>μg/m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cs="Times New Roman"/>
                      <w:color w:val="FF0000"/>
                      <w:sz w:val="21"/>
                      <w:szCs w:val="21"/>
                      <w:highlight w:val="none"/>
                      <w:vertAlign w:val="baseline"/>
                      <w:lang w:val="en-US" w:eastAsia="zh-CN"/>
                    </w:rPr>
                    <w:t>、</w:t>
                  </w:r>
                  <w:r>
                    <w:rPr>
                      <w:rFonts w:hint="default" w:ascii="Times New Roman" w:hAnsi="Times New Roman" w:cs="Times New Roman"/>
                      <w:color w:val="FF0000"/>
                      <w:sz w:val="21"/>
                      <w:szCs w:val="21"/>
                      <w:highlight w:val="none"/>
                      <w:lang w:val="en-US" w:eastAsia="zh-CN"/>
                    </w:rPr>
                    <w:t>4</w:t>
                  </w:r>
                  <w:r>
                    <w:rPr>
                      <w:rFonts w:hint="eastAsia" w:cs="Times New Roman"/>
                      <w:color w:val="FF0000"/>
                      <w:sz w:val="21"/>
                      <w:szCs w:val="21"/>
                      <w:highlight w:val="none"/>
                      <w:lang w:val="en-US" w:eastAsia="zh-CN"/>
                    </w:rPr>
                    <w:t>3</w:t>
                  </w:r>
                  <w:r>
                    <w:rPr>
                      <w:rFonts w:hint="default" w:ascii="Times New Roman" w:hAnsi="Times New Roman" w:eastAsia="宋体" w:cs="Times New Roman"/>
                      <w:color w:val="FF0000"/>
                      <w:sz w:val="21"/>
                      <w:szCs w:val="21"/>
                      <w:highlight w:val="none"/>
                      <w:lang w:val="en-US" w:eastAsia="zh-CN"/>
                    </w:rPr>
                    <w:t>μg/m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cs="Times New Roman"/>
                      <w:color w:val="FF0000"/>
                      <w:sz w:val="21"/>
                      <w:szCs w:val="21"/>
                      <w:highlight w:val="none"/>
                      <w:vertAlign w:val="baseline"/>
                      <w:lang w:val="en-US" w:eastAsia="zh-CN"/>
                    </w:rPr>
                    <w:t>、8</w:t>
                  </w:r>
                  <w:r>
                    <w:rPr>
                      <w:rFonts w:hint="default" w:ascii="Times New Roman" w:hAnsi="Times New Roman" w:eastAsia="宋体" w:cs="Times New Roman"/>
                      <w:color w:val="FF0000"/>
                      <w:sz w:val="21"/>
                      <w:szCs w:val="21"/>
                      <w:highlight w:val="none"/>
                      <w:lang w:val="en-US" w:eastAsia="zh-CN"/>
                    </w:rPr>
                    <w:t>μg/m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cs="Times New Roman"/>
                      <w:color w:val="FF0000"/>
                      <w:sz w:val="21"/>
                      <w:szCs w:val="21"/>
                      <w:highlight w:val="none"/>
                      <w:vertAlign w:val="baseline"/>
                      <w:lang w:val="en-US" w:eastAsia="zh-CN"/>
                    </w:rPr>
                    <w:t>、1</w:t>
                  </w:r>
                  <w:r>
                    <w:rPr>
                      <w:rFonts w:hint="default" w:ascii="Times New Roman" w:hAnsi="Times New Roman" w:cs="Times New Roman"/>
                      <w:color w:val="FF0000"/>
                      <w:sz w:val="21"/>
                      <w:szCs w:val="21"/>
                      <w:highlight w:val="none"/>
                      <w:lang w:val="en-US" w:eastAsia="zh-CN"/>
                    </w:rPr>
                    <w:t>7</w:t>
                  </w:r>
                  <w:r>
                    <w:rPr>
                      <w:rFonts w:hint="default" w:ascii="Times New Roman" w:hAnsi="Times New Roman" w:eastAsia="宋体" w:cs="Times New Roman"/>
                      <w:color w:val="FF0000"/>
                      <w:sz w:val="21"/>
                      <w:szCs w:val="21"/>
                      <w:highlight w:val="none"/>
                      <w:lang w:val="en-US" w:eastAsia="zh-CN"/>
                    </w:rPr>
                    <w:t>μg/m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cs="Times New Roman"/>
                      <w:color w:val="FF0000"/>
                      <w:sz w:val="21"/>
                      <w:szCs w:val="21"/>
                      <w:highlight w:val="none"/>
                      <w:vertAlign w:val="baseline"/>
                      <w:lang w:val="en-US" w:eastAsia="zh-CN"/>
                    </w:rPr>
                    <w:t>、</w:t>
                  </w:r>
                  <w:r>
                    <w:rPr>
                      <w:rFonts w:hint="eastAsia" w:cs="Times New Roman"/>
                      <w:color w:val="FF0000"/>
                      <w:sz w:val="21"/>
                      <w:szCs w:val="21"/>
                      <w:highlight w:val="none"/>
                      <w:vertAlign w:val="baseline"/>
                      <w:lang w:val="en-US" w:eastAsia="zh-CN"/>
                    </w:rPr>
                    <w:t>0.9</w:t>
                  </w:r>
                  <w:r>
                    <w:rPr>
                      <w:rFonts w:hint="default" w:ascii="Times New Roman" w:hAnsi="Times New Roman" w:eastAsia="宋体" w:cs="Times New Roman"/>
                      <w:color w:val="FF0000"/>
                      <w:sz w:val="21"/>
                      <w:szCs w:val="21"/>
                      <w:highlight w:val="none"/>
                      <w:lang w:val="en-US" w:eastAsia="zh-CN"/>
                    </w:rPr>
                    <w:t>μg/m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cs="Times New Roman"/>
                      <w:color w:val="FF0000"/>
                      <w:sz w:val="21"/>
                      <w:szCs w:val="21"/>
                      <w:highlight w:val="none"/>
                      <w:vertAlign w:val="baseline"/>
                      <w:lang w:val="en-US" w:eastAsia="zh-CN"/>
                    </w:rPr>
                    <w:t>、和</w:t>
                  </w:r>
                  <w:r>
                    <w:rPr>
                      <w:rFonts w:hint="eastAsia" w:cs="Times New Roman"/>
                      <w:color w:val="FF0000"/>
                      <w:sz w:val="21"/>
                      <w:szCs w:val="21"/>
                      <w:highlight w:val="none"/>
                      <w:vertAlign w:val="baseline"/>
                      <w:lang w:val="en-US" w:eastAsia="zh-CN"/>
                    </w:rPr>
                    <w:t>115</w:t>
                  </w:r>
                  <w:r>
                    <w:rPr>
                      <w:rFonts w:hint="default" w:ascii="Times New Roman" w:hAnsi="Times New Roman" w:eastAsia="宋体" w:cs="Times New Roman"/>
                      <w:color w:val="FF0000"/>
                      <w:sz w:val="21"/>
                      <w:szCs w:val="21"/>
                      <w:highlight w:val="none"/>
                      <w:lang w:val="en-US" w:eastAsia="zh-CN"/>
                    </w:rPr>
                    <w:t>μg/m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cs="Times New Roman"/>
                      <w:color w:val="FF0000"/>
                      <w:sz w:val="21"/>
                      <w:szCs w:val="21"/>
                      <w:highlight w:val="none"/>
                      <w:vertAlign w:val="baseline"/>
                      <w:lang w:val="en-US" w:eastAsia="zh-CN"/>
                    </w:rPr>
                    <w:t>，</w:t>
                  </w:r>
                  <w:r>
                    <w:rPr>
                      <w:rFonts w:hint="default" w:ascii="Times New Roman" w:hAnsi="Times New Roman" w:eastAsia="宋体" w:cs="Times New Roman"/>
                      <w:color w:val="FF0000"/>
                      <w:kern w:val="21"/>
                      <w:sz w:val="21"/>
                      <w:szCs w:val="21"/>
                      <w:highlight w:val="none"/>
                      <w:lang w:val="en-US" w:eastAsia="zh-CN"/>
                    </w:rPr>
                    <w:t>均满足</w:t>
                  </w:r>
                  <w:r>
                    <w:rPr>
                      <w:rFonts w:hint="default" w:ascii="Times New Roman" w:hAnsi="Times New Roman" w:eastAsia="宋体" w:cs="Times New Roman"/>
                      <w:color w:val="FF0000"/>
                      <w:kern w:val="21"/>
                      <w:sz w:val="21"/>
                      <w:szCs w:val="21"/>
                      <w:highlight w:val="none"/>
                    </w:rPr>
                    <w:t>《</w:t>
                  </w:r>
                  <w:bookmarkStart w:id="13" w:name="_GoBack"/>
                  <w:r>
                    <w:rPr>
                      <w:rFonts w:hint="default" w:ascii="Times New Roman" w:hAnsi="Times New Roman" w:eastAsia="宋体" w:cs="Times New Roman"/>
                      <w:color w:val="FF0000"/>
                      <w:kern w:val="21"/>
                      <w:sz w:val="21"/>
                      <w:szCs w:val="21"/>
                      <w:highlight w:val="none"/>
                    </w:rPr>
                    <w:t>环境空气质量标准</w:t>
                  </w:r>
                  <w:bookmarkEnd w:id="13"/>
                  <w:r>
                    <w:rPr>
                      <w:rFonts w:hint="default" w:ascii="Times New Roman" w:hAnsi="Times New Roman" w:eastAsia="宋体" w:cs="Times New Roman"/>
                      <w:color w:val="FF0000"/>
                      <w:kern w:val="21"/>
                      <w:sz w:val="21"/>
                      <w:szCs w:val="21"/>
                      <w:highlight w:val="none"/>
                    </w:rPr>
                    <w:t>》（GB3095-20</w:t>
                  </w:r>
                  <w:r>
                    <w:rPr>
                      <w:rFonts w:hint="eastAsia" w:cs="Times New Roman"/>
                      <w:color w:val="FF0000"/>
                      <w:kern w:val="21"/>
                      <w:sz w:val="21"/>
                      <w:szCs w:val="21"/>
                      <w:highlight w:val="none"/>
                      <w:lang w:val="en-US" w:eastAsia="zh-CN"/>
                    </w:rPr>
                    <w:t>26</w:t>
                  </w:r>
                  <w:r>
                    <w:rPr>
                      <w:rFonts w:hint="default" w:ascii="Times New Roman" w:hAnsi="Times New Roman" w:eastAsia="宋体" w:cs="Times New Roman"/>
                      <w:color w:val="FF0000"/>
                      <w:kern w:val="21"/>
                      <w:sz w:val="21"/>
                      <w:szCs w:val="21"/>
                      <w:highlight w:val="none"/>
                    </w:rPr>
                    <w:t>）中的二级标准</w:t>
                  </w:r>
                  <w:r>
                    <w:rPr>
                      <w:rFonts w:hint="default" w:ascii="Times New Roman" w:hAnsi="Times New Roman" w:eastAsia="宋体" w:cs="Times New Roman"/>
                      <w:color w:val="FF0000"/>
                      <w:kern w:val="21"/>
                      <w:sz w:val="21"/>
                      <w:szCs w:val="21"/>
                      <w:highlight w:val="none"/>
                      <w:lang w:eastAsia="zh-CN"/>
                    </w:rPr>
                    <w:t>，</w:t>
                  </w:r>
                  <w:r>
                    <w:rPr>
                      <w:rFonts w:hint="default" w:ascii="Times New Roman" w:hAnsi="Times New Roman" w:eastAsia="宋体" w:cs="Times New Roman"/>
                      <w:color w:val="FF0000"/>
                      <w:kern w:val="21"/>
                      <w:sz w:val="21"/>
                      <w:szCs w:val="21"/>
                      <w:highlight w:val="none"/>
                    </w:rPr>
                    <w:t>项目所在区域为达标区。</w:t>
                  </w:r>
                </w:p>
                <w:p w14:paraId="44C938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kern w:val="0"/>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本项目热风炉烟气通过布袋除尘器处理后经</w:t>
                  </w:r>
                  <w:r>
                    <w:rPr>
                      <w:rFonts w:hint="default" w:ascii="Times New Roman" w:hAnsi="Times New Roman" w:cs="Times New Roman"/>
                      <w:b w:val="0"/>
                      <w:bCs w:val="0"/>
                      <w:color w:val="auto"/>
                      <w:sz w:val="21"/>
                      <w:szCs w:val="21"/>
                      <w:highlight w:val="none"/>
                      <w:lang w:val="en-US" w:eastAsia="zh-CN"/>
                    </w:rPr>
                    <w:t>15</w:t>
                  </w:r>
                  <w:r>
                    <w:rPr>
                      <w:rFonts w:hint="default" w:ascii="Times New Roman" w:hAnsi="Times New Roman" w:eastAsia="宋体" w:cs="Times New Roman"/>
                      <w:b w:val="0"/>
                      <w:bCs w:val="0"/>
                      <w:color w:val="auto"/>
                      <w:sz w:val="21"/>
                      <w:szCs w:val="21"/>
                      <w:highlight w:val="none"/>
                      <w:lang w:val="en-US" w:eastAsia="zh-CN"/>
                    </w:rPr>
                    <w:t>m</w:t>
                  </w:r>
                  <w:r>
                    <w:rPr>
                      <w:rFonts w:hint="default" w:ascii="Times New Roman" w:hAnsi="Times New Roman" w:cs="Times New Roman"/>
                      <w:color w:val="auto"/>
                      <w:sz w:val="21"/>
                      <w:szCs w:val="21"/>
                      <w:highlight w:val="none"/>
                      <w:lang w:eastAsia="zh-CN"/>
                    </w:rPr>
                    <w:t>烟囱</w:t>
                  </w:r>
                  <w:r>
                    <w:rPr>
                      <w:rFonts w:hint="default" w:ascii="Times New Roman" w:hAnsi="Times New Roman" w:eastAsia="宋体" w:cs="Times New Roman"/>
                      <w:b w:val="0"/>
                      <w:bCs w:val="0"/>
                      <w:color w:val="auto"/>
                      <w:sz w:val="21"/>
                      <w:szCs w:val="21"/>
                      <w:highlight w:val="none"/>
                      <w:lang w:val="en-US" w:eastAsia="zh-CN"/>
                    </w:rPr>
                    <w:t>高空排放，SO</w:t>
                  </w:r>
                  <w:r>
                    <w:rPr>
                      <w:rFonts w:hint="default" w:ascii="Times New Roman" w:hAnsi="Times New Roman" w:eastAsia="宋体" w:cs="Times New Roman"/>
                      <w:b w:val="0"/>
                      <w:bCs w:val="0"/>
                      <w:color w:val="auto"/>
                      <w:sz w:val="21"/>
                      <w:szCs w:val="21"/>
                      <w:highlight w:val="none"/>
                      <w:vertAlign w:val="subscript"/>
                      <w:lang w:val="en-US" w:eastAsia="zh-CN"/>
                    </w:rPr>
                    <w:t>2</w:t>
                  </w:r>
                  <w:r>
                    <w:rPr>
                      <w:rFonts w:hint="default" w:ascii="Times New Roman" w:hAnsi="Times New Roman" w:eastAsia="宋体" w:cs="Times New Roman"/>
                      <w:b w:val="0"/>
                      <w:bCs w:val="0"/>
                      <w:color w:val="auto"/>
                      <w:sz w:val="21"/>
                      <w:szCs w:val="21"/>
                      <w:highlight w:val="none"/>
                      <w:lang w:val="en-US" w:eastAsia="zh-CN"/>
                    </w:rPr>
                    <w:t>排放浓度</w:t>
                  </w:r>
                  <w:r>
                    <w:rPr>
                      <w:rFonts w:hint="default" w:ascii="Times New Roman" w:hAnsi="Times New Roman" w:cs="Times New Roman"/>
                      <w:b w:val="0"/>
                      <w:bCs w:val="0"/>
                      <w:color w:val="auto"/>
                      <w:sz w:val="21"/>
                      <w:szCs w:val="21"/>
                      <w:highlight w:val="none"/>
                      <w:lang w:val="en-US" w:eastAsia="zh-CN"/>
                    </w:rPr>
                    <w:t>符合</w:t>
                  </w:r>
                  <w:r>
                    <w:rPr>
                      <w:rFonts w:hint="default" w:ascii="Times New Roman" w:hAnsi="Times New Roman" w:eastAsia="宋体" w:cs="Times New Roman"/>
                      <w:b w:val="0"/>
                      <w:bCs w:val="0"/>
                      <w:color w:val="auto"/>
                      <w:sz w:val="21"/>
                      <w:szCs w:val="21"/>
                      <w:highlight w:val="none"/>
                      <w:lang w:val="en-US" w:eastAsia="zh-CN"/>
                    </w:rPr>
                    <w:t>《工业炉窑大气污染物排放标准》（GB9078-1996）中的表4中的二级标准，</w:t>
                  </w:r>
                  <w:r>
                    <w:rPr>
                      <w:rFonts w:hint="default" w:ascii="Times New Roman" w:hAnsi="Times New Roman" w:cs="Times New Roman"/>
                      <w:b w:val="0"/>
                      <w:bCs w:val="0"/>
                      <w:color w:val="auto"/>
                      <w:sz w:val="21"/>
                      <w:szCs w:val="21"/>
                      <w:highlight w:val="none"/>
                      <w:lang w:val="en-US" w:eastAsia="zh-CN"/>
                    </w:rPr>
                    <w:t>颗粒物排放浓度及烟气黑度符合</w:t>
                  </w:r>
                  <w:r>
                    <w:rPr>
                      <w:rFonts w:hint="default" w:ascii="Times New Roman" w:hAnsi="Times New Roman" w:eastAsia="宋体" w:cs="Times New Roman"/>
                      <w:b w:val="0"/>
                      <w:bCs w:val="0"/>
                      <w:color w:val="auto"/>
                      <w:sz w:val="21"/>
                      <w:szCs w:val="21"/>
                      <w:highlight w:val="none"/>
                      <w:lang w:val="en-US" w:eastAsia="zh-CN"/>
                    </w:rPr>
                    <w:t>《工业炉窑大气污染物排放标准》（GB9078-1996）中的表2中的二级标准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原料烘干</w:t>
                  </w:r>
                  <w:r>
                    <w:rPr>
                      <w:rFonts w:hint="default" w:ascii="Times New Roman" w:hAnsi="Times New Roman" w:cs="Times New Roman"/>
                      <w:color w:val="auto"/>
                      <w:sz w:val="21"/>
                      <w:szCs w:val="21"/>
                      <w:highlight w:val="none"/>
                      <w:lang w:eastAsia="zh-CN"/>
                    </w:rPr>
                    <w:t>、运输</w:t>
                  </w:r>
                  <w:r>
                    <w:rPr>
                      <w:rFonts w:hint="default" w:ascii="Times New Roman" w:hAnsi="Times New Roman" w:cs="Times New Roman"/>
                      <w:color w:val="auto"/>
                      <w:sz w:val="21"/>
                      <w:szCs w:val="21"/>
                      <w:highlight w:val="none"/>
                      <w:lang w:val="en-US" w:eastAsia="zh-CN"/>
                    </w:rPr>
                    <w:t>及筛分</w:t>
                  </w:r>
                  <w:r>
                    <w:rPr>
                      <w:rFonts w:hint="default" w:ascii="Times New Roman" w:hAnsi="Times New Roman" w:cs="Times New Roman"/>
                      <w:color w:val="auto"/>
                      <w:sz w:val="21"/>
                      <w:szCs w:val="21"/>
                      <w:highlight w:val="none"/>
                    </w:rPr>
                    <w:t>过程会有</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产生，此部分</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以无组织的形式排放。装卸工段</w:t>
                  </w:r>
                  <w:r>
                    <w:rPr>
                      <w:rFonts w:hint="default" w:ascii="Times New Roman" w:hAnsi="Times New Roman" w:eastAsia="宋体" w:cs="Times New Roman"/>
                      <w:color w:val="auto"/>
                      <w:spacing w:val="0"/>
                      <w:kern w:val="0"/>
                      <w:sz w:val="21"/>
                      <w:szCs w:val="21"/>
                      <w:highlight w:val="none"/>
                      <w:lang w:val="en-US" w:eastAsia="zh-CN" w:bidi="ar"/>
                    </w:rPr>
                    <w:t>采用密闭性良好的设备，全封闭输送机、原粮入</w:t>
                  </w:r>
                  <w:r>
                    <w:rPr>
                      <w:rFonts w:hint="default" w:ascii="Times New Roman" w:hAnsi="Times New Roman" w:cs="Times New Roman"/>
                      <w:color w:val="auto"/>
                      <w:spacing w:val="0"/>
                      <w:kern w:val="0"/>
                      <w:sz w:val="21"/>
                      <w:szCs w:val="21"/>
                      <w:highlight w:val="none"/>
                      <w:lang w:val="en-US" w:eastAsia="zh-CN" w:bidi="ar"/>
                    </w:rPr>
                    <w:t>仓</w:t>
                  </w:r>
                  <w:r>
                    <w:rPr>
                      <w:rFonts w:hint="default" w:ascii="Times New Roman" w:hAnsi="Times New Roman" w:eastAsia="宋体" w:cs="Times New Roman"/>
                      <w:color w:val="auto"/>
                      <w:spacing w:val="0"/>
                      <w:kern w:val="0"/>
                      <w:sz w:val="21"/>
                      <w:szCs w:val="21"/>
                      <w:highlight w:val="none"/>
                      <w:lang w:val="en-US" w:eastAsia="zh-CN" w:bidi="ar"/>
                    </w:rPr>
                    <w:t>采取封闭和减小装卸高度</w:t>
                  </w:r>
                  <w:r>
                    <w:rPr>
                      <w:rFonts w:hint="default" w:ascii="Times New Roman" w:hAnsi="Times New Roman" w:cs="Times New Roman"/>
                      <w:color w:val="auto"/>
                      <w:sz w:val="21"/>
                      <w:szCs w:val="21"/>
                      <w:highlight w:val="none"/>
                    </w:rPr>
                    <w:t>等降尘措施，运输过程中采用封闭输送</w:t>
                  </w:r>
                  <w:r>
                    <w:rPr>
                      <w:rFonts w:hint="default" w:ascii="Times New Roman" w:hAnsi="Times New Roman" w:cs="Times New Roman"/>
                      <w:color w:val="auto"/>
                      <w:sz w:val="21"/>
                      <w:szCs w:val="21"/>
                      <w:highlight w:val="none"/>
                      <w:lang w:eastAsia="zh-CN"/>
                    </w:rPr>
                    <w:t>；清粮采用全密闭</w:t>
                  </w:r>
                  <w:r>
                    <w:rPr>
                      <w:rFonts w:hint="default" w:ascii="Times New Roman" w:hAnsi="Times New Roman" w:cs="Times New Roman"/>
                      <w:color w:val="auto"/>
                      <w:sz w:val="21"/>
                      <w:szCs w:val="21"/>
                      <w:highlight w:val="none"/>
                      <w:lang w:val="en-US" w:eastAsia="zh-CN"/>
                    </w:rPr>
                    <w:t>筛分机</w:t>
                  </w:r>
                  <w:r>
                    <w:rPr>
                      <w:rFonts w:hint="default" w:ascii="Times New Roman" w:hAnsi="Times New Roman" w:cs="Times New Roman"/>
                      <w:color w:val="auto"/>
                      <w:sz w:val="21"/>
                      <w:szCs w:val="21"/>
                      <w:highlight w:val="none"/>
                      <w:lang w:eastAsia="zh-CN"/>
                    </w:rPr>
                    <w:t>，产生的粉尘经设备</w:t>
                  </w:r>
                  <w:r>
                    <w:rPr>
                      <w:rFonts w:hint="eastAsia" w:cs="Times New Roman"/>
                      <w:color w:val="auto"/>
                      <w:sz w:val="21"/>
                      <w:szCs w:val="21"/>
                      <w:highlight w:val="none"/>
                      <w:lang w:eastAsia="zh-CN"/>
                    </w:rPr>
                    <w:t>自带滤袋</w:t>
                  </w:r>
                  <w:r>
                    <w:rPr>
                      <w:rFonts w:hint="default" w:ascii="Times New Roman" w:hAnsi="Times New Roman" w:cs="Times New Roman"/>
                      <w:color w:val="auto"/>
                      <w:sz w:val="21"/>
                      <w:szCs w:val="21"/>
                      <w:highlight w:val="none"/>
                      <w:lang w:eastAsia="zh-CN"/>
                    </w:rPr>
                    <w:t>处理后</w:t>
                  </w:r>
                  <w:r>
                    <w:rPr>
                      <w:rFonts w:hint="eastAsia" w:cs="Times New Roman"/>
                      <w:color w:val="auto"/>
                      <w:sz w:val="21"/>
                      <w:szCs w:val="21"/>
                      <w:highlight w:val="none"/>
                      <w:lang w:eastAsia="zh-CN"/>
                    </w:rPr>
                    <w:t>无组织</w:t>
                  </w:r>
                  <w:r>
                    <w:rPr>
                      <w:rFonts w:hint="default" w:ascii="Times New Roman" w:hAnsi="Times New Roman" w:cs="Times New Roman"/>
                      <w:color w:val="auto"/>
                      <w:sz w:val="21"/>
                      <w:szCs w:val="21"/>
                      <w:highlight w:val="none"/>
                      <w:lang w:eastAsia="zh-CN"/>
                    </w:rPr>
                    <w:t>排放；烘干塔内部自带重力沉降室，烘干塔底部四周设置防尘挡板，粉尘受挡板格挡后受重力作用回落到烘干塔底部收尘设施中</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灰渣间、</w:t>
                  </w:r>
                  <w:r>
                    <w:rPr>
                      <w:rFonts w:hint="default" w:ascii="Times New Roman" w:hAnsi="Times New Roman" w:cs="Times New Roman"/>
                      <w:bCs/>
                      <w:color w:val="auto"/>
                      <w:kern w:val="0"/>
                      <w:sz w:val="21"/>
                      <w:szCs w:val="21"/>
                      <w:highlight w:val="none"/>
                      <w:lang w:val="en-US" w:eastAsia="zh-CN"/>
                    </w:rPr>
                    <w:t>热风炉房</w:t>
                  </w:r>
                  <w:r>
                    <w:rPr>
                      <w:rFonts w:hint="default" w:ascii="Times New Roman" w:hAnsi="Times New Roman" w:eastAsia="宋体" w:cs="Times New Roman"/>
                      <w:b w:val="0"/>
                      <w:bCs w:val="0"/>
                      <w:color w:val="auto"/>
                      <w:sz w:val="21"/>
                      <w:szCs w:val="21"/>
                      <w:highlight w:val="none"/>
                      <w:lang w:val="en-US" w:eastAsia="zh-CN"/>
                    </w:rPr>
                    <w:t>密闭并定期洒水抑尘，减少粉尘扩散</w:t>
                  </w:r>
                  <w:r>
                    <w:rPr>
                      <w:rFonts w:hint="eastAsia" w:ascii="Times New Roman" w:hAnsi="Times New Roman" w:eastAsia="宋体" w:cs="Times New Roman"/>
                      <w:b w:val="0"/>
                      <w:bCs w:val="0"/>
                      <w:color w:val="auto"/>
                      <w:sz w:val="21"/>
                      <w:szCs w:val="21"/>
                      <w:highlight w:val="none"/>
                      <w:lang w:val="en-US" w:eastAsia="zh-CN"/>
                    </w:rPr>
                    <w:t>，热风炉周边无组织排放颗粒物浓度执行</w:t>
                  </w:r>
                  <w:r>
                    <w:rPr>
                      <w:rFonts w:hint="default" w:ascii="Times New Roman" w:hAnsi="Times New Roman" w:eastAsia="宋体" w:cs="Times New Roman"/>
                      <w:b w:val="0"/>
                      <w:bCs w:val="0"/>
                      <w:color w:val="auto"/>
                      <w:sz w:val="21"/>
                      <w:szCs w:val="21"/>
                      <w:highlight w:val="none"/>
                      <w:lang w:val="en-US" w:eastAsia="zh-CN"/>
                    </w:rPr>
                    <w:t>《工业炉窑大气污染物排放标准》（GB9078-1996）中的表</w:t>
                  </w:r>
                  <w:r>
                    <w:rPr>
                      <w:rFonts w:hint="eastAsia" w:ascii="Times New Roman" w:hAnsi="Times New Roman" w:eastAsia="宋体"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lang w:val="en-US" w:eastAsia="zh-CN"/>
                    </w:rPr>
                    <w:t>标准。厂界颗粒物排放浓度符合《大气污染物综合排放标准》（GB16297-1996）表2无组织排放浓度限值要求。</w:t>
                  </w:r>
                </w:p>
                <w:p w14:paraId="41732AC3">
                  <w:pPr>
                    <w:pStyle w:val="169"/>
                    <w:keepNext w:val="0"/>
                    <w:keepLines w:val="0"/>
                    <w:suppressLineNumbers w:val="0"/>
                    <w:spacing w:before="0" w:beforeAutospacing="0" w:after="0" w:afterAutospacing="0"/>
                    <w:ind w:left="0" w:right="0" w:firstLine="482"/>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2、水环境</w:t>
                  </w:r>
                </w:p>
                <w:p w14:paraId="0B827E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FF0000"/>
                      <w:sz w:val="21"/>
                      <w:szCs w:val="21"/>
                      <w:highlight w:val="none"/>
                    </w:rPr>
                  </w:pPr>
                  <w:r>
                    <w:rPr>
                      <w:rFonts w:hint="default" w:ascii="Times New Roman" w:hAnsi="Times New Roman" w:cs="Times New Roman"/>
                      <w:color w:val="FF0000"/>
                      <w:kern w:val="0"/>
                      <w:sz w:val="21"/>
                      <w:szCs w:val="21"/>
                      <w:highlight w:val="none"/>
                    </w:rPr>
                    <w:t>本项目</w:t>
                  </w:r>
                  <w:r>
                    <w:rPr>
                      <w:rFonts w:hint="default" w:ascii="Times New Roman" w:hAnsi="Times New Roman" w:cs="Times New Roman"/>
                      <w:color w:val="FF0000"/>
                      <w:kern w:val="0"/>
                      <w:sz w:val="21"/>
                      <w:szCs w:val="21"/>
                      <w:highlight w:val="none"/>
                      <w:lang w:val="en-US" w:eastAsia="zh-CN"/>
                    </w:rPr>
                    <w:t>附近地表</w:t>
                  </w:r>
                  <w:r>
                    <w:rPr>
                      <w:rFonts w:hint="default" w:ascii="Times New Roman" w:hAnsi="Times New Roman" w:cs="Times New Roman"/>
                      <w:color w:val="FF0000"/>
                      <w:kern w:val="0"/>
                      <w:sz w:val="21"/>
                      <w:szCs w:val="21"/>
                      <w:highlight w:val="none"/>
                    </w:rPr>
                    <w:t>水体为</w:t>
                  </w:r>
                  <w:r>
                    <w:rPr>
                      <w:rFonts w:hint="default" w:ascii="Times New Roman" w:hAnsi="Times New Roman" w:cs="Times New Roman"/>
                      <w:color w:val="FF0000"/>
                      <w:kern w:val="0"/>
                      <w:sz w:val="21"/>
                      <w:szCs w:val="21"/>
                      <w:highlight w:val="none"/>
                      <w:lang w:val="en-US" w:eastAsia="zh-CN"/>
                    </w:rPr>
                    <w:t>东侧约160m处三新沟，三新沟最终向南汇入穆棱河</w:t>
                  </w:r>
                  <w:r>
                    <w:rPr>
                      <w:rFonts w:hint="default" w:ascii="Times New Roman" w:hAnsi="Times New Roman" w:eastAsia="宋体" w:cs="Times New Roman"/>
                      <w:color w:val="FF0000"/>
                      <w:sz w:val="21"/>
                      <w:szCs w:val="21"/>
                      <w:highlight w:val="none"/>
                      <w:lang w:eastAsia="zh-CN"/>
                    </w:rPr>
                    <w:t>。根据</w:t>
                  </w:r>
                  <w:r>
                    <w:rPr>
                      <w:rFonts w:hint="default" w:ascii="Times New Roman" w:hAnsi="Times New Roman" w:eastAsia="宋体" w:cs="Times New Roman"/>
                      <w:color w:val="FF0000"/>
                      <w:sz w:val="21"/>
                      <w:szCs w:val="21"/>
                      <w:highlight w:val="none"/>
                      <w:lang w:val="en-US" w:eastAsia="zh-CN"/>
                    </w:rPr>
                    <w:t>《全国重要江河湖泊水功能区划（2011-2030）》，</w:t>
                  </w:r>
                  <w:r>
                    <w:rPr>
                      <w:rFonts w:hint="default" w:ascii="Times New Roman" w:hAnsi="Times New Roman" w:cs="Times New Roman"/>
                      <w:color w:val="FF0000"/>
                      <w:sz w:val="21"/>
                      <w:szCs w:val="21"/>
                      <w:highlight w:val="none"/>
                      <w:lang w:val="en-US" w:eastAsia="zh-CN"/>
                    </w:rPr>
                    <w:t>三新沟汇入穆棱河</w:t>
                  </w:r>
                  <w:r>
                    <w:rPr>
                      <w:rFonts w:hint="default" w:ascii="Times New Roman" w:hAnsi="Times New Roman" w:eastAsia="宋体" w:cs="Times New Roman"/>
                      <w:color w:val="FF0000"/>
                      <w:sz w:val="21"/>
                      <w:szCs w:val="21"/>
                      <w:highlight w:val="none"/>
                      <w:lang w:val="en-US" w:eastAsia="zh-CN"/>
                    </w:rPr>
                    <w:t>所在水功能区起始断面</w:t>
                  </w:r>
                  <w:r>
                    <w:rPr>
                      <w:rFonts w:hint="default" w:ascii="Times New Roman" w:hAnsi="Times New Roman" w:cs="Times New Roman"/>
                      <w:color w:val="FF0000"/>
                      <w:kern w:val="0"/>
                      <w:sz w:val="21"/>
                      <w:szCs w:val="21"/>
                      <w:highlight w:val="none"/>
                      <w:lang w:val="en-US" w:eastAsia="zh-CN"/>
                    </w:rPr>
                    <w:t>为</w:t>
                  </w:r>
                  <w:r>
                    <w:rPr>
                      <w:rFonts w:hint="default" w:ascii="Times New Roman" w:hAnsi="Times New Roman" w:eastAsia="宋体" w:cs="Times New Roman"/>
                      <w:color w:val="FF0000"/>
                      <w:sz w:val="21"/>
                      <w:szCs w:val="21"/>
                      <w:highlight w:val="none"/>
                      <w:lang w:val="en-US" w:eastAsia="zh-CN"/>
                    </w:rPr>
                    <w:t>鸡古路西100m，终止断面为凯北站，水质标准为Ⅲ类。根据鸡西市人民政府发布的</w:t>
                  </w:r>
                  <w:r>
                    <w:rPr>
                      <w:rFonts w:hint="eastAsia" w:ascii="Times New Roman" w:hAnsi="Times New Roman" w:cs="Times New Roman"/>
                      <w:color w:val="FF0000"/>
                      <w:sz w:val="21"/>
                      <w:szCs w:val="21"/>
                      <w:highlight w:val="none"/>
                      <w:lang w:val="en-US" w:eastAsia="zh-CN"/>
                    </w:rPr>
                    <w:t xml:space="preserve"> </w:t>
                  </w:r>
                  <w:r>
                    <w:rPr>
                      <w:rFonts w:hint="default" w:ascii="Times New Roman" w:hAnsi="Times New Roman" w:eastAsia="宋体" w:cs="Times New Roman"/>
                      <w:color w:val="FF0000"/>
                      <w:sz w:val="21"/>
                      <w:szCs w:val="21"/>
                      <w:highlight w:val="none"/>
                      <w:lang w:val="en-US" w:eastAsia="zh-CN"/>
                    </w:rPr>
                    <w:t>《202</w:t>
                  </w:r>
                  <w:r>
                    <w:rPr>
                      <w:rFonts w:hint="default" w:ascii="Times New Roman" w:hAnsi="Times New Roman" w:cs="Times New Roman"/>
                      <w:color w:val="FF0000"/>
                      <w:sz w:val="21"/>
                      <w:szCs w:val="21"/>
                      <w:highlight w:val="none"/>
                      <w:lang w:val="en-US" w:eastAsia="zh-CN"/>
                    </w:rPr>
                    <w:t>5</w:t>
                  </w:r>
                  <w:r>
                    <w:rPr>
                      <w:rFonts w:hint="default" w:ascii="Times New Roman" w:hAnsi="Times New Roman" w:eastAsia="宋体" w:cs="Times New Roman"/>
                      <w:color w:val="FF0000"/>
                      <w:sz w:val="21"/>
                      <w:szCs w:val="21"/>
                      <w:highlight w:val="none"/>
                      <w:lang w:val="en-US" w:eastAsia="zh-CN"/>
                    </w:rPr>
                    <w:t>年1</w:t>
                  </w:r>
                  <w:r>
                    <w:rPr>
                      <w:rFonts w:hint="default" w:ascii="Times New Roman" w:hAnsi="Times New Roman" w:cs="Times New Roman"/>
                      <w:color w:val="FF0000"/>
                      <w:sz w:val="21"/>
                      <w:szCs w:val="21"/>
                      <w:highlight w:val="none"/>
                      <w:lang w:val="en-US" w:eastAsia="zh-CN"/>
                    </w:rPr>
                    <w:t>-12</w:t>
                  </w:r>
                  <w:r>
                    <w:rPr>
                      <w:rFonts w:hint="default" w:ascii="Times New Roman" w:hAnsi="Times New Roman" w:eastAsia="宋体" w:cs="Times New Roman"/>
                      <w:color w:val="FF0000"/>
                      <w:sz w:val="21"/>
                      <w:szCs w:val="21"/>
                      <w:highlight w:val="none"/>
                      <w:lang w:val="en-US" w:eastAsia="zh-CN"/>
                    </w:rPr>
                    <w:t>月地表水国控考核断面水质信息公开》穆棱河口内达到Ⅲ类水质类别标准</w:t>
                  </w:r>
                  <w:r>
                    <w:rPr>
                      <w:rFonts w:hint="default" w:ascii="Times New Roman" w:hAnsi="Times New Roman"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知一桥断面均达到Ⅲ类水质类别标准。</w:t>
                  </w:r>
                  <w:r>
                    <w:rPr>
                      <w:rFonts w:hint="default" w:ascii="Times New Roman" w:hAnsi="Times New Roman" w:eastAsia="宋体" w:cs="Times New Roman"/>
                      <w:color w:val="FF0000"/>
                      <w:sz w:val="21"/>
                      <w:szCs w:val="21"/>
                      <w:highlight w:val="none"/>
                      <w:lang w:eastAsia="zh-CN"/>
                    </w:rPr>
                    <w:t>本项目生产过程中无废水产生，</w:t>
                  </w:r>
                  <w:r>
                    <w:rPr>
                      <w:rFonts w:hint="default" w:ascii="Times New Roman" w:hAnsi="Times New Roman" w:cs="Times New Roman"/>
                      <w:color w:val="FF0000"/>
                      <w:sz w:val="21"/>
                      <w:szCs w:val="21"/>
                      <w:highlight w:val="none"/>
                      <w:lang w:eastAsia="zh-CN"/>
                    </w:rPr>
                    <w:t>生活污水排入防渗旱厕，定期清掏外运堆肥，无废水排放。</w:t>
                  </w:r>
                </w:p>
                <w:p w14:paraId="43B2AA5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ascii="宋体" w:hAnsi="宋体" w:eastAsia="宋体" w:cs="宋体"/>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3、声环</w:t>
                  </w:r>
                  <w:r>
                    <w:rPr>
                      <w:rFonts w:hint="eastAsia" w:ascii="宋体" w:hAnsi="宋体" w:eastAsia="宋体" w:cs="宋体"/>
                      <w:color w:val="auto"/>
                      <w:kern w:val="0"/>
                      <w:sz w:val="21"/>
                      <w:szCs w:val="21"/>
                      <w:lang w:val="en-US" w:eastAsia="zh-CN" w:bidi="ar-SA"/>
                    </w:rPr>
                    <w:t>境</w:t>
                  </w:r>
                </w:p>
                <w:p w14:paraId="0B52C6FE">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eastAsia="宋体" w:asciiTheme="minorEastAsia" w:hAnsiTheme="minorEastAsia" w:cstheme="minorEastAsia"/>
                      <w:color w:val="auto"/>
                      <w:kern w:val="0"/>
                      <w:sz w:val="21"/>
                      <w:szCs w:val="21"/>
                      <w:highlight w:val="none"/>
                      <w:lang w:val="en-US" w:eastAsia="zh-CN" w:bidi="ar"/>
                    </w:rPr>
                  </w:pPr>
                  <w:r>
                    <w:rPr>
                      <w:rFonts w:hint="eastAsia" w:ascii="Times New Roman" w:hAnsi="Times New Roman" w:eastAsia="宋体" w:cs="Times New Roman"/>
                      <w:color w:val="FF0000"/>
                      <w:sz w:val="21"/>
                      <w:szCs w:val="21"/>
                      <w:highlight w:val="none"/>
                      <w:lang w:val="en-US" w:eastAsia="zh-CN"/>
                    </w:rPr>
                    <w:t>根据</w:t>
                  </w:r>
                  <w:r>
                    <w:rPr>
                      <w:rFonts w:hint="eastAsia" w:cs="Times New Roman"/>
                      <w:color w:val="FF0000"/>
                      <w:sz w:val="21"/>
                      <w:szCs w:val="21"/>
                      <w:highlight w:val="none"/>
                      <w:lang w:val="en-US" w:eastAsia="zh-CN"/>
                    </w:rPr>
                    <w:t>《2025年黑龙江省生态环境质量状况》（2026年1月）</w:t>
                  </w:r>
                  <w:r>
                    <w:rPr>
                      <w:rFonts w:hint="eastAsia" w:ascii="Times New Roman" w:hAnsi="Times New Roman" w:eastAsia="宋体" w:cs="Times New Roman"/>
                      <w:color w:val="FF0000"/>
                      <w:sz w:val="21"/>
                      <w:szCs w:val="21"/>
                      <w:highlight w:val="none"/>
                      <w:lang w:val="en-US" w:eastAsia="zh-CN"/>
                    </w:rPr>
                    <w:t>，鸡西市区域昼间声环境质量为二级，等效声级为53.</w:t>
                  </w:r>
                  <w:r>
                    <w:rPr>
                      <w:rFonts w:hint="eastAsia" w:cs="Times New Roman"/>
                      <w:color w:val="FF0000"/>
                      <w:sz w:val="21"/>
                      <w:szCs w:val="21"/>
                      <w:highlight w:val="none"/>
                      <w:lang w:val="en-US" w:eastAsia="zh-CN"/>
                    </w:rPr>
                    <w:t>2</w:t>
                  </w:r>
                  <w:r>
                    <w:rPr>
                      <w:rFonts w:hint="eastAsia" w:ascii="Times New Roman" w:hAnsi="Times New Roman" w:eastAsia="宋体" w:cs="Times New Roman"/>
                      <w:color w:val="FF0000"/>
                      <w:sz w:val="21"/>
                      <w:szCs w:val="21"/>
                      <w:highlight w:val="none"/>
                      <w:lang w:val="en-US" w:eastAsia="zh-CN"/>
                    </w:rPr>
                    <w:t>dB（A），道路交通昼间声环境质量为一级，等效声级为6</w:t>
                  </w:r>
                  <w:r>
                    <w:rPr>
                      <w:rFonts w:hint="eastAsia" w:cs="Times New Roman"/>
                      <w:color w:val="FF0000"/>
                      <w:sz w:val="21"/>
                      <w:szCs w:val="21"/>
                      <w:highlight w:val="none"/>
                      <w:lang w:val="en-US" w:eastAsia="zh-CN"/>
                    </w:rPr>
                    <w:t>4.7</w:t>
                  </w:r>
                  <w:r>
                    <w:rPr>
                      <w:rFonts w:hint="eastAsia" w:ascii="Times New Roman" w:hAnsi="Times New Roman" w:eastAsia="宋体" w:cs="Times New Roman"/>
                      <w:color w:val="FF0000"/>
                      <w:sz w:val="21"/>
                      <w:szCs w:val="21"/>
                      <w:highlight w:val="none"/>
                      <w:lang w:val="en-US" w:eastAsia="zh-CN"/>
                    </w:rPr>
                    <w:t>dB（A），功能区昼间达标率</w:t>
                  </w:r>
                  <w:r>
                    <w:rPr>
                      <w:rFonts w:hint="eastAsia" w:cs="Times New Roman"/>
                      <w:color w:val="FF0000"/>
                      <w:sz w:val="21"/>
                      <w:szCs w:val="21"/>
                      <w:highlight w:val="none"/>
                      <w:lang w:val="en-US" w:eastAsia="zh-CN"/>
                    </w:rPr>
                    <w:t>87.7</w:t>
                  </w:r>
                  <w:r>
                    <w:rPr>
                      <w:rFonts w:hint="eastAsia" w:ascii="Times New Roman" w:hAnsi="Times New Roman" w:eastAsia="宋体" w:cs="Times New Roman"/>
                      <w:color w:val="FF0000"/>
                      <w:sz w:val="21"/>
                      <w:szCs w:val="21"/>
                      <w:highlight w:val="none"/>
                      <w:lang w:val="en-US" w:eastAsia="zh-CN"/>
                    </w:rPr>
                    <w:t>%，功能区夜间达标率</w:t>
                  </w:r>
                  <w:r>
                    <w:rPr>
                      <w:rFonts w:hint="eastAsia" w:cs="Times New Roman"/>
                      <w:color w:val="FF0000"/>
                      <w:sz w:val="21"/>
                      <w:szCs w:val="21"/>
                      <w:highlight w:val="none"/>
                      <w:lang w:val="en-US" w:eastAsia="zh-CN"/>
                    </w:rPr>
                    <w:t>97.6</w:t>
                  </w:r>
                  <w:r>
                    <w:rPr>
                      <w:rFonts w:hint="eastAsia" w:ascii="Times New Roman" w:hAnsi="Times New Roman" w:eastAsia="宋体" w:cs="Times New Roman"/>
                      <w:color w:val="FF0000"/>
                      <w:sz w:val="21"/>
                      <w:szCs w:val="21"/>
                      <w:highlight w:val="none"/>
                      <w:lang w:val="en-US" w:eastAsia="zh-CN"/>
                    </w:rPr>
                    <w:t>%。</w:t>
                  </w:r>
                  <w:r>
                    <w:rPr>
                      <w:rFonts w:hint="eastAsia"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选取低噪声设备，采取减振、隔声等措施</w:t>
                  </w:r>
                  <w:r>
                    <w:rPr>
                      <w:rFonts w:hint="eastAsia" w:cs="Times New Roman"/>
                      <w:color w:val="auto"/>
                      <w:kern w:val="0"/>
                      <w:sz w:val="21"/>
                      <w:szCs w:val="21"/>
                      <w:highlight w:val="none"/>
                      <w:lang w:eastAsia="zh-CN"/>
                    </w:rPr>
                    <w:t>，</w:t>
                  </w:r>
                  <w:r>
                    <w:rPr>
                      <w:rFonts w:hint="eastAsia" w:cs="Times New Roman"/>
                      <w:color w:val="auto"/>
                      <w:kern w:val="0"/>
                      <w:sz w:val="21"/>
                      <w:szCs w:val="21"/>
                      <w:highlight w:val="none"/>
                      <w:lang w:val="en-US" w:eastAsia="zh-CN"/>
                    </w:rPr>
                    <w:t>厂界噪声满足</w:t>
                  </w:r>
                  <w:r>
                    <w:rPr>
                      <w:rFonts w:hint="eastAsia" w:cs="Times New Roman"/>
                      <w:color w:val="auto"/>
                      <w:kern w:val="0"/>
                      <w:sz w:val="21"/>
                      <w:szCs w:val="21"/>
                      <w:highlight w:val="none"/>
                      <w:lang w:eastAsia="zh-CN"/>
                    </w:rPr>
                    <w:t>《工业企业厂界环境噪声排放标准》(GB12348-2008）表1中</w:t>
                  </w:r>
                  <w:r>
                    <w:rPr>
                      <w:rFonts w:hint="eastAsia" w:cs="Times New Roman"/>
                      <w:color w:val="auto"/>
                      <w:kern w:val="0"/>
                      <w:sz w:val="21"/>
                      <w:szCs w:val="21"/>
                      <w:highlight w:val="none"/>
                      <w:lang w:val="en-US" w:eastAsia="zh-CN"/>
                    </w:rPr>
                    <w:t>2类</w:t>
                  </w:r>
                  <w:r>
                    <w:rPr>
                      <w:rFonts w:hint="eastAsia" w:cs="Times New Roman"/>
                      <w:color w:val="auto"/>
                      <w:kern w:val="0"/>
                      <w:sz w:val="21"/>
                      <w:szCs w:val="21"/>
                      <w:highlight w:val="none"/>
                      <w:lang w:eastAsia="zh-CN"/>
                    </w:rPr>
                    <w:t>标准。</w:t>
                  </w:r>
                </w:p>
                <w:p w14:paraId="121E2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kern w:val="0"/>
                      <w:sz w:val="21"/>
                      <w:szCs w:val="21"/>
                      <w:highlight w:val="none"/>
                    </w:rPr>
                    <w:t>本项目运营期各类污染物经环境保护措施治理后均可达标排放，对区域环境造成的不利影响较小，不会改变区域环境质量现状，因此，</w:t>
                  </w:r>
                  <w:r>
                    <w:rPr>
                      <w:rFonts w:hint="eastAsia"/>
                      <w:color w:val="auto"/>
                      <w:kern w:val="0"/>
                      <w:sz w:val="21"/>
                      <w:szCs w:val="21"/>
                      <w:highlight w:val="none"/>
                      <w:lang w:val="en-US" w:eastAsia="zh-CN"/>
                    </w:rPr>
                    <w:t>本项目</w:t>
                  </w:r>
                  <w:r>
                    <w:rPr>
                      <w:rFonts w:hint="default"/>
                      <w:color w:val="auto"/>
                      <w:kern w:val="0"/>
                      <w:sz w:val="21"/>
                      <w:szCs w:val="21"/>
                      <w:highlight w:val="none"/>
                    </w:rPr>
                    <w:t>符合环境质量底线要求。</w:t>
                  </w:r>
                </w:p>
              </w:tc>
            </w:tr>
            <w:tr w14:paraId="203BF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09074620">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三、资源利用上线</w:t>
                  </w:r>
                </w:p>
              </w:tc>
            </w:tr>
            <w:tr w14:paraId="35804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51183E3A">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textAlignment w:val="auto"/>
                    <w:rPr>
                      <w:rFonts w:hint="default"/>
                      <w:color w:val="auto"/>
                      <w:sz w:val="21"/>
                      <w:szCs w:val="21"/>
                      <w:highlight w:val="none"/>
                    </w:rPr>
                  </w:pPr>
                  <w:r>
                    <w:rPr>
                      <w:rFonts w:hint="eastAsia"/>
                      <w:color w:val="auto"/>
                      <w:kern w:val="0"/>
                      <w:sz w:val="21"/>
                      <w:szCs w:val="21"/>
                      <w:highlight w:val="none"/>
                      <w:lang w:val="en-US" w:eastAsia="zh-CN"/>
                    </w:rPr>
                    <w:t>本项目生产不用水，员工生活用水为发展村五组自来水供应</w:t>
                  </w:r>
                  <w:r>
                    <w:rPr>
                      <w:rFonts w:hint="default"/>
                      <w:color w:val="auto"/>
                      <w:kern w:val="0"/>
                      <w:sz w:val="21"/>
                      <w:szCs w:val="21"/>
                      <w:highlight w:val="none"/>
                    </w:rPr>
                    <w:t>、供电电源为当地供电电网，</w:t>
                  </w:r>
                  <w:r>
                    <w:rPr>
                      <w:rFonts w:hint="eastAsia"/>
                      <w:color w:val="auto"/>
                      <w:kern w:val="0"/>
                      <w:sz w:val="21"/>
                      <w:szCs w:val="21"/>
                      <w:highlight w:val="none"/>
                      <w:lang w:eastAsia="zh-CN"/>
                    </w:rPr>
                    <w:t>热风炉使用生物质成型燃料属</w:t>
                  </w:r>
                  <w:r>
                    <w:rPr>
                      <w:rFonts w:hint="eastAsia" w:ascii="Times New Roman" w:hAnsi="Times New Roman" w:eastAsia="宋体" w:cs="Times New Roman"/>
                      <w:b w:val="0"/>
                      <w:bCs w:val="0"/>
                      <w:color w:val="auto"/>
                      <w:kern w:val="2"/>
                      <w:sz w:val="21"/>
                      <w:szCs w:val="21"/>
                      <w:highlight w:val="none"/>
                      <w:lang w:val="en-US" w:eastAsia="zh-CN" w:bidi="ar-SA"/>
                    </w:rPr>
                    <w:t>洁净低碳的可再生能源，</w:t>
                  </w:r>
                  <w:r>
                    <w:rPr>
                      <w:rFonts w:hint="default"/>
                      <w:color w:val="auto"/>
                      <w:kern w:val="0"/>
                      <w:sz w:val="21"/>
                      <w:szCs w:val="21"/>
                      <w:highlight w:val="none"/>
                    </w:rPr>
                    <w:t>资源消耗量相对于区域资源利用总量较小，</w:t>
                  </w:r>
                  <w:r>
                    <w:rPr>
                      <w:rFonts w:hint="eastAsia"/>
                      <w:color w:val="auto"/>
                      <w:kern w:val="0"/>
                      <w:sz w:val="21"/>
                      <w:szCs w:val="21"/>
                      <w:highlight w:val="none"/>
                      <w:lang w:val="en-US" w:eastAsia="zh-CN"/>
                    </w:rPr>
                    <w:t>本项目</w:t>
                  </w:r>
                  <w:r>
                    <w:rPr>
                      <w:rFonts w:hint="default"/>
                      <w:color w:val="auto"/>
                      <w:kern w:val="0"/>
                      <w:sz w:val="21"/>
                      <w:szCs w:val="21"/>
                      <w:highlight w:val="none"/>
                    </w:rPr>
                    <w:t>符合资源利用上线要求。</w:t>
                  </w:r>
                </w:p>
              </w:tc>
            </w:tr>
            <w:tr w14:paraId="71B05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2D732A3F">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四、环境准入清单</w:t>
                  </w:r>
                </w:p>
              </w:tc>
            </w:tr>
            <w:tr w14:paraId="2AD1E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42D57838">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环境管控单元名称</w:t>
                  </w:r>
                </w:p>
              </w:tc>
              <w:tc>
                <w:tcPr>
                  <w:tcW w:w="4165" w:type="pct"/>
                  <w:gridSpan w:val="2"/>
                  <w:tcBorders>
                    <w:top w:val="single" w:color="auto" w:sz="4" w:space="0"/>
                    <w:left w:val="single" w:color="auto" w:sz="4" w:space="0"/>
                    <w:bottom w:val="single" w:color="auto" w:sz="4" w:space="0"/>
                  </w:tcBorders>
                  <w:noWrap w:val="0"/>
                  <w:vAlign w:val="center"/>
                </w:tcPr>
                <w:p w14:paraId="376FA482">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eastAsia"/>
                      <w:color w:val="auto"/>
                      <w:sz w:val="21"/>
                      <w:szCs w:val="21"/>
                      <w:highlight w:val="none"/>
                      <w:lang w:val="en-US" w:eastAsia="zh-CN"/>
                    </w:rPr>
                    <w:t>鸡东县其他区域</w:t>
                  </w:r>
                </w:p>
              </w:tc>
            </w:tr>
            <w:tr w14:paraId="5CC80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3F1AA667">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环境管控单元编码</w:t>
                  </w:r>
                </w:p>
              </w:tc>
              <w:tc>
                <w:tcPr>
                  <w:tcW w:w="4165" w:type="pct"/>
                  <w:gridSpan w:val="2"/>
                  <w:tcBorders>
                    <w:top w:val="single" w:color="auto" w:sz="4" w:space="0"/>
                    <w:left w:val="single" w:color="auto" w:sz="4" w:space="0"/>
                    <w:bottom w:val="single" w:color="auto" w:sz="4" w:space="0"/>
                  </w:tcBorders>
                  <w:noWrap w:val="0"/>
                  <w:vAlign w:val="center"/>
                </w:tcPr>
                <w:p w14:paraId="59DB8232">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ZH23032130002</w:t>
                  </w:r>
                </w:p>
              </w:tc>
            </w:tr>
            <w:tr w14:paraId="39D429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0CCF947A">
                  <w:pPr>
                    <w:keepNext w:val="0"/>
                    <w:keepLines w:val="0"/>
                    <w:suppressLineNumbers w:val="0"/>
                    <w:adjustRightInd w:val="0"/>
                    <w:spacing w:before="0" w:beforeAutospacing="0" w:after="0" w:afterAutospacing="0" w:line="240" w:lineRule="auto"/>
                    <w:ind w:left="0" w:right="0"/>
                    <w:jc w:val="center"/>
                    <w:textAlignment w:val="baseline"/>
                    <w:rPr>
                      <w:rFonts w:hint="default"/>
                      <w:b/>
                      <w:bCs/>
                      <w:color w:val="auto"/>
                      <w:sz w:val="21"/>
                      <w:szCs w:val="21"/>
                      <w:highlight w:val="none"/>
                    </w:rPr>
                  </w:pPr>
                  <w:r>
                    <w:rPr>
                      <w:rFonts w:hint="default"/>
                      <w:b/>
                      <w:bCs/>
                      <w:color w:val="auto"/>
                      <w:sz w:val="21"/>
                      <w:szCs w:val="21"/>
                      <w:highlight w:val="none"/>
                    </w:rPr>
                    <w:t>管控单元类别</w:t>
                  </w:r>
                </w:p>
              </w:tc>
              <w:tc>
                <w:tcPr>
                  <w:tcW w:w="4165" w:type="pct"/>
                  <w:gridSpan w:val="2"/>
                  <w:tcBorders>
                    <w:top w:val="single" w:color="auto" w:sz="4" w:space="0"/>
                    <w:left w:val="single" w:color="auto" w:sz="4" w:space="0"/>
                    <w:bottom w:val="single" w:color="auto" w:sz="4" w:space="0"/>
                  </w:tcBorders>
                  <w:noWrap w:val="0"/>
                  <w:vAlign w:val="center"/>
                </w:tcPr>
                <w:p w14:paraId="17AB8621">
                  <w:pPr>
                    <w:keepNext w:val="0"/>
                    <w:keepLines w:val="0"/>
                    <w:widowControl/>
                    <w:suppressLineNumbers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lang w:val="en-US" w:eastAsia="zh-CN"/>
                    </w:rPr>
                    <w:t>一般管控单元</w:t>
                  </w:r>
                </w:p>
              </w:tc>
            </w:tr>
            <w:tr w14:paraId="21530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noWrap w:val="0"/>
                  <w:vAlign w:val="center"/>
                </w:tcPr>
                <w:p w14:paraId="4822EF97">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管控要求</w:t>
                  </w:r>
                </w:p>
              </w:tc>
              <w:tc>
                <w:tcPr>
                  <w:tcW w:w="1099" w:type="pct"/>
                  <w:tcBorders>
                    <w:top w:val="single" w:color="auto" w:sz="4" w:space="0"/>
                    <w:left w:val="single" w:color="auto" w:sz="4" w:space="0"/>
                    <w:bottom w:val="single" w:color="auto" w:sz="4" w:space="0"/>
                  </w:tcBorders>
                  <w:noWrap w:val="0"/>
                  <w:vAlign w:val="center"/>
                </w:tcPr>
                <w:p w14:paraId="4F240D21">
                  <w:pPr>
                    <w:keepNext w:val="0"/>
                    <w:keepLines w:val="0"/>
                    <w:suppressLineNumbers w:val="0"/>
                    <w:adjustRightInd w:val="0"/>
                    <w:spacing w:before="0" w:beforeAutospacing="0" w:after="0" w:afterAutospacing="0" w:line="240" w:lineRule="auto"/>
                    <w:ind w:left="0" w:right="0"/>
                    <w:jc w:val="center"/>
                    <w:textAlignment w:val="baseline"/>
                    <w:rPr>
                      <w:rFonts w:hint="default"/>
                      <w:color w:val="auto"/>
                      <w:sz w:val="21"/>
                      <w:szCs w:val="21"/>
                      <w:highlight w:val="none"/>
                    </w:rPr>
                  </w:pPr>
                  <w:r>
                    <w:rPr>
                      <w:rFonts w:hint="default"/>
                      <w:b/>
                      <w:bCs/>
                      <w:color w:val="auto"/>
                      <w:sz w:val="21"/>
                      <w:szCs w:val="21"/>
                      <w:highlight w:val="none"/>
                    </w:rPr>
                    <w:t>项目符合性分析</w:t>
                  </w:r>
                </w:p>
              </w:tc>
            </w:tr>
            <w:tr w14:paraId="16E9F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396E3E20">
                  <w:pPr>
                    <w:keepNext w:val="0"/>
                    <w:keepLines w:val="0"/>
                    <w:suppressLineNumbers w:val="0"/>
                    <w:spacing w:before="0" w:beforeAutospacing="0" w:after="0" w:afterAutospacing="0" w:line="240" w:lineRule="auto"/>
                    <w:ind w:left="0" w:right="0"/>
                    <w:jc w:val="center"/>
                    <w:rPr>
                      <w:rFonts w:hint="default"/>
                      <w:b/>
                      <w:bCs/>
                      <w:color w:val="auto"/>
                      <w:sz w:val="21"/>
                      <w:szCs w:val="21"/>
                      <w:highlight w:val="none"/>
                    </w:rPr>
                  </w:pPr>
                  <w:r>
                    <w:rPr>
                      <w:rFonts w:hint="default" w:ascii="Times New Roman" w:hAnsi="Times New Roman" w:eastAsia="宋体" w:cs="Times New Roman"/>
                      <w:b/>
                      <w:bCs/>
                      <w:color w:val="auto"/>
                      <w:sz w:val="21"/>
                      <w:szCs w:val="21"/>
                      <w:highlight w:val="none"/>
                    </w:rPr>
                    <w:t>空间布局约束</w:t>
                  </w:r>
                </w:p>
              </w:tc>
              <w:tc>
                <w:tcPr>
                  <w:tcW w:w="306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8AFF4CB">
                  <w:pPr>
                    <w:keepNext w:val="0"/>
                    <w:keepLines w:val="0"/>
                    <w:widowControl/>
                    <w:suppressLineNumbers w:val="0"/>
                    <w:spacing w:before="0" w:beforeAutospacing="0" w:after="0" w:afterAutospacing="0"/>
                    <w:ind w:left="0" w:right="0"/>
                    <w:jc w:val="left"/>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1.引导工业项目向开发区集中，促进产业集聚、资源集约、绿色发展。 2.</w:t>
                  </w:r>
                  <w:r>
                    <w:rPr>
                      <w:rFonts w:hint="eastAsia" w:ascii="宋体" w:hAnsi="宋体" w:eastAsia="宋体" w:cs="宋体"/>
                      <w:color w:val="000000"/>
                      <w:kern w:val="0"/>
                      <w:sz w:val="21"/>
                      <w:szCs w:val="21"/>
                      <w:lang w:val="en-US" w:eastAsia="zh-CN" w:bidi="ar"/>
                    </w:rPr>
                    <w:t>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1099" w:type="pct"/>
                  <w:tcBorders>
                    <w:top w:val="single" w:color="auto" w:sz="4" w:space="0"/>
                    <w:left w:val="single" w:color="auto" w:sz="4" w:space="0"/>
                    <w:bottom w:val="single" w:color="auto" w:sz="4" w:space="0"/>
                  </w:tcBorders>
                  <w:noWrap w:val="0"/>
                  <w:vAlign w:val="center"/>
                </w:tcPr>
                <w:p w14:paraId="277E6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本项目为粮食烘干项目，不属于</w:t>
                  </w:r>
                  <w:r>
                    <w:rPr>
                      <w:rFonts w:hint="eastAsia" w:ascii="宋体" w:hAnsi="宋体" w:eastAsia="宋体" w:cs="宋体"/>
                      <w:color w:val="000000"/>
                      <w:kern w:val="0"/>
                      <w:sz w:val="21"/>
                      <w:szCs w:val="21"/>
                      <w:lang w:val="en-US" w:eastAsia="zh-CN" w:bidi="ar"/>
                    </w:rPr>
                    <w:t>使用淘汰类产品的企业和产能</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热风炉</w:t>
                  </w:r>
                  <w:r>
                    <w:rPr>
                      <w:rFonts w:hint="eastAsia" w:ascii="Times New Roman" w:hAnsi="Times New Roman" w:eastAsia="宋体" w:cs="Times New Roman"/>
                      <w:color w:val="auto"/>
                      <w:sz w:val="21"/>
                      <w:szCs w:val="21"/>
                      <w:highlight w:val="none"/>
                      <w:lang w:val="en-US" w:eastAsia="zh-CN"/>
                    </w:rPr>
                    <w:t>烟气经污染治理设施处理后达标排放。</w:t>
                  </w:r>
                </w:p>
              </w:tc>
            </w:tr>
            <w:tr w14:paraId="4E873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529A4DE9">
                  <w:pPr>
                    <w:keepNext w:val="0"/>
                    <w:keepLines w:val="0"/>
                    <w:suppressLineNumbers w:val="0"/>
                    <w:spacing w:before="0" w:beforeAutospacing="0" w:after="0" w:afterAutospacing="0" w:line="240" w:lineRule="auto"/>
                    <w:ind w:left="0" w:right="0"/>
                    <w:jc w:val="center"/>
                    <w:rPr>
                      <w:rFonts w:hint="default"/>
                      <w:b/>
                      <w:bCs/>
                      <w:color w:val="auto"/>
                      <w:sz w:val="21"/>
                      <w:szCs w:val="21"/>
                      <w:highlight w:val="none"/>
                    </w:rPr>
                  </w:pPr>
                  <w:r>
                    <w:rPr>
                      <w:rFonts w:hint="default" w:ascii="Times New Roman" w:hAnsi="Times New Roman" w:eastAsia="宋体" w:cs="Times New Roman"/>
                      <w:b/>
                      <w:bCs/>
                      <w:color w:val="auto"/>
                      <w:sz w:val="21"/>
                      <w:szCs w:val="21"/>
                      <w:highlight w:val="none"/>
                    </w:rPr>
                    <w:t>污染物排放管控</w:t>
                  </w:r>
                </w:p>
              </w:tc>
              <w:tc>
                <w:tcPr>
                  <w:tcW w:w="3065" w:type="pct"/>
                  <w:tcBorders>
                    <w:top w:val="single" w:color="auto" w:sz="4" w:space="0"/>
                    <w:left w:val="single" w:color="auto" w:sz="4" w:space="0"/>
                    <w:bottom w:val="single" w:color="auto" w:sz="4" w:space="0"/>
                    <w:right w:val="single" w:color="auto" w:sz="4" w:space="0"/>
                  </w:tcBorders>
                  <w:noWrap w:val="0"/>
                  <w:vAlign w:val="center"/>
                </w:tcPr>
                <w:p w14:paraId="5A0DE0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099" w:type="pct"/>
                  <w:tcBorders>
                    <w:top w:val="single" w:color="auto" w:sz="4" w:space="0"/>
                    <w:left w:val="single" w:color="auto" w:sz="4" w:space="0"/>
                    <w:bottom w:val="single" w:color="auto" w:sz="4" w:space="0"/>
                  </w:tcBorders>
                  <w:noWrap w:val="0"/>
                  <w:vAlign w:val="center"/>
                </w:tcPr>
                <w:p w14:paraId="4109BD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14:paraId="64BEAC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26242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left"/>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 xml:space="preserve">环境风险 </w:t>
                  </w:r>
                </w:p>
                <w:p w14:paraId="0E741C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lang w:val="en-US" w:eastAsia="zh-CN" w:bidi="ar"/>
                    </w:rPr>
                    <w:t>防控</w:t>
                  </w:r>
                </w:p>
              </w:tc>
              <w:tc>
                <w:tcPr>
                  <w:tcW w:w="306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C898A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099" w:type="pct"/>
                  <w:tcBorders>
                    <w:top w:val="single" w:color="auto" w:sz="4" w:space="0"/>
                    <w:left w:val="single" w:color="auto" w:sz="4" w:space="0"/>
                    <w:bottom w:val="single" w:color="auto" w:sz="4" w:space="0"/>
                  </w:tcBorders>
                  <w:noWrap w:val="0"/>
                  <w:vAlign w:val="center"/>
                </w:tcPr>
                <w:p w14:paraId="5E9D48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14:paraId="6C869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noWrap w:val="0"/>
                  <w:vAlign w:val="center"/>
                </w:tcPr>
                <w:p w14:paraId="337706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lang w:val="en-US" w:eastAsia="zh-CN" w:bidi="ar"/>
                    </w:rPr>
                    <w:t>资源利用</w:t>
                  </w:r>
                </w:p>
                <w:p w14:paraId="79D54A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lang w:val="en-US" w:eastAsia="zh-CN" w:bidi="ar"/>
                    </w:rPr>
                    <w:t>效率要求</w:t>
                  </w:r>
                </w:p>
              </w:tc>
              <w:tc>
                <w:tcPr>
                  <w:tcW w:w="306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C0A47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099" w:type="pct"/>
                  <w:tcBorders>
                    <w:top w:val="single" w:color="auto" w:sz="4" w:space="0"/>
                    <w:left w:val="single" w:color="auto" w:sz="4" w:space="0"/>
                    <w:bottom w:val="single" w:color="auto" w:sz="4" w:space="0"/>
                  </w:tcBorders>
                  <w:noWrap w:val="0"/>
                  <w:vAlign w:val="center"/>
                </w:tcPr>
                <w:p w14:paraId="52F80324">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r w14:paraId="4D9C8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shd w:val="clear" w:color="auto" w:fill="auto"/>
                  <w:noWrap w:val="0"/>
                  <w:vAlign w:val="center"/>
                </w:tcPr>
                <w:p w14:paraId="389D830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b/>
                      <w:bCs/>
                      <w:color w:val="auto"/>
                      <w:kern w:val="0"/>
                      <w:sz w:val="21"/>
                      <w:szCs w:val="21"/>
                      <w:lang w:val="en-US" w:eastAsia="zh-CN" w:bidi="ar"/>
                    </w:rPr>
                    <w:t>环境管控区名称</w:t>
                  </w:r>
                </w:p>
              </w:tc>
              <w:tc>
                <w:tcPr>
                  <w:tcW w:w="4165" w:type="pct"/>
                  <w:gridSpan w:val="2"/>
                  <w:tcBorders>
                    <w:top w:val="single" w:color="auto" w:sz="4" w:space="0"/>
                    <w:bottom w:val="single" w:color="auto" w:sz="4" w:space="0"/>
                  </w:tcBorders>
                  <w:shd w:val="clear" w:color="auto" w:fill="auto"/>
                  <w:noWrap w:val="0"/>
                  <w:vAlign w:val="center"/>
                </w:tcPr>
                <w:p w14:paraId="778EF899">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鸡东县地下水环境一般管控区</w:t>
                  </w:r>
                </w:p>
              </w:tc>
            </w:tr>
            <w:tr w14:paraId="4CB3C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shd w:val="clear" w:color="auto" w:fill="auto"/>
                  <w:noWrap w:val="0"/>
                  <w:vAlign w:val="center"/>
                </w:tcPr>
                <w:p w14:paraId="1EA8888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b/>
                      <w:bCs/>
                      <w:color w:val="auto"/>
                      <w:kern w:val="0"/>
                      <w:sz w:val="21"/>
                      <w:szCs w:val="21"/>
                      <w:lang w:val="en-US" w:eastAsia="zh-CN" w:bidi="ar"/>
                    </w:rPr>
                    <w:t>环境管控区编码</w:t>
                  </w:r>
                </w:p>
              </w:tc>
              <w:tc>
                <w:tcPr>
                  <w:tcW w:w="4165" w:type="pct"/>
                  <w:gridSpan w:val="2"/>
                  <w:tcBorders>
                    <w:top w:val="single" w:color="auto" w:sz="4" w:space="0"/>
                    <w:bottom w:val="single" w:color="auto" w:sz="4" w:space="0"/>
                  </w:tcBorders>
                  <w:shd w:val="clear" w:color="auto" w:fill="auto"/>
                  <w:noWrap w:val="0"/>
                  <w:vAlign w:val="center"/>
                </w:tcPr>
                <w:p w14:paraId="7C5B576D">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YS2303216310001</w:t>
                  </w:r>
                </w:p>
              </w:tc>
            </w:tr>
            <w:tr w14:paraId="23CBC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4" w:type="pct"/>
                  <w:tcBorders>
                    <w:top w:val="single" w:color="auto" w:sz="4" w:space="0"/>
                    <w:bottom w:val="single" w:color="auto" w:sz="4" w:space="0"/>
                    <w:right w:val="single" w:color="auto" w:sz="4" w:space="0"/>
                  </w:tcBorders>
                  <w:shd w:val="clear" w:color="auto" w:fill="auto"/>
                  <w:noWrap w:val="0"/>
                  <w:vAlign w:val="center"/>
                </w:tcPr>
                <w:p w14:paraId="2014170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ascii="宋体" w:hAnsi="宋体" w:eastAsia="宋体" w:cs="宋体"/>
                      <w:b/>
                      <w:bCs/>
                      <w:color w:val="auto"/>
                      <w:kern w:val="0"/>
                      <w:sz w:val="21"/>
                      <w:szCs w:val="21"/>
                      <w:lang w:val="en-US" w:eastAsia="zh-CN" w:bidi="ar"/>
                    </w:rPr>
                    <w:t>管控区类型</w:t>
                  </w:r>
                </w:p>
              </w:tc>
              <w:tc>
                <w:tcPr>
                  <w:tcW w:w="4165" w:type="pct"/>
                  <w:gridSpan w:val="2"/>
                  <w:tcBorders>
                    <w:top w:val="single" w:color="auto" w:sz="4" w:space="0"/>
                    <w:bottom w:val="single" w:color="auto" w:sz="4" w:space="0"/>
                  </w:tcBorders>
                  <w:shd w:val="clear" w:color="auto" w:fill="auto"/>
                  <w:noWrap w:val="0"/>
                  <w:vAlign w:val="center"/>
                </w:tcPr>
                <w:p w14:paraId="3A6E5EFE">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一般管控区</w:t>
                  </w:r>
                </w:p>
              </w:tc>
            </w:tr>
            <w:tr w14:paraId="49558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shd w:val="clear" w:color="auto" w:fill="auto"/>
                  <w:noWrap w:val="0"/>
                  <w:vAlign w:val="center"/>
                </w:tcPr>
                <w:p w14:paraId="63478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管控要求</w:t>
                  </w:r>
                </w:p>
              </w:tc>
              <w:tc>
                <w:tcPr>
                  <w:tcW w:w="1099" w:type="pct"/>
                  <w:tcBorders>
                    <w:top w:val="single" w:color="auto" w:sz="4" w:space="0"/>
                    <w:left w:val="single" w:color="auto" w:sz="4" w:space="0"/>
                    <w:bottom w:val="single" w:color="auto" w:sz="4" w:space="0"/>
                  </w:tcBorders>
                  <w:shd w:val="clear" w:color="auto" w:fill="auto"/>
                  <w:noWrap w:val="0"/>
                  <w:vAlign w:val="center"/>
                </w:tcPr>
                <w:p w14:paraId="4EE7E0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符合性分析</w:t>
                  </w:r>
                </w:p>
              </w:tc>
            </w:tr>
            <w:tr w14:paraId="51B0E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shd w:val="clear" w:color="auto" w:fill="auto"/>
                  <w:noWrap w:val="0"/>
                  <w:vAlign w:val="center"/>
                </w:tcPr>
                <w:p w14:paraId="1C13019E">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环境风险管控</w:t>
                  </w:r>
                </w:p>
                <w:p w14:paraId="744A47F2">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1"/>
                      <w:szCs w:val="21"/>
                      <w:lang w:val="en-US" w:eastAsia="zh-CN" w:bidi="ar"/>
                    </w:rPr>
                    <w:t>1.土壤污染重点监管单位应当履行下列义务：（一）严格控</w:t>
                  </w:r>
                </w:p>
                <w:p w14:paraId="195DC716">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1"/>
                      <w:szCs w:val="21"/>
                      <w:lang w:val="en-US" w:eastAsia="zh-CN" w:bidi="ar"/>
                    </w:rPr>
                    <w:t>制有毒有害物质排放，并按年度向生态环境主管部门报告排放情况；（二）建立土壤污染隐患排查制度，保证持续有效防止有毒有害物质渗漏、流失、扬散；（三）制定、实施自</w:t>
                  </w:r>
                </w:p>
                <w:p w14:paraId="2646368E">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1"/>
                      <w:szCs w:val="21"/>
                      <w:lang w:val="en-US" w:eastAsia="zh-CN" w:bidi="ar"/>
                    </w:rPr>
                    <w:t>行监测方案，并将监测数据报生态环境主管部门。 2.重点单位新、改、扩建项目地下储罐储存有毒有害物质的，应当在项目投入生产或者使用之前，将地下储罐的信息报所在地设</w:t>
                  </w:r>
                </w:p>
                <w:p w14:paraId="7DC46F8E">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1"/>
                      <w:szCs w:val="21"/>
                      <w:lang w:val="en-US" w:eastAsia="zh-CN" w:bidi="ar"/>
                    </w:rPr>
                    <w:t>区的市级生态环境主管部门备案。 3.重点单位应当建立土壤和地下水污染隐患排查治理制度，定期对重点区域、重点设施开展隐患排查。发现污染隐患的，应当制定整改方案，及</w:t>
                  </w:r>
                </w:p>
                <w:p w14:paraId="49D50CE1">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rPr>
                  </w:pPr>
                  <w:r>
                    <w:rPr>
                      <w:rFonts w:hint="default" w:ascii="Times New Roman" w:hAnsi="Times New Roman" w:eastAsia="宋体" w:cs="Times New Roman"/>
                      <w:color w:val="auto"/>
                      <w:kern w:val="0"/>
                      <w:sz w:val="21"/>
                      <w:szCs w:val="21"/>
                      <w:lang w:val="en-US" w:eastAsia="zh-CN" w:bidi="ar"/>
                    </w:rPr>
                    <w:t>时采取技术、管理措施消除隐患。隐患排查、治理情况应当如实记录并建立档案。重点区域包括涉及有毒有害物质的生产区，原材料及固体废物的堆存区、储放区和转运区等；重</w:t>
                  </w:r>
                </w:p>
                <w:p w14:paraId="65DB03B8">
                  <w:pPr>
                    <w:keepNext w:val="0"/>
                    <w:keepLines w:val="0"/>
                    <w:widowControl/>
                    <w:suppressLineNumbers w:val="0"/>
                    <w:spacing w:before="0" w:beforeAutospacing="0" w:after="0" w:afterAutospacing="0"/>
                    <w:ind w:left="0" w:right="0"/>
                    <w:jc w:val="left"/>
                    <w:rPr>
                      <w:rFonts w:hint="eastAsia" w:ascii="宋体" w:hAnsi="宋体" w:eastAsia="宋体" w:cs="宋体"/>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099" w:type="pct"/>
                  <w:tcBorders>
                    <w:top w:val="single" w:color="auto" w:sz="4" w:space="0"/>
                    <w:left w:val="single" w:color="auto" w:sz="4" w:space="0"/>
                    <w:bottom w:val="single" w:color="auto" w:sz="4" w:space="0"/>
                  </w:tcBorders>
                  <w:shd w:val="clear" w:color="auto" w:fill="auto"/>
                  <w:noWrap w:val="0"/>
                  <w:vAlign w:val="center"/>
                </w:tcPr>
                <w:p w14:paraId="3907C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本项目不属于土壤污染重点监管单位。</w:t>
                  </w:r>
                </w:p>
              </w:tc>
            </w:tr>
          </w:tbl>
          <w:p w14:paraId="4F7FF270">
            <w:pPr>
              <w:pStyle w:val="15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宋体" w:hAnsi="宋体" w:eastAsia="宋体" w:cs="宋体"/>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w:t>
            </w:r>
            <w:r>
              <w:rPr>
                <w:rFonts w:hint="eastAsia" w:ascii="宋体" w:hAnsi="宋体" w:eastAsia="宋体" w:cs="宋体"/>
                <w:color w:val="auto"/>
                <w:kern w:val="0"/>
                <w:sz w:val="21"/>
                <w:szCs w:val="21"/>
                <w:lang w:val="en-US" w:eastAsia="zh-CN" w:bidi="ar-SA"/>
              </w:rPr>
              <w:t>）“一说明”</w:t>
            </w:r>
          </w:p>
          <w:p w14:paraId="15E403DE">
            <w:pPr>
              <w:pStyle w:val="1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由上述分析可知，本项目的建设符合《</w:t>
            </w:r>
            <w:r>
              <w:rPr>
                <w:rFonts w:hint="eastAsia" w:cs="Times New Roman"/>
                <w:color w:val="auto"/>
                <w:kern w:val="0"/>
                <w:sz w:val="21"/>
                <w:szCs w:val="21"/>
                <w:highlight w:val="none"/>
                <w:lang w:eastAsia="zh-CN" w:bidi="ar"/>
              </w:rPr>
              <w:t>鸡东县祥辰粮食有限公司生物质热风炉建设项目生态环境分区管控分析报告</w:t>
            </w:r>
            <w:r>
              <w:rPr>
                <w:rFonts w:hint="eastAsia" w:ascii="宋体" w:hAnsi="宋体" w:eastAsia="宋体" w:cs="宋体"/>
                <w:color w:val="auto"/>
                <w:kern w:val="0"/>
                <w:sz w:val="21"/>
                <w:szCs w:val="21"/>
                <w:lang w:val="en-US" w:eastAsia="zh-CN" w:bidi="ar-SA"/>
              </w:rPr>
              <w:t>》中的要求。</w:t>
            </w:r>
          </w:p>
          <w:p w14:paraId="7921DFF0">
            <w:pPr>
              <w:pStyle w:val="1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根据黑龙江省生态环境分区管控数据应用平台查询的《生态环境分区管控分析报告》（分析报告见附件）：</w:t>
            </w:r>
          </w:p>
          <w:p w14:paraId="6E55E07A">
            <w:pPr>
              <w:pStyle w:val="1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0"/>
                <w:sz w:val="21"/>
                <w:szCs w:val="21"/>
                <w:lang w:val="en-US" w:eastAsia="zh-CN" w:bidi="ar-SA"/>
              </w:rPr>
            </w:pPr>
            <w:r>
              <w:rPr>
                <w:rFonts w:hint="eastAsia" w:ascii="宋体" w:hAnsi="宋体" w:eastAsia="宋体" w:cs="宋体"/>
                <w:color w:val="auto"/>
                <w:kern w:val="0"/>
                <w:sz w:val="21"/>
                <w:szCs w:val="21"/>
                <w:lang w:val="en-US" w:eastAsia="zh-CN" w:bidi="ar-SA"/>
              </w:rPr>
              <w:t>本项目与生态保护红线交集面积</w:t>
            </w:r>
            <w:r>
              <w:rPr>
                <w:rFonts w:hint="default" w:ascii="Times New Roman" w:hAnsi="Times New Roman" w:eastAsia="宋体" w:cs="Times New Roman"/>
                <w:color w:val="auto"/>
                <w:kern w:val="0"/>
                <w:sz w:val="21"/>
                <w:szCs w:val="21"/>
                <w:lang w:val="en-US" w:eastAsia="zh-CN" w:bidi="ar-SA"/>
              </w:rPr>
              <w:t>为0.00平方公里，占项目占地面积的0.00%。</w:t>
            </w:r>
          </w:p>
          <w:p w14:paraId="44C6DA80">
            <w:pPr>
              <w:pStyle w:val="16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与自然保护地整合优化方案数据交集面积为0.00平方公里，占项目占地面积的0.00%。保护地涉及等类型。与自然保护地(现状管理数据)交集面积为0.00平方公里，占项目占地面积的0.00%。保护地涉及等类型。</w:t>
            </w:r>
          </w:p>
          <w:p w14:paraId="31366073">
            <w:pPr>
              <w:pStyle w:val="15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与饮用水水源保护区交集面积为0.00平方公里，占项目占地面积的0.00%。与国家级水产种质资源保护区交集面积为0.00平方公里，占项目占地面积的0.00%。</w:t>
            </w:r>
          </w:p>
          <w:p w14:paraId="6EE3A27A">
            <w:pPr>
              <w:pStyle w:val="15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与环境管控单元优先保护单元交集面积为0.00平方公里，占项目占地面积的0.00%；与重点管控单元交集面积为0.</w:t>
            </w:r>
            <w:r>
              <w:rPr>
                <w:rFonts w:hint="default" w:ascii="Times New Roman" w:hAnsi="Times New Roman" w:cs="Times New Roman"/>
                <w:color w:val="auto"/>
                <w:kern w:val="0"/>
                <w:sz w:val="21"/>
                <w:szCs w:val="21"/>
                <w:lang w:val="en-US" w:eastAsia="zh-CN" w:bidi="ar-SA"/>
              </w:rPr>
              <w:t>00</w:t>
            </w:r>
            <w:r>
              <w:rPr>
                <w:rFonts w:hint="default" w:ascii="Times New Roman" w:hAnsi="Times New Roman" w:eastAsia="宋体" w:cs="Times New Roman"/>
                <w:color w:val="auto"/>
                <w:kern w:val="0"/>
                <w:sz w:val="21"/>
                <w:szCs w:val="21"/>
                <w:lang w:val="en-US" w:eastAsia="zh-CN" w:bidi="ar-SA"/>
              </w:rPr>
              <w:t>平方公里，占项目占地面积的</w:t>
            </w:r>
            <w:r>
              <w:rPr>
                <w:rFonts w:hint="default" w:ascii="Times New Roman" w:hAnsi="Times New Roman" w:cs="Times New Roman"/>
                <w:color w:val="auto"/>
                <w:kern w:val="0"/>
                <w:sz w:val="21"/>
                <w:szCs w:val="21"/>
                <w:lang w:val="en-US" w:eastAsia="zh-CN" w:bidi="ar-SA"/>
              </w:rPr>
              <w:t>0.00</w:t>
            </w:r>
            <w:r>
              <w:rPr>
                <w:rFonts w:hint="default" w:ascii="Times New Roman" w:hAnsi="Times New Roman" w:eastAsia="宋体" w:cs="Times New Roman"/>
                <w:color w:val="auto"/>
                <w:kern w:val="0"/>
                <w:sz w:val="21"/>
                <w:szCs w:val="21"/>
                <w:lang w:val="en-US" w:eastAsia="zh-CN" w:bidi="ar-SA"/>
              </w:rPr>
              <w:t>%；一般管控单元交集面积为</w:t>
            </w:r>
            <w:r>
              <w:rPr>
                <w:rFonts w:hint="default" w:ascii="Times New Roman" w:hAnsi="Times New Roman" w:cs="Times New Roman"/>
                <w:color w:val="auto"/>
                <w:kern w:val="0"/>
                <w:sz w:val="21"/>
                <w:szCs w:val="21"/>
                <w:lang w:val="en-US" w:eastAsia="zh-CN" w:bidi="ar-SA"/>
              </w:rPr>
              <w:t>小于</w:t>
            </w:r>
            <w:r>
              <w:rPr>
                <w:rFonts w:hint="default" w:ascii="Times New Roman" w:hAnsi="Times New Roman" w:eastAsia="宋体" w:cs="Times New Roman"/>
                <w:color w:val="auto"/>
                <w:kern w:val="0"/>
                <w:sz w:val="21"/>
                <w:szCs w:val="21"/>
                <w:lang w:val="en-US" w:eastAsia="zh-CN" w:bidi="ar-SA"/>
              </w:rPr>
              <w:t>0.0</w:t>
            </w:r>
            <w:r>
              <w:rPr>
                <w:rFonts w:hint="default" w:ascii="Times New Roman" w:hAnsi="Times New Roman" w:cs="Times New Roman"/>
                <w:color w:val="auto"/>
                <w:kern w:val="0"/>
                <w:sz w:val="21"/>
                <w:szCs w:val="21"/>
                <w:lang w:val="en-US" w:eastAsia="zh-CN" w:bidi="ar-SA"/>
              </w:rPr>
              <w:t>1</w:t>
            </w:r>
            <w:r>
              <w:rPr>
                <w:rFonts w:hint="default" w:ascii="Times New Roman" w:hAnsi="Times New Roman" w:eastAsia="宋体" w:cs="Times New Roman"/>
                <w:color w:val="auto"/>
                <w:kern w:val="0"/>
                <w:sz w:val="21"/>
                <w:szCs w:val="21"/>
                <w:lang w:val="en-US" w:eastAsia="zh-CN" w:bidi="ar-SA"/>
              </w:rPr>
              <w:t>平方公里，占项目占地面积的</w:t>
            </w:r>
            <w:r>
              <w:rPr>
                <w:rFonts w:hint="default" w:ascii="Times New Roman" w:hAnsi="Times New Roman" w:cs="Times New Roman"/>
                <w:color w:val="auto"/>
                <w:kern w:val="0"/>
                <w:sz w:val="21"/>
                <w:szCs w:val="21"/>
                <w:lang w:val="en-US" w:eastAsia="zh-CN" w:bidi="ar-SA"/>
              </w:rPr>
              <w:t>10</w:t>
            </w:r>
            <w:r>
              <w:rPr>
                <w:rFonts w:hint="default" w:ascii="Times New Roman" w:hAnsi="Times New Roman" w:eastAsia="宋体" w:cs="Times New Roman"/>
                <w:color w:val="auto"/>
                <w:kern w:val="0"/>
                <w:sz w:val="21"/>
                <w:szCs w:val="21"/>
                <w:lang w:val="en-US" w:eastAsia="zh-CN" w:bidi="ar-SA"/>
              </w:rPr>
              <w:t>0.00%。</w:t>
            </w:r>
          </w:p>
          <w:p w14:paraId="30BB1DE7">
            <w:pPr>
              <w:pStyle w:val="15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color w:val="auto"/>
                <w:kern w:val="0"/>
                <w:sz w:val="21"/>
                <w:szCs w:val="21"/>
                <w:lang w:val="en-US" w:eastAsia="zh-CN" w:bidi="ar-SA"/>
              </w:rPr>
              <w:t>与地下水环境优先保护区交集面积为0.00平方公里，占项目占地面积的0.00%；与地下水环境重点管控区交集面积为0.00 平方公里，占项目占地面积的0.00%，与地下水环境一般管控区交集面积为</w:t>
            </w:r>
            <w:r>
              <w:rPr>
                <w:rFonts w:hint="default" w:ascii="Times New Roman" w:hAnsi="Times New Roman" w:cs="Times New Roman"/>
                <w:color w:val="auto"/>
                <w:kern w:val="0"/>
                <w:sz w:val="21"/>
                <w:szCs w:val="21"/>
                <w:lang w:val="en-US" w:eastAsia="zh-CN" w:bidi="ar-SA"/>
              </w:rPr>
              <w:t>小于0.01</w:t>
            </w:r>
            <w:r>
              <w:rPr>
                <w:rFonts w:hint="default" w:ascii="Times New Roman" w:hAnsi="Times New Roman" w:eastAsia="宋体" w:cs="Times New Roman"/>
                <w:color w:val="auto"/>
                <w:kern w:val="0"/>
                <w:sz w:val="21"/>
                <w:szCs w:val="21"/>
                <w:lang w:val="en-US" w:eastAsia="zh-CN" w:bidi="ar-SA"/>
              </w:rPr>
              <w:t>平方公里，占项目占地面积的100.00%。</w:t>
            </w:r>
          </w:p>
          <w:p w14:paraId="6F73852B">
            <w:pPr>
              <w:keepNext w:val="0"/>
              <w:keepLines w:val="0"/>
              <w:suppressLineNumbers w:val="0"/>
              <w:autoSpaceDE w:val="0"/>
              <w:autoSpaceDN w:val="0"/>
              <w:adjustRightInd w:val="0"/>
              <w:snapToGrid w:val="0"/>
              <w:spacing w:before="0" w:beforeAutospacing="0" w:after="0" w:afterAutospacing="0" w:line="360" w:lineRule="auto"/>
              <w:ind w:left="0" w:right="0" w:firstLine="422" w:firstLineChars="200"/>
              <w:rPr>
                <w:rFonts w:hint="eastAsia"/>
                <w:b/>
                <w:bCs/>
                <w:color w:val="FF0000"/>
                <w:kern w:val="0"/>
                <w:szCs w:val="21"/>
                <w:highlight w:val="none"/>
              </w:rPr>
            </w:pPr>
            <w:r>
              <w:rPr>
                <w:rFonts w:hint="eastAsia"/>
                <w:b/>
                <w:bCs/>
                <w:color w:val="FF0000"/>
                <w:kern w:val="0"/>
                <w:szCs w:val="21"/>
                <w:highlight w:val="none"/>
                <w:lang w:val="en-US" w:eastAsia="zh-CN"/>
              </w:rPr>
              <w:t>2</w:t>
            </w:r>
            <w:r>
              <w:rPr>
                <w:rFonts w:hint="eastAsia"/>
                <w:b/>
                <w:bCs/>
                <w:color w:val="FF0000"/>
                <w:kern w:val="0"/>
                <w:szCs w:val="21"/>
                <w:highlight w:val="none"/>
              </w:rPr>
              <w:t>、选址合理性分析</w:t>
            </w:r>
          </w:p>
          <w:p w14:paraId="2DA6DB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olor w:val="FF0000"/>
                <w:lang w:val="en-US" w:eastAsia="zh-CN"/>
              </w:rPr>
            </w:pPr>
            <w:r>
              <w:rPr>
                <w:rFonts w:hint="eastAsia"/>
                <w:color w:val="FF0000"/>
                <w:lang w:val="en-US" w:eastAsia="zh-CN"/>
              </w:rPr>
              <w:t>（1）选址相符性</w:t>
            </w:r>
          </w:p>
          <w:p w14:paraId="7D6413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b w:val="0"/>
                <w:bCs w:val="0"/>
                <w:color w:val="FF0000"/>
                <w:sz w:val="21"/>
                <w:szCs w:val="21"/>
                <w:highlight w:val="none"/>
                <w:lang w:val="en-US" w:eastAsia="zh-CN"/>
              </w:rPr>
            </w:pPr>
            <w:r>
              <w:rPr>
                <w:rFonts w:hint="default"/>
                <w:color w:val="FF0000"/>
                <w:lang w:val="en-US" w:eastAsia="zh-CN"/>
              </w:rPr>
              <w:t>本项目位于黑龙江省鸡西市</w:t>
            </w:r>
            <w:r>
              <w:rPr>
                <w:rFonts w:hint="eastAsia"/>
                <w:color w:val="FF0000"/>
                <w:highlight w:val="none"/>
                <w:lang w:val="en-US" w:eastAsia="zh-CN"/>
              </w:rPr>
              <w:t>鸡东县东海镇发展村五组</w:t>
            </w:r>
            <w:r>
              <w:rPr>
                <w:rFonts w:hint="default"/>
                <w:color w:val="FF0000"/>
                <w:lang w:val="en-US" w:eastAsia="zh-CN"/>
              </w:rPr>
              <w:t>，</w:t>
            </w:r>
            <w:r>
              <w:rPr>
                <w:rFonts w:hint="eastAsia"/>
                <w:color w:val="FF0000"/>
                <w:lang w:val="en-US" w:eastAsia="zh-CN"/>
              </w:rPr>
              <w:t>用地性质为工业用地</w:t>
            </w:r>
            <w:r>
              <w:rPr>
                <w:rFonts w:hint="eastAsia"/>
                <w:color w:val="FF0000"/>
                <w:highlight w:val="none"/>
                <w:lang w:val="en-US" w:eastAsia="zh-CN"/>
              </w:rPr>
              <w:t>（地类证明文件见附件2</w:t>
            </w:r>
            <w:r>
              <w:rPr>
                <w:rFonts w:hint="default"/>
                <w:color w:val="FF0000"/>
                <w:highlight w:val="none"/>
                <w:lang w:val="en-US" w:eastAsia="zh-CN"/>
              </w:rPr>
              <w:t>）</w:t>
            </w:r>
            <w:r>
              <w:rPr>
                <w:rFonts w:hint="eastAsia"/>
                <w:color w:val="FF0000"/>
                <w:lang w:val="en-US" w:eastAsia="zh-CN"/>
              </w:rPr>
              <w:t>，</w:t>
            </w:r>
            <w:r>
              <w:rPr>
                <w:rFonts w:hint="default"/>
                <w:color w:val="FF0000"/>
                <w:highlight w:val="none"/>
                <w:lang w:val="en-US" w:eastAsia="zh-CN"/>
              </w:rPr>
              <w:t>项目选址不属于生活饮用水源地和地下水补给区、风景名胜区</w:t>
            </w:r>
            <w:r>
              <w:rPr>
                <w:rFonts w:hint="default"/>
                <w:b w:val="0"/>
                <w:bCs w:val="0"/>
                <w:color w:val="FF0000"/>
                <w:sz w:val="21"/>
                <w:szCs w:val="21"/>
                <w:highlight w:val="none"/>
                <w:lang w:val="en-US" w:eastAsia="zh-CN"/>
              </w:rPr>
              <w:t>、温泉疗养区、水产养殖区、基本农田保护区、自然保护区等需要特殊保护区域</w:t>
            </w:r>
            <w:r>
              <w:rPr>
                <w:rFonts w:hint="eastAsia"/>
                <w:b w:val="0"/>
                <w:bCs w:val="0"/>
                <w:color w:val="FF0000"/>
                <w:sz w:val="21"/>
                <w:szCs w:val="21"/>
                <w:highlight w:val="none"/>
                <w:lang w:val="en-US" w:eastAsia="zh-CN"/>
              </w:rPr>
              <w:t>。</w:t>
            </w:r>
          </w:p>
          <w:p w14:paraId="3282B4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b w:val="0"/>
                <w:bCs w:val="0"/>
                <w:color w:val="FF0000"/>
                <w:sz w:val="21"/>
                <w:szCs w:val="21"/>
                <w:lang w:eastAsia="zh-CN"/>
              </w:rPr>
            </w:pPr>
            <w:r>
              <w:rPr>
                <w:rFonts w:hint="eastAsia"/>
                <w:b w:val="0"/>
                <w:bCs w:val="0"/>
                <w:color w:val="FF0000"/>
                <w:sz w:val="21"/>
                <w:szCs w:val="21"/>
                <w:highlight w:val="none"/>
                <w:lang w:val="en-US" w:eastAsia="zh-CN"/>
              </w:rPr>
              <w:t>根据</w:t>
            </w:r>
            <w:r>
              <w:rPr>
                <w:rFonts w:hint="eastAsia" w:ascii="Times New Roman" w:hAnsi="Times New Roman" w:cs="Times New Roman"/>
                <w:b w:val="0"/>
                <w:bCs w:val="0"/>
                <w:color w:val="FF0000"/>
                <w:sz w:val="21"/>
                <w:szCs w:val="21"/>
                <w:highlight w:val="none"/>
                <w:lang w:val="en-US" w:eastAsia="zh-CN"/>
              </w:rPr>
              <w:t>《鸡东县</w:t>
            </w:r>
            <w:r>
              <w:rPr>
                <w:rFonts w:hint="default" w:ascii="Times New Roman" w:hAnsi="Times New Roman" w:cs="Times New Roman" w:eastAsiaTheme="minorEastAsia"/>
                <w:b w:val="0"/>
                <w:bCs w:val="0"/>
                <w:color w:val="FF0000"/>
                <w:sz w:val="21"/>
                <w:szCs w:val="21"/>
                <w:highlight w:val="none"/>
              </w:rPr>
              <w:t>国土空间总体规划（2021—2035年）》</w:t>
            </w:r>
            <w:r>
              <w:rPr>
                <w:rFonts w:hint="eastAsia" w:cs="Times New Roman" w:eastAsiaTheme="minorEastAsia"/>
                <w:b w:val="0"/>
                <w:bCs w:val="0"/>
                <w:color w:val="FF0000"/>
                <w:sz w:val="21"/>
                <w:szCs w:val="21"/>
                <w:highlight w:val="none"/>
                <w:lang w:eastAsia="zh-CN"/>
              </w:rPr>
              <w:t>，鸡东县城市定位：</w:t>
            </w:r>
            <w:r>
              <w:rPr>
                <w:rFonts w:hint="default"/>
                <w:b w:val="0"/>
                <w:bCs w:val="0"/>
                <w:color w:val="FF0000"/>
                <w:sz w:val="21"/>
                <w:szCs w:val="21"/>
              </w:rPr>
              <w:t>以工业创新精深加工、农副产品精细加工、特色康养旅游、商贸物流业为主的生态综合型城市</w:t>
            </w:r>
            <w:r>
              <w:rPr>
                <w:rFonts w:hint="eastAsia"/>
                <w:b w:val="0"/>
                <w:bCs w:val="0"/>
                <w:color w:val="FF0000"/>
                <w:sz w:val="21"/>
                <w:szCs w:val="21"/>
                <w:lang w:eastAsia="zh-CN"/>
              </w:rPr>
              <w:t>。</w:t>
            </w:r>
          </w:p>
          <w:p w14:paraId="7F7369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b w:val="0"/>
                <w:bCs w:val="0"/>
                <w:color w:val="FF0000"/>
                <w:sz w:val="21"/>
                <w:szCs w:val="21"/>
                <w:lang w:val="en-US" w:eastAsia="zh-CN"/>
              </w:rPr>
            </w:pPr>
            <w:r>
              <w:rPr>
                <w:rFonts w:hint="eastAsia"/>
                <w:b w:val="0"/>
                <w:bCs w:val="0"/>
                <w:color w:val="FF0000"/>
                <w:sz w:val="21"/>
                <w:szCs w:val="21"/>
                <w:lang w:val="en-US" w:eastAsia="zh-CN"/>
              </w:rPr>
              <w:t>划定三条控制线：优先划定生态保护红线具有特殊重要生态功能或生态敏感脆弱、必须强制性严格保护的陆地自然区域。严格保护永久基本农田按照“应保尽保、量质并重”的原则，保质保量划定永久基本农田，确保国家粮食安全和重要农产品供给。合理划定城镇开发边界按照“集约适度、绿色发展”的要求，统筹全县城乡空间格局，科学划定城镇开发边界。</w:t>
            </w:r>
          </w:p>
          <w:p w14:paraId="495D037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b w:val="0"/>
                <w:bCs w:val="0"/>
                <w:color w:val="FF0000"/>
                <w:sz w:val="21"/>
                <w:szCs w:val="21"/>
                <w:highlight w:val="none"/>
                <w:lang w:val="en-US" w:eastAsia="zh-CN"/>
              </w:rPr>
            </w:pPr>
            <w:r>
              <w:rPr>
                <w:rFonts w:hint="eastAsia"/>
                <w:b w:val="0"/>
                <w:bCs w:val="0"/>
                <w:color w:val="FF0000"/>
                <w:sz w:val="21"/>
                <w:szCs w:val="21"/>
                <w:lang w:val="en-US" w:eastAsia="zh-CN"/>
              </w:rPr>
              <w:t>本项目为农产品初加工，符合城市定位。厂区用地性质为工业用地，不涉及耕地及</w:t>
            </w:r>
            <w:r>
              <w:rPr>
                <w:rFonts w:hint="eastAsia"/>
                <w:b w:val="0"/>
                <w:bCs w:val="0"/>
                <w:color w:val="FF0000"/>
                <w:sz w:val="21"/>
                <w:szCs w:val="21"/>
              </w:rPr>
              <w:t>永久基本农田</w:t>
            </w:r>
            <w:r>
              <w:rPr>
                <w:rFonts w:hint="eastAsia"/>
                <w:b w:val="0"/>
                <w:bCs w:val="0"/>
                <w:color w:val="FF0000"/>
                <w:sz w:val="21"/>
                <w:szCs w:val="21"/>
                <w:lang w:eastAsia="zh-CN"/>
              </w:rPr>
              <w:t>，结合鸡东县城市定位以及厂区用地情况，项目选址可行</w:t>
            </w:r>
            <w:r>
              <w:rPr>
                <w:rFonts w:hint="default"/>
                <w:b w:val="0"/>
                <w:bCs w:val="0"/>
                <w:color w:val="FF0000"/>
                <w:sz w:val="21"/>
                <w:szCs w:val="21"/>
                <w:highlight w:val="none"/>
                <w:lang w:val="en-US" w:eastAsia="zh-CN"/>
              </w:rPr>
              <w:t>。</w:t>
            </w:r>
          </w:p>
          <w:p w14:paraId="581292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olor w:val="FF0000"/>
                <w:lang w:val="en-US" w:eastAsia="zh-CN"/>
              </w:rPr>
            </w:pPr>
            <w:r>
              <w:rPr>
                <w:rFonts w:hint="eastAsia"/>
                <w:color w:val="FF0000"/>
                <w:lang w:val="en-US" w:eastAsia="zh-CN"/>
              </w:rPr>
              <w:t>（2）外环境相容性</w:t>
            </w:r>
          </w:p>
          <w:p w14:paraId="133636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olor w:val="FF0000"/>
                <w:lang w:val="en-US" w:eastAsia="zh-CN"/>
              </w:rPr>
            </w:pPr>
            <w:r>
              <w:rPr>
                <w:rFonts w:hint="eastAsia"/>
                <w:color w:val="FF0000"/>
                <w:kern w:val="0"/>
                <w:szCs w:val="21"/>
                <w:highlight w:val="none"/>
                <w:lang w:val="en-US" w:eastAsia="zh-CN"/>
              </w:rPr>
              <w:t>厂区西</w:t>
            </w:r>
            <w:r>
              <w:rPr>
                <w:rFonts w:hint="default"/>
                <w:color w:val="FF0000"/>
                <w:kern w:val="0"/>
                <w:szCs w:val="21"/>
                <w:highlight w:val="none"/>
              </w:rPr>
              <w:t>侧</w:t>
            </w:r>
            <w:r>
              <w:rPr>
                <w:rFonts w:hint="eastAsia"/>
                <w:color w:val="FF0000"/>
                <w:kern w:val="0"/>
                <w:szCs w:val="21"/>
                <w:highlight w:val="none"/>
                <w:lang w:eastAsia="zh-CN"/>
              </w:rPr>
              <w:t>、南</w:t>
            </w:r>
            <w:r>
              <w:rPr>
                <w:rFonts w:hint="eastAsia"/>
                <w:color w:val="FF0000"/>
                <w:kern w:val="0"/>
                <w:szCs w:val="21"/>
                <w:highlight w:val="none"/>
                <w:lang w:val="en-US" w:eastAsia="zh-CN"/>
              </w:rPr>
              <w:t>侧紧邻发展村五组，东侧为村路、农田，北侧为农田</w:t>
            </w:r>
            <w:r>
              <w:rPr>
                <w:rFonts w:hint="default"/>
                <w:color w:val="FF0000"/>
                <w:lang w:val="en-US" w:eastAsia="zh-CN"/>
              </w:rPr>
              <w:t>。项目所在地具有方便的交通运输和水电条件，便于项目的建设。项目建设过程中产生的噪声、废水、废气、固废对周围环境将产生一定影响</w:t>
            </w:r>
            <w:r>
              <w:rPr>
                <w:rFonts w:hint="eastAsia"/>
                <w:color w:val="FF0000"/>
                <w:lang w:val="en-US" w:eastAsia="zh-CN"/>
              </w:rPr>
              <w:t>，</w:t>
            </w:r>
            <w:r>
              <w:rPr>
                <w:rFonts w:hint="eastAsia"/>
                <w:color w:val="FF0000"/>
                <w:highlight w:val="none"/>
                <w:lang w:val="en-US" w:eastAsia="zh-CN"/>
              </w:rPr>
              <w:t>厂界</w:t>
            </w:r>
            <w:r>
              <w:rPr>
                <w:rFonts w:hint="default"/>
                <w:color w:val="FF0000"/>
                <w:highlight w:val="none"/>
                <w:lang w:val="en-US" w:eastAsia="zh-CN"/>
              </w:rPr>
              <w:t>500米范围内大气环境保护目标</w:t>
            </w:r>
            <w:r>
              <w:rPr>
                <w:rFonts w:hint="eastAsia"/>
                <w:color w:val="FF0000"/>
                <w:highlight w:val="none"/>
                <w:lang w:val="en-US" w:eastAsia="zh-CN"/>
              </w:rPr>
              <w:t>为发展村五组、岭西屯，厂界50米范围内声环境保护目标为发展村五组，项目所在地主导风向为西风，</w:t>
            </w:r>
            <w:r>
              <w:rPr>
                <w:rFonts w:hint="default"/>
                <w:color w:val="FF0000"/>
                <w:highlight w:val="none"/>
                <w:lang w:val="en-US" w:eastAsia="zh-CN"/>
              </w:rPr>
              <w:t>大气环境保护</w:t>
            </w:r>
            <w:r>
              <w:rPr>
                <w:rFonts w:hint="eastAsia"/>
                <w:color w:val="FF0000"/>
                <w:highlight w:val="none"/>
                <w:lang w:val="en-US" w:eastAsia="zh-CN"/>
              </w:rPr>
              <w:t>目标位于厂区上风向、侧风向。</w:t>
            </w:r>
            <w:r>
              <w:rPr>
                <w:rFonts w:hint="eastAsia" w:ascii="Times New Roman" w:cs="Times New Roman" w:hAnsiTheme="minorEastAsia" w:eastAsiaTheme="minorEastAsia"/>
                <w:color w:val="FF0000"/>
                <w:kern w:val="0"/>
                <w:sz w:val="21"/>
                <w:szCs w:val="21"/>
                <w:highlight w:val="none"/>
                <w:lang w:val="en-US" w:eastAsia="zh-CN" w:bidi="ar-SA"/>
              </w:rPr>
              <w:t>通过厂内设置相应的大气污染防治措施及噪声污染防治措施，可使大气污染物及噪声达标排放</w:t>
            </w:r>
            <w:r>
              <w:rPr>
                <w:rFonts w:hint="default"/>
                <w:color w:val="FF0000"/>
                <w:lang w:val="en-US" w:eastAsia="zh-CN"/>
              </w:rPr>
              <w:t>，对周边环境影响较小。项目建成后严格落实本报告表提出的污染防治措施，保证各项污染物稳定达标排放前提</w:t>
            </w:r>
            <w:r>
              <w:rPr>
                <w:rFonts w:hint="default" w:ascii="Times New Roman" w:hAnsi="Times New Roman" w:cs="Times New Roman"/>
                <w:color w:val="FF0000"/>
                <w:sz w:val="21"/>
                <w:szCs w:val="21"/>
                <w:lang w:val="en-US" w:eastAsia="zh-CN"/>
              </w:rPr>
              <w:t>下，项目建设不会使得环境功能发生改变。根据《粮油仓储管理办法》，粮油仓储单位</w:t>
            </w:r>
            <w:r>
              <w:rPr>
                <w:rFonts w:hint="default" w:ascii="Times New Roman" w:hAnsi="Times New Roman" w:eastAsia="宋体" w:cs="Times New Roman"/>
                <w:i w:val="0"/>
                <w:iCs w:val="0"/>
                <w:caps w:val="0"/>
                <w:color w:val="FF0000"/>
                <w:spacing w:val="0"/>
                <w:sz w:val="21"/>
                <w:szCs w:val="21"/>
                <w:shd w:val="clear" w:color="auto" w:fill="FFFFFF"/>
              </w:rPr>
              <w:t>距有害元素的矿山、炼焦、炼油、煤气、化工（包括有毒化合物的生产）、塑料、橡胶制品及加工、人造纤维、油漆、农药、化肥等排放有毒气体的生产单位，不小于1000米；距屠宰场、集中垃圾堆场、污水处理站等单位，不小于500米；</w:t>
            </w:r>
            <w:r>
              <w:rPr>
                <w:rFonts w:hint="default"/>
                <w:color w:val="FF0000"/>
                <w:lang w:val="en-US" w:eastAsia="zh-CN"/>
              </w:rPr>
              <w:t>距砖瓦厂、混凝土及石膏制品厂等粉尘污染源，不小于100米。经调查，</w:t>
            </w:r>
            <w:r>
              <w:rPr>
                <w:rFonts w:hint="eastAsia"/>
                <w:color w:val="FF0000"/>
                <w:lang w:val="en-US" w:eastAsia="zh-CN"/>
              </w:rPr>
              <w:t>本项目周边1000米范围内不存在上述危险源、污染源，</w:t>
            </w:r>
            <w:r>
              <w:rPr>
                <w:rFonts w:hint="default"/>
                <w:color w:val="FF0000"/>
                <w:lang w:val="en-US" w:eastAsia="zh-CN"/>
              </w:rPr>
              <w:t>本项目选址位置能够满足《粮油仓储管理办法》中相关安全距离的规定要求。</w:t>
            </w:r>
          </w:p>
          <w:p w14:paraId="0368D5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b/>
                <w:bCs/>
                <w:color w:val="FF0000"/>
                <w:kern w:val="0"/>
                <w:szCs w:val="21"/>
                <w:highlight w:val="none"/>
                <w:lang w:val="en-US" w:eastAsia="zh-CN"/>
              </w:rPr>
            </w:pPr>
            <w:r>
              <w:rPr>
                <w:rFonts w:hint="eastAsia"/>
                <w:color w:val="FF0000"/>
                <w:lang w:val="en-US" w:eastAsia="zh-CN"/>
              </w:rPr>
              <w:t>综上所述，从环境保护角度而言，本项目选址合理可行。</w:t>
            </w:r>
          </w:p>
          <w:p w14:paraId="07810FB4">
            <w:pPr>
              <w:keepNext w:val="0"/>
              <w:keepLines w:val="0"/>
              <w:suppressLineNumbers w:val="0"/>
              <w:autoSpaceDE w:val="0"/>
              <w:autoSpaceDN w:val="0"/>
              <w:adjustRightInd w:val="0"/>
              <w:snapToGrid w:val="0"/>
              <w:spacing w:before="0" w:beforeAutospacing="0" w:after="0" w:afterAutospacing="0" w:line="360" w:lineRule="auto"/>
              <w:ind w:left="0" w:right="0" w:firstLine="422" w:firstLineChars="200"/>
              <w:rPr>
                <w:rFonts w:hint="default"/>
                <w:color w:val="FF0000"/>
                <w:highlight w:val="none"/>
              </w:rPr>
            </w:pPr>
            <w:r>
              <w:rPr>
                <w:rFonts w:hint="eastAsia"/>
                <w:b/>
                <w:bCs/>
                <w:color w:val="FF0000"/>
                <w:kern w:val="0"/>
                <w:szCs w:val="21"/>
                <w:highlight w:val="none"/>
                <w:lang w:val="en-US" w:eastAsia="zh-CN"/>
              </w:rPr>
              <w:t>3</w:t>
            </w:r>
            <w:r>
              <w:rPr>
                <w:rFonts w:hint="eastAsia"/>
                <w:b/>
                <w:bCs/>
                <w:color w:val="FF0000"/>
                <w:kern w:val="0"/>
                <w:szCs w:val="21"/>
                <w:highlight w:val="none"/>
              </w:rPr>
              <w:t>、产业政策符合性</w:t>
            </w:r>
          </w:p>
          <w:p w14:paraId="37A40CC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textAlignment w:val="auto"/>
              <w:rPr>
                <w:rFonts w:hint="eastAsia" w:eastAsia="宋体"/>
                <w:color w:val="FF0000"/>
                <w:kern w:val="0"/>
                <w:sz w:val="21"/>
                <w:szCs w:val="21"/>
                <w:highlight w:val="none"/>
                <w:lang w:eastAsia="zh-CN"/>
              </w:rPr>
            </w:pPr>
            <w:r>
              <w:rPr>
                <w:rFonts w:hint="eastAsia" w:ascii="宋体" w:hAnsi="宋体" w:eastAsia="宋体" w:cs="宋体"/>
                <w:color w:val="FF0000"/>
                <w:kern w:val="0"/>
                <w:sz w:val="21"/>
                <w:szCs w:val="21"/>
                <w:highlight w:val="none"/>
                <w:lang w:val="en-US" w:eastAsia="zh-CN"/>
              </w:rPr>
              <w:t>根据</w:t>
            </w:r>
            <w:r>
              <w:rPr>
                <w:rFonts w:hint="eastAsia" w:ascii="宋体" w:hAnsi="宋体" w:eastAsia="宋体" w:cs="宋体"/>
                <w:color w:val="FF0000"/>
                <w:kern w:val="0"/>
                <w:sz w:val="21"/>
                <w:szCs w:val="21"/>
                <w:highlight w:val="none"/>
              </w:rPr>
              <w:t>《产业结构调整指导目录（</w:t>
            </w:r>
            <w:r>
              <w:rPr>
                <w:rFonts w:hint="default" w:ascii="Times New Roman" w:hAnsi="Times New Roman" w:eastAsia="宋体" w:cs="Times New Roman"/>
                <w:color w:val="FF0000"/>
                <w:kern w:val="0"/>
                <w:sz w:val="21"/>
                <w:szCs w:val="21"/>
                <w:highlight w:val="none"/>
                <w:lang w:val="en-US" w:eastAsia="zh-CN"/>
              </w:rPr>
              <w:t>2024</w:t>
            </w:r>
            <w:r>
              <w:rPr>
                <w:rFonts w:hint="eastAsia" w:ascii="宋体" w:hAnsi="宋体" w:eastAsia="宋体" w:cs="宋体"/>
                <w:color w:val="FF0000"/>
                <w:kern w:val="0"/>
                <w:sz w:val="21"/>
                <w:szCs w:val="21"/>
                <w:highlight w:val="none"/>
                <w:lang w:val="en-US" w:eastAsia="zh-CN"/>
              </w:rPr>
              <w:t>年本</w:t>
            </w:r>
            <w:r>
              <w:rPr>
                <w:rFonts w:hint="eastAsia" w:ascii="宋体" w:hAnsi="宋体" w:eastAsia="宋体" w:cs="宋体"/>
                <w:color w:val="FF0000"/>
                <w:kern w:val="0"/>
                <w:sz w:val="21"/>
                <w:szCs w:val="21"/>
                <w:highlight w:val="none"/>
              </w:rPr>
              <w:t>）》</w:t>
            </w:r>
            <w:r>
              <w:rPr>
                <w:rFonts w:hint="eastAsia" w:ascii="宋体" w:hAnsi="宋体" w:eastAsia="宋体" w:cs="宋体"/>
                <w:color w:val="FF0000"/>
                <w:kern w:val="0"/>
                <w:sz w:val="21"/>
                <w:szCs w:val="21"/>
                <w:highlight w:val="none"/>
                <w:lang w:eastAsia="zh-CN"/>
              </w:rPr>
              <w:t>，</w:t>
            </w:r>
            <w:r>
              <w:rPr>
                <w:rFonts w:hint="eastAsia" w:ascii="宋体" w:hAnsi="宋体" w:eastAsia="宋体" w:cs="宋体"/>
                <w:color w:val="FF0000"/>
                <w:kern w:val="0"/>
                <w:sz w:val="21"/>
                <w:szCs w:val="21"/>
                <w:highlight w:val="none"/>
                <w:lang w:val="en-US" w:eastAsia="zh-CN"/>
              </w:rPr>
              <w:t>本项目</w:t>
            </w:r>
            <w:r>
              <w:rPr>
                <w:rFonts w:hint="eastAsia" w:ascii="Times New Roman" w:hAnsi="Times New Roman" w:eastAsia="宋体" w:cs="Times New Roman"/>
                <w:color w:val="FF0000"/>
                <w:sz w:val="21"/>
                <w:szCs w:val="21"/>
                <w:highlight w:val="none"/>
                <w:lang w:val="en-US" w:eastAsia="zh-CN"/>
              </w:rPr>
              <w:t>属于鼓励类中第一大类农林业第</w:t>
            </w:r>
            <w:r>
              <w:rPr>
                <w:rFonts w:hint="eastAsia" w:cs="Times New Roman"/>
                <w:color w:val="FF0000"/>
                <w:sz w:val="21"/>
                <w:szCs w:val="21"/>
                <w:highlight w:val="none"/>
                <w:lang w:val="en-US" w:eastAsia="zh-CN"/>
              </w:rPr>
              <w:t>8</w:t>
            </w:r>
            <w:r>
              <w:rPr>
                <w:rFonts w:hint="eastAsia" w:ascii="Times New Roman" w:hAnsi="Times New Roman" w:eastAsia="宋体" w:cs="Times New Roman"/>
                <w:color w:val="FF0000"/>
                <w:sz w:val="21"/>
                <w:szCs w:val="21"/>
                <w:highlight w:val="none"/>
                <w:lang w:val="en-US" w:eastAsia="zh-CN"/>
              </w:rPr>
              <w:t>条“农林牧渔产品储运、保鲜、加工与综合利用”。</w:t>
            </w:r>
            <w:r>
              <w:rPr>
                <w:rFonts w:hint="eastAsia" w:cs="Times New Roman"/>
                <w:color w:val="FF0000"/>
                <w:sz w:val="21"/>
                <w:szCs w:val="21"/>
                <w:highlight w:val="none"/>
                <w:lang w:val="en-US" w:eastAsia="zh-CN"/>
              </w:rPr>
              <w:t>本项目热风炉炉型为链条炉，使用生物质颗粒燃料，不属于淘汰类中（七)机械-67.燃煤热风炉，不属于限制类“</w:t>
            </w:r>
            <w:r>
              <w:rPr>
                <w:rFonts w:hint="default" w:ascii="Times New Roman" w:hAnsi="Times New Roman" w:eastAsia="宋体" w:cs="Times New Roman"/>
                <w:b w:val="0"/>
                <w:bCs w:val="0"/>
                <w:color w:val="FF0000"/>
                <w:kern w:val="0"/>
                <w:sz w:val="21"/>
                <w:szCs w:val="21"/>
                <w:highlight w:val="none"/>
                <w:lang w:val="en-US" w:eastAsia="zh-CN" w:bidi="ar"/>
              </w:rPr>
              <w:t>每小时35蒸吨及以下固定炉排式生物质锅炉</w:t>
            </w:r>
            <w:r>
              <w:rPr>
                <w:rFonts w:hint="eastAsia" w:cs="Times New Roman"/>
                <w:b w:val="0"/>
                <w:bCs w:val="0"/>
                <w:color w:val="FF0000"/>
                <w:kern w:val="0"/>
                <w:sz w:val="21"/>
                <w:szCs w:val="21"/>
                <w:highlight w:val="none"/>
                <w:lang w:val="en-US" w:eastAsia="zh-CN" w:bidi="ar"/>
              </w:rPr>
              <w:t>”</w:t>
            </w:r>
            <w:r>
              <w:rPr>
                <w:rFonts w:hint="eastAsia" w:ascii="Times New Roman" w:hAnsi="Times New Roman" w:eastAsia="宋体" w:cs="Times New Roman"/>
                <w:color w:val="FF0000"/>
                <w:sz w:val="21"/>
                <w:szCs w:val="21"/>
                <w:highlight w:val="none"/>
                <w:lang w:val="en-US" w:eastAsia="zh-CN"/>
              </w:rPr>
              <w:t>。</w:t>
            </w:r>
            <w:r>
              <w:rPr>
                <w:rFonts w:hint="default" w:ascii="Times New Roman" w:hAnsi="Times New Roman" w:cs="Times New Roman"/>
                <w:color w:val="FF0000"/>
                <w:kern w:val="0"/>
                <w:sz w:val="21"/>
                <w:szCs w:val="21"/>
                <w:highlight w:val="none"/>
                <w:lang w:val="en-US" w:eastAsia="zh-CN"/>
              </w:rPr>
              <w:t>因此</w:t>
            </w:r>
            <w:r>
              <w:rPr>
                <w:rFonts w:hint="eastAsia" w:cs="Times New Roman"/>
                <w:color w:val="FF0000"/>
                <w:kern w:val="0"/>
                <w:sz w:val="21"/>
                <w:szCs w:val="21"/>
                <w:highlight w:val="none"/>
                <w:lang w:val="en-US" w:eastAsia="zh-CN"/>
              </w:rPr>
              <w:t>，</w:t>
            </w:r>
            <w:r>
              <w:rPr>
                <w:rFonts w:hint="default" w:ascii="Times New Roman" w:hAnsi="Times New Roman" w:cs="Times New Roman"/>
                <w:color w:val="FF0000"/>
                <w:kern w:val="0"/>
                <w:sz w:val="21"/>
                <w:szCs w:val="21"/>
                <w:highlight w:val="none"/>
                <w:lang w:val="en-US" w:eastAsia="zh-CN"/>
              </w:rPr>
              <w:t>本项目</w:t>
            </w:r>
            <w:r>
              <w:rPr>
                <w:rFonts w:hint="default" w:ascii="Times New Roman" w:hAnsi="Times New Roman" w:eastAsia="宋体" w:cs="Times New Roman"/>
                <w:color w:val="FF0000"/>
                <w:sz w:val="21"/>
                <w:szCs w:val="21"/>
                <w:highlight w:val="none"/>
              </w:rPr>
              <w:t>符合国家产业政策。</w:t>
            </w:r>
          </w:p>
          <w:p w14:paraId="0261562A">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2" w:firstLineChars="200"/>
              <w:contextualSpacing/>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
                <w:bCs/>
                <w:color w:val="auto"/>
                <w:kern w:val="0"/>
                <w:sz w:val="21"/>
                <w:szCs w:val="21"/>
                <w:highlight w:val="none"/>
                <w:lang w:val="en-US" w:eastAsia="zh-CN"/>
              </w:rPr>
              <w:t>4、</w:t>
            </w:r>
            <w:r>
              <w:rPr>
                <w:rFonts w:hint="default" w:ascii="Times New Roman" w:hAnsi="Times New Roman" w:eastAsia="宋体" w:cs="Times New Roman"/>
                <w:b/>
                <w:color w:val="auto"/>
                <w:kern w:val="0"/>
                <w:sz w:val="21"/>
                <w:szCs w:val="21"/>
                <w:highlight w:val="none"/>
              </w:rPr>
              <w:t>与《黑龙江省工业炉窑大气污染综合治理方案》（黑环发</w:t>
            </w:r>
            <w:r>
              <w:rPr>
                <w:rFonts w:hint="eastAsia" w:cs="Times New Roman"/>
                <w:b/>
                <w:color w:val="auto"/>
                <w:kern w:val="0"/>
                <w:sz w:val="21"/>
                <w:szCs w:val="21"/>
                <w:highlight w:val="none"/>
                <w:lang w:eastAsia="zh-CN"/>
              </w:rPr>
              <w:t>〔2019〕144号</w:t>
            </w:r>
            <w:r>
              <w:rPr>
                <w:rFonts w:hint="default" w:ascii="Times New Roman" w:hAnsi="Times New Roman" w:eastAsia="宋体" w:cs="Times New Roman"/>
                <w:b/>
                <w:color w:val="auto"/>
                <w:kern w:val="0"/>
                <w:sz w:val="21"/>
                <w:szCs w:val="21"/>
                <w:highlight w:val="none"/>
              </w:rPr>
              <w:t>）符合性分析</w:t>
            </w:r>
          </w:p>
          <w:p w14:paraId="1FCBFA51">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0" w:firstLineChars="200"/>
              <w:contextualSpacing/>
              <w:textAlignment w:val="auto"/>
              <w:rPr>
                <w:rFonts w:hint="eastAsia"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rPr>
              <w:t>根据《黑龙江省工业炉窑大气污染综合治理方案》（黑环发</w:t>
            </w:r>
            <w:r>
              <w:rPr>
                <w:rFonts w:hint="eastAsia" w:cs="Times New Roman"/>
                <w:bCs/>
                <w:color w:val="auto"/>
                <w:kern w:val="0"/>
                <w:sz w:val="21"/>
                <w:szCs w:val="21"/>
                <w:highlight w:val="none"/>
                <w:lang w:eastAsia="zh-CN"/>
              </w:rPr>
              <w:t>〔2019〕144号</w:t>
            </w:r>
            <w:r>
              <w:rPr>
                <w:rFonts w:hint="default" w:ascii="Times New Roman" w:hAnsi="Times New Roman" w:eastAsia="宋体" w:cs="Times New Roman"/>
                <w:bCs/>
                <w:color w:val="auto"/>
                <w:kern w:val="0"/>
                <w:sz w:val="21"/>
                <w:szCs w:val="21"/>
                <w:highlight w:val="none"/>
              </w:rPr>
              <w:t>），</w:t>
            </w:r>
            <w:r>
              <w:rPr>
                <w:rFonts w:hint="eastAsia" w:ascii="Times New Roman" w:hAnsi="Times New Roman" w:eastAsia="宋体"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推进工业炉窑全面达标排放。已有行业排放标准的工业炉窑，严格执行行业排放标准相关规定，配套建设高效脱硫脱硝除尘设施，确保稳定达标排放。已核发排污许可证的，应严格按照许可要求执行</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rPr>
              <w:t>严格项目环境准入。新建涉工业炉窑的建设项目，原则上要入园区，配套建设高效环保治理设施。加大落后产能和不达标工业炉窑淘汰力度。分行业清理《产业结构调整指导目录》淘汰类工业炉窑。对热效率低下、敞开未封闭，装备简易落后、自动化程度低，无组织排放突出，以及无治理设施或治理设施工作落后等严重污染环境的工业炉窑，依法责令停业关闭。</w:t>
            </w:r>
            <w:r>
              <w:rPr>
                <w:rFonts w:hint="eastAsia" w:ascii="Times New Roman" w:hAnsi="Times New Roman" w:eastAsia="宋体" w:cs="Times New Roman"/>
                <w:bCs/>
                <w:color w:val="auto"/>
                <w:kern w:val="0"/>
                <w:sz w:val="21"/>
                <w:szCs w:val="21"/>
                <w:highlight w:val="none"/>
                <w:lang w:eastAsia="zh-CN"/>
              </w:rPr>
              <w:t>”</w:t>
            </w:r>
          </w:p>
          <w:p w14:paraId="17263B3C">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本项目</w:t>
            </w:r>
            <w:r>
              <w:rPr>
                <w:rFonts w:hint="eastAsia" w:cs="Times New Roman"/>
                <w:bCs/>
                <w:color w:val="auto"/>
                <w:kern w:val="0"/>
                <w:sz w:val="21"/>
                <w:szCs w:val="21"/>
                <w:highlight w:val="none"/>
                <w:lang w:val="en-US" w:eastAsia="zh-CN"/>
              </w:rPr>
              <w:t>热风炉使用生物质成型燃料</w:t>
            </w:r>
            <w:r>
              <w:rPr>
                <w:rFonts w:hint="eastAsia"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配套建设布袋除尘器，热风炉</w:t>
            </w:r>
            <w:r>
              <w:rPr>
                <w:rFonts w:hint="default" w:ascii="Times New Roman" w:hAnsi="Times New Roman" w:eastAsia="宋体" w:cs="Times New Roman"/>
                <w:bCs/>
                <w:color w:val="auto"/>
                <w:kern w:val="0"/>
                <w:sz w:val="21"/>
                <w:szCs w:val="21"/>
                <w:highlight w:val="none"/>
              </w:rPr>
              <w:t>烟气</w:t>
            </w:r>
            <w:r>
              <w:rPr>
                <w:rFonts w:hint="eastAsia" w:ascii="Times New Roman" w:hAnsi="Times New Roman" w:eastAsia="宋体" w:cs="Times New Roman"/>
                <w:b w:val="0"/>
                <w:bCs w:val="0"/>
                <w:color w:val="auto"/>
                <w:sz w:val="21"/>
                <w:szCs w:val="21"/>
                <w:highlight w:val="none"/>
                <w:lang w:val="en-US" w:eastAsia="zh-CN"/>
              </w:rPr>
              <w:t>通过</w:t>
            </w:r>
            <w:r>
              <w:rPr>
                <w:rFonts w:hint="default" w:ascii="Times New Roman" w:hAnsi="Times New Roman" w:eastAsia="宋体" w:cs="Times New Roman"/>
                <w:bCs/>
                <w:color w:val="auto"/>
                <w:kern w:val="0"/>
                <w:sz w:val="21"/>
                <w:szCs w:val="21"/>
                <w:highlight w:val="none"/>
              </w:rPr>
              <w:t>布袋除尘器处理后经</w:t>
            </w:r>
            <w:r>
              <w:rPr>
                <w:rFonts w:hint="eastAsia" w:cs="Times New Roman"/>
                <w:bCs/>
                <w:color w:val="auto"/>
                <w:kern w:val="0"/>
                <w:sz w:val="21"/>
                <w:szCs w:val="21"/>
                <w:highlight w:val="none"/>
                <w:lang w:val="en-US" w:eastAsia="zh-CN"/>
              </w:rPr>
              <w:t>15</w:t>
            </w:r>
            <w:r>
              <w:rPr>
                <w:rFonts w:hint="default" w:ascii="Times New Roman" w:hAnsi="Times New Roman" w:eastAsia="宋体" w:cs="Times New Roman"/>
                <w:bCs/>
                <w:color w:val="auto"/>
                <w:kern w:val="0"/>
                <w:sz w:val="21"/>
                <w:szCs w:val="21"/>
                <w:highlight w:val="none"/>
              </w:rPr>
              <w:t>m高</w:t>
            </w:r>
            <w:r>
              <w:rPr>
                <w:rFonts w:hint="eastAsia" w:cs="Times New Roman"/>
                <w:color w:val="auto"/>
                <w:sz w:val="21"/>
                <w:szCs w:val="21"/>
                <w:highlight w:val="none"/>
                <w:lang w:eastAsia="zh-CN"/>
              </w:rPr>
              <w:t>烟囱</w:t>
            </w:r>
            <w:r>
              <w:rPr>
                <w:rFonts w:hint="default" w:ascii="Times New Roman" w:hAnsi="Times New Roman" w:eastAsia="宋体" w:cs="Times New Roman"/>
                <w:bCs/>
                <w:color w:val="auto"/>
                <w:kern w:val="0"/>
                <w:sz w:val="21"/>
                <w:szCs w:val="21"/>
                <w:highlight w:val="none"/>
              </w:rPr>
              <w:t>排放，</w:t>
            </w:r>
            <w:r>
              <w:rPr>
                <w:rFonts w:hint="eastAsia" w:cs="Times New Roman"/>
                <w:bCs/>
                <w:color w:val="auto"/>
                <w:kern w:val="0"/>
                <w:sz w:val="21"/>
                <w:szCs w:val="21"/>
                <w:highlight w:val="none"/>
                <w:lang w:eastAsia="zh-CN"/>
              </w:rPr>
              <w:t>颗粒物</w:t>
            </w:r>
            <w:r>
              <w:rPr>
                <w:rFonts w:hint="default" w:ascii="Times New Roman" w:hAnsi="Times New Roman" w:eastAsia="宋体" w:cs="Times New Roman"/>
                <w:bCs/>
                <w:color w:val="auto"/>
                <w:kern w:val="0"/>
                <w:sz w:val="21"/>
                <w:szCs w:val="21"/>
                <w:highlight w:val="none"/>
              </w:rPr>
              <w:t>排放浓度、烟气黑度满足《工业炉窑大气污染物排放标准》（GB9078-1996）表2</w:t>
            </w:r>
            <w:r>
              <w:rPr>
                <w:rFonts w:hint="default" w:ascii="Times New Roman" w:hAnsi="Times New Roman" w:eastAsia="宋体" w:cs="Times New Roman"/>
                <w:bCs/>
                <w:color w:val="auto"/>
                <w:kern w:val="0"/>
                <w:sz w:val="21"/>
                <w:szCs w:val="21"/>
                <w:highlight w:val="none"/>
                <w:lang w:eastAsia="zh-CN"/>
              </w:rPr>
              <w:t>中</w:t>
            </w:r>
            <w:r>
              <w:rPr>
                <w:rFonts w:hint="default" w:ascii="Times New Roman" w:hAnsi="Times New Roman" w:eastAsia="宋体" w:cs="Times New Roman"/>
                <w:bCs/>
                <w:color w:val="auto"/>
                <w:kern w:val="0"/>
                <w:sz w:val="21"/>
                <w:szCs w:val="21"/>
                <w:highlight w:val="none"/>
              </w:rPr>
              <w:t>二级标准，SO</w:t>
            </w:r>
            <w:r>
              <w:rPr>
                <w:rFonts w:hint="default" w:ascii="Times New Roman" w:hAnsi="Times New Roman" w:eastAsia="宋体" w:cs="Times New Roman"/>
                <w:bCs/>
                <w:color w:val="auto"/>
                <w:kern w:val="0"/>
                <w:sz w:val="21"/>
                <w:szCs w:val="21"/>
                <w:highlight w:val="none"/>
                <w:vertAlign w:val="subscript"/>
              </w:rPr>
              <w:t>2</w:t>
            </w:r>
            <w:r>
              <w:rPr>
                <w:rFonts w:hint="default" w:ascii="Times New Roman" w:hAnsi="Times New Roman" w:eastAsia="宋体" w:cs="Times New Roman"/>
                <w:bCs/>
                <w:color w:val="auto"/>
                <w:kern w:val="0"/>
                <w:sz w:val="21"/>
                <w:szCs w:val="21"/>
                <w:highlight w:val="none"/>
              </w:rPr>
              <w:t>排放浓度满足《工业炉窑大气污染物排放标准》（GB9078-1996）表4</w:t>
            </w:r>
            <w:r>
              <w:rPr>
                <w:rFonts w:hint="default" w:ascii="Times New Roman" w:hAnsi="Times New Roman" w:eastAsia="宋体" w:cs="Times New Roman"/>
                <w:bCs/>
                <w:color w:val="auto"/>
                <w:kern w:val="0"/>
                <w:sz w:val="21"/>
                <w:szCs w:val="21"/>
                <w:highlight w:val="none"/>
                <w:lang w:eastAsia="zh-CN"/>
              </w:rPr>
              <w:t>中</w:t>
            </w:r>
            <w:r>
              <w:rPr>
                <w:rFonts w:hint="default" w:ascii="Times New Roman" w:hAnsi="Times New Roman" w:eastAsia="宋体" w:cs="Times New Roman"/>
                <w:bCs/>
                <w:color w:val="auto"/>
                <w:kern w:val="0"/>
                <w:sz w:val="21"/>
                <w:szCs w:val="21"/>
                <w:highlight w:val="none"/>
              </w:rPr>
              <w:t>二级标准。</w:t>
            </w:r>
          </w:p>
          <w:p w14:paraId="3B7437D3">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本项目不属于《产业结构调整指导目录》淘汰类工业炉窑，</w:t>
            </w:r>
            <w:r>
              <w:rPr>
                <w:rFonts w:hint="eastAsia" w:cs="Times New Roman"/>
                <w:color w:val="auto"/>
                <w:sz w:val="21"/>
                <w:szCs w:val="21"/>
                <w:highlight w:val="none"/>
                <w:lang w:val="en-US" w:eastAsia="zh-CN"/>
              </w:rPr>
              <w:t>热风炉炉型为链条炉，使用生物质颗粒燃料，不属于淘汰类中（七)机械-67.燃煤热风炉，不属于限制类“</w:t>
            </w:r>
            <w:r>
              <w:rPr>
                <w:rFonts w:hint="default" w:ascii="Times New Roman" w:hAnsi="Times New Roman" w:eastAsia="宋体" w:cs="Times New Roman"/>
                <w:b w:val="0"/>
                <w:bCs w:val="0"/>
                <w:color w:val="auto"/>
                <w:kern w:val="0"/>
                <w:sz w:val="21"/>
                <w:szCs w:val="21"/>
                <w:highlight w:val="none"/>
                <w:lang w:val="en-US" w:eastAsia="zh-CN" w:bidi="ar"/>
              </w:rPr>
              <w:t>每小时35蒸吨及以下固定炉排式生物质锅炉</w:t>
            </w:r>
            <w:r>
              <w:rPr>
                <w:rFonts w:hint="eastAsia" w:cs="Times New Roman"/>
                <w:b w:val="0"/>
                <w:bCs w:val="0"/>
                <w:color w:val="auto"/>
                <w:kern w:val="0"/>
                <w:sz w:val="21"/>
                <w:szCs w:val="21"/>
                <w:highlight w:val="none"/>
                <w:lang w:val="en-US" w:eastAsia="zh-CN" w:bidi="ar"/>
              </w:rPr>
              <w:t>”</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bCs/>
                <w:color w:val="auto"/>
                <w:kern w:val="0"/>
                <w:sz w:val="21"/>
                <w:szCs w:val="21"/>
                <w:highlight w:val="none"/>
              </w:rPr>
              <w:t>热风炉布置于封闭的</w:t>
            </w:r>
            <w:r>
              <w:rPr>
                <w:rFonts w:hint="eastAsia" w:cs="Times New Roman"/>
                <w:bCs/>
                <w:color w:val="auto"/>
                <w:kern w:val="0"/>
                <w:sz w:val="21"/>
                <w:szCs w:val="21"/>
                <w:highlight w:val="none"/>
                <w:lang w:val="en-US" w:eastAsia="zh-CN"/>
              </w:rPr>
              <w:t>热风炉房</w:t>
            </w:r>
            <w:r>
              <w:rPr>
                <w:rFonts w:hint="default" w:ascii="Times New Roman" w:hAnsi="Times New Roman" w:eastAsia="宋体" w:cs="Times New Roman"/>
                <w:bCs/>
                <w:color w:val="auto"/>
                <w:kern w:val="0"/>
                <w:sz w:val="21"/>
                <w:szCs w:val="21"/>
                <w:highlight w:val="none"/>
              </w:rPr>
              <w:t>内，</w:t>
            </w:r>
            <w:r>
              <w:rPr>
                <w:rFonts w:hint="eastAsia" w:cs="Times New Roman"/>
                <w:bCs/>
                <w:color w:val="auto"/>
                <w:kern w:val="0"/>
                <w:sz w:val="21"/>
                <w:szCs w:val="21"/>
                <w:highlight w:val="none"/>
                <w:lang w:val="en-US" w:eastAsia="zh-CN"/>
              </w:rPr>
              <w:t>热风炉房</w:t>
            </w:r>
            <w:r>
              <w:rPr>
                <w:rFonts w:hint="default" w:ascii="Times New Roman" w:hAnsi="Times New Roman" w:eastAsia="宋体" w:cs="Times New Roman"/>
                <w:bCs/>
                <w:color w:val="auto"/>
                <w:kern w:val="0"/>
                <w:sz w:val="21"/>
                <w:szCs w:val="21"/>
                <w:highlight w:val="none"/>
              </w:rPr>
              <w:t>内</w:t>
            </w:r>
            <w:r>
              <w:rPr>
                <w:rFonts w:hint="eastAsia" w:cs="Times New Roman"/>
                <w:bCs/>
                <w:color w:val="auto"/>
                <w:kern w:val="0"/>
                <w:sz w:val="21"/>
                <w:szCs w:val="21"/>
                <w:highlight w:val="none"/>
                <w:lang w:eastAsia="zh-CN"/>
              </w:rPr>
              <w:t>设置密闭式灰渣间、燃料间</w:t>
            </w:r>
            <w:r>
              <w:rPr>
                <w:rFonts w:hint="default" w:ascii="Times New Roman" w:hAnsi="Times New Roman" w:eastAsia="宋体" w:cs="Times New Roman"/>
                <w:bCs/>
                <w:color w:val="auto"/>
                <w:kern w:val="0"/>
                <w:sz w:val="21"/>
                <w:szCs w:val="21"/>
                <w:highlight w:val="none"/>
              </w:rPr>
              <w:t>，控制物料储存及输送的无组织排放。本项目</w:t>
            </w:r>
            <w:r>
              <w:rPr>
                <w:rFonts w:hint="default" w:ascii="Times New Roman" w:hAnsi="Times New Roman" w:eastAsia="宋体" w:cs="Times New Roman"/>
                <w:bCs/>
                <w:color w:val="auto"/>
                <w:kern w:val="0"/>
                <w:sz w:val="21"/>
                <w:szCs w:val="21"/>
                <w:highlight w:val="none"/>
                <w:lang w:eastAsia="zh-CN"/>
              </w:rPr>
              <w:t>生物质</w:t>
            </w:r>
            <w:r>
              <w:rPr>
                <w:rFonts w:hint="default" w:ascii="Times New Roman" w:hAnsi="Times New Roman" w:eastAsia="宋体" w:cs="Times New Roman"/>
                <w:bCs/>
                <w:color w:val="auto"/>
                <w:kern w:val="0"/>
                <w:sz w:val="21"/>
                <w:szCs w:val="21"/>
                <w:highlight w:val="none"/>
              </w:rPr>
              <w:t>热风炉产生的烟气，经过环保治理设施污染物达标排放，对周围环境及敏感目标影响较小。</w:t>
            </w:r>
            <w:r>
              <w:rPr>
                <w:rFonts w:hint="default" w:ascii="Times New Roman" w:hAnsi="Times New Roman" w:eastAsia="宋体" w:cs="Times New Roman"/>
                <w:color w:val="auto"/>
                <w:sz w:val="21"/>
                <w:szCs w:val="21"/>
                <w:highlight w:val="none"/>
              </w:rPr>
              <w:t>本项目作为农村特有的为粮食安全提供的烘干服务企业，结合黑龙江省现有粮食烘干企业的情况，目前均未要求粮食烘干企业进驻工业园区的要求。</w:t>
            </w:r>
          </w:p>
          <w:p w14:paraId="0DC5D37D">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rPr>
              <w:t>本项目建设符合《黑龙江省工业炉窑大气污染综合治理方案》（黑环发</w:t>
            </w:r>
            <w:r>
              <w:rPr>
                <w:rFonts w:hint="eastAsia" w:cs="Times New Roman"/>
                <w:bCs/>
                <w:color w:val="auto"/>
                <w:kern w:val="0"/>
                <w:sz w:val="21"/>
                <w:szCs w:val="21"/>
                <w:highlight w:val="none"/>
                <w:lang w:eastAsia="zh-CN"/>
              </w:rPr>
              <w:t>〔2019〕144号</w:t>
            </w:r>
            <w:r>
              <w:rPr>
                <w:rFonts w:hint="default" w:ascii="Times New Roman" w:hAnsi="Times New Roman" w:eastAsia="宋体" w:cs="Times New Roman"/>
                <w:bCs/>
                <w:color w:val="auto"/>
                <w:kern w:val="0"/>
                <w:sz w:val="21"/>
                <w:szCs w:val="21"/>
                <w:highlight w:val="none"/>
              </w:rPr>
              <w:t>）相关要求。</w:t>
            </w:r>
          </w:p>
          <w:p w14:paraId="31F22B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color w:val="auto"/>
                <w:szCs w:val="21"/>
                <w:highlight w:val="none"/>
              </w:rPr>
            </w:pPr>
            <w:r>
              <w:rPr>
                <w:rFonts w:hint="default" w:ascii="Times New Roman" w:hAnsi="Times New Roman" w:eastAsia="宋体" w:cs="Times New Roman"/>
                <w:b/>
                <w:bCs/>
                <w:color w:val="auto"/>
                <w:kern w:val="0"/>
                <w:sz w:val="21"/>
                <w:szCs w:val="21"/>
                <w:highlight w:val="none"/>
                <w:lang w:val="en-US" w:eastAsia="zh-CN"/>
              </w:rPr>
              <w:t>5、</w:t>
            </w:r>
            <w:r>
              <w:rPr>
                <w:rFonts w:hint="default" w:ascii="Times New Roman" w:hAnsi="Times New Roman" w:eastAsia="宋体" w:cs="Times New Roman"/>
                <w:b/>
                <w:color w:val="auto"/>
                <w:kern w:val="0"/>
                <w:sz w:val="21"/>
                <w:szCs w:val="21"/>
                <w:highlight w:val="none"/>
              </w:rPr>
              <w:t>与</w:t>
            </w:r>
            <w:r>
              <w:rPr>
                <w:rFonts w:hint="default"/>
                <w:b/>
                <w:bCs/>
                <w:color w:val="auto"/>
                <w:szCs w:val="21"/>
                <w:highlight w:val="none"/>
              </w:rPr>
              <w:t>《黑龙江省大气污染防治条例》（2018年修订）符合性分析</w:t>
            </w:r>
          </w:p>
          <w:p w14:paraId="5ECCA4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Cs w:val="21"/>
                <w:highlight w:val="none"/>
              </w:rPr>
            </w:pPr>
            <w:r>
              <w:rPr>
                <w:rFonts w:hint="default"/>
                <w:color w:val="auto"/>
                <w:szCs w:val="21"/>
                <w:highlight w:val="none"/>
              </w:rPr>
              <w:t>根据条</w:t>
            </w:r>
            <w:r>
              <w:rPr>
                <w:rFonts w:hint="eastAsia" w:ascii="宋体" w:hAnsi="宋体" w:eastAsia="宋体" w:cs="宋体"/>
                <w:color w:val="auto"/>
                <w:szCs w:val="21"/>
                <w:highlight w:val="none"/>
              </w:rPr>
              <w:t>例“第三十三条设区的市级城市建成区内，禁止新建额定蒸发量低于每小时二十吨或者额定功率低于十四兆瓦的燃煤锅炉；已经建成的额定蒸发量每小时十吨以下或者额定功率七兆瓦以下的燃煤锅炉，应当在国家规定的期限内淘汰”。</w:t>
            </w:r>
          </w:p>
          <w:p w14:paraId="4575D9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kern w:val="0"/>
                <w:sz w:val="21"/>
                <w:szCs w:val="21"/>
                <w:highlight w:val="none"/>
              </w:rPr>
              <w:t>本项目</w:t>
            </w:r>
            <w:r>
              <w:rPr>
                <w:rFonts w:hint="eastAsia" w:cs="Times New Roman"/>
                <w:bCs/>
                <w:color w:val="auto"/>
                <w:kern w:val="0"/>
                <w:sz w:val="21"/>
                <w:szCs w:val="21"/>
                <w:highlight w:val="none"/>
                <w:lang w:val="en-US" w:eastAsia="zh-CN"/>
              </w:rPr>
              <w:t>热风炉使用生物质成型燃料</w:t>
            </w:r>
            <w:r>
              <w:rPr>
                <w:rFonts w:hint="eastAsia" w:cs="Times New Roman"/>
                <w:bCs/>
                <w:color w:val="auto"/>
                <w:kern w:val="0"/>
                <w:sz w:val="21"/>
                <w:szCs w:val="21"/>
                <w:highlight w:val="none"/>
                <w:lang w:eastAsia="zh-CN"/>
              </w:rPr>
              <w:t>，</w:t>
            </w:r>
            <w:r>
              <w:rPr>
                <w:rFonts w:hint="eastAsia" w:cs="Times New Roman"/>
                <w:color w:val="auto"/>
                <w:sz w:val="21"/>
                <w:szCs w:val="21"/>
                <w:highlight w:val="none"/>
                <w:lang w:val="en-US" w:eastAsia="zh-CN"/>
              </w:rPr>
              <w:t>为粮食烘干提供热源，配套设置布袋除尘器，燃料为生物质成型燃料</w:t>
            </w:r>
            <w:r>
              <w:rPr>
                <w:rFonts w:hint="eastAsia" w:ascii="宋体" w:hAnsi="宋体" w:cs="宋体"/>
                <w:color w:val="auto"/>
                <w:szCs w:val="21"/>
                <w:highlight w:val="none"/>
                <w:lang w:eastAsia="zh-CN"/>
              </w:rPr>
              <w:t>，因此，</w:t>
            </w:r>
            <w:r>
              <w:rPr>
                <w:rFonts w:hint="default"/>
                <w:color w:val="auto"/>
                <w:szCs w:val="21"/>
                <w:highlight w:val="none"/>
              </w:rPr>
              <w:t>本项目建设符合《黑龙江省大气污染防治条例》（2018年修订）的环境管理要求。</w:t>
            </w:r>
          </w:p>
          <w:p w14:paraId="71D95D07">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22" w:firstLineChars="200"/>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color w:val="auto"/>
                <w:kern w:val="0"/>
                <w:sz w:val="21"/>
                <w:szCs w:val="21"/>
                <w:highlight w:val="none"/>
              </w:rPr>
              <w:t>与</w:t>
            </w:r>
            <w:r>
              <w:rPr>
                <w:rFonts w:hint="default" w:ascii="Times New Roman" w:hAnsi="Times New Roman" w:eastAsia="宋体" w:cs="Times New Roman"/>
                <w:b/>
                <w:color w:val="auto"/>
                <w:kern w:val="0"/>
                <w:sz w:val="21"/>
                <w:szCs w:val="21"/>
                <w:highlight w:val="none"/>
                <w:lang w:val="en-US" w:eastAsia="zh-CN"/>
              </w:rPr>
              <w:t>《环境空气细颗粒物污染综合防治技术政策》</w:t>
            </w:r>
            <w:r>
              <w:rPr>
                <w:rFonts w:hint="default" w:ascii="Times New Roman" w:hAnsi="Times New Roman" w:eastAsia="宋体" w:cs="Times New Roman"/>
                <w:b/>
                <w:color w:val="auto"/>
                <w:kern w:val="0"/>
                <w:sz w:val="21"/>
                <w:szCs w:val="21"/>
                <w:highlight w:val="none"/>
              </w:rPr>
              <w:t>符合性分析</w:t>
            </w:r>
          </w:p>
          <w:p w14:paraId="7A6BDD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根据《环境空气细颗粒物污染综合防治技术政策》，</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三、防治工业污染，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w:t>
            </w:r>
            <w:r>
              <w:rPr>
                <w:rFonts w:hint="eastAsia"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细颗粒物污染防治技术简要说明中，一、工业污染防治技术，（一）有组织排放颗粒物（烟、粉尘）污染防治技术，包括袋式除尘、湿式电除尘技术、电袋复合除尘技术。（二）前体污染物（NO、SO</w:t>
            </w:r>
            <w:r>
              <w:rPr>
                <w:rFonts w:hint="default" w:ascii="Times New Roman" w:hAnsi="Times New Roman" w:eastAsia="宋体" w:cs="Times New Roman"/>
                <w:color w:val="auto"/>
                <w:kern w:val="0"/>
                <w:sz w:val="21"/>
                <w:szCs w:val="21"/>
                <w:highlight w:val="none"/>
                <w:vertAlign w:val="subscript"/>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、VOCs、NH</w:t>
            </w:r>
            <w:r>
              <w:rPr>
                <w:rFonts w:hint="default" w:ascii="Times New Roman" w:hAnsi="Times New Roman" w:eastAsia="宋体" w:cs="Times New Roman"/>
                <w:color w:val="auto"/>
                <w:kern w:val="0"/>
                <w:sz w:val="21"/>
                <w:szCs w:val="21"/>
                <w:highlight w:val="none"/>
                <w:vertAlign w:val="subscript"/>
                <w:lang w:val="en-US" w:eastAsia="zh-CN" w:bidi="ar-SA"/>
              </w:rPr>
              <w:t>3</w:t>
            </w:r>
            <w:r>
              <w:rPr>
                <w:rFonts w:hint="default" w:ascii="Times New Roman" w:hAnsi="Times New Roman" w:eastAsia="宋体" w:cs="Times New Roman"/>
                <w:color w:val="auto"/>
                <w:kern w:val="0"/>
                <w:sz w:val="21"/>
                <w:szCs w:val="21"/>
                <w:highlight w:val="none"/>
                <w:lang w:val="en-US" w:eastAsia="zh-CN" w:bidi="ar-SA"/>
              </w:rPr>
              <w:t>等）净化技术，包括各种脱硫技术、氮氧化物的催化还原技术及烟气脱硝技术、挥发性有机物的燃烧净化与吸附回收技术、氨的水洗涤净化技术。（三）无组织排放颗粒物和前体污染物治理技术，包括适用于大气颗粒物及其前体物污染控制的密闭生产技术、粉状物料堆放场的遮风与抑尘技术</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w:t>
            </w:r>
          </w:p>
          <w:p w14:paraId="64BE61DC">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val="en-US" w:eastAsia="zh-CN"/>
              </w:rPr>
              <w:t>本项目热风炉烟气通过布袋除尘器处理后经</w:t>
            </w:r>
            <w:r>
              <w:rPr>
                <w:rFonts w:hint="eastAsia" w:cs="Times New Roman"/>
                <w:b w:val="0"/>
                <w:bCs w:val="0"/>
                <w:color w:val="auto"/>
                <w:sz w:val="21"/>
                <w:szCs w:val="21"/>
                <w:highlight w:val="none"/>
                <w:lang w:val="en-US" w:eastAsia="zh-CN"/>
              </w:rPr>
              <w:t>15</w:t>
            </w:r>
            <w:r>
              <w:rPr>
                <w:rFonts w:hint="eastAsia" w:ascii="Times New Roman" w:hAnsi="Times New Roman" w:eastAsia="宋体" w:cs="Times New Roman"/>
                <w:b w:val="0"/>
                <w:bCs w:val="0"/>
                <w:color w:val="auto"/>
                <w:sz w:val="21"/>
                <w:szCs w:val="21"/>
                <w:highlight w:val="none"/>
                <w:lang w:val="en-US" w:eastAsia="zh-CN"/>
              </w:rPr>
              <w:t>m</w:t>
            </w:r>
            <w:r>
              <w:rPr>
                <w:rFonts w:hint="eastAsia" w:cs="Times New Roman"/>
                <w:color w:val="auto"/>
                <w:sz w:val="21"/>
                <w:szCs w:val="21"/>
                <w:highlight w:val="none"/>
                <w:lang w:eastAsia="zh-CN"/>
              </w:rPr>
              <w:t>烟囱</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《工业炉窑大气污染物排放标准》（GB9078-1996）中的表4中的二级标准，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《工业炉窑大气污染物排放标准》（GB9078-1996）中的表2中的二级标准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原料烘干</w:t>
            </w:r>
            <w:r>
              <w:rPr>
                <w:rFonts w:hint="default" w:ascii="Times New Roman" w:hAnsi="Times New Roman" w:cs="Times New Roman"/>
                <w:color w:val="auto"/>
                <w:sz w:val="21"/>
                <w:szCs w:val="21"/>
                <w:highlight w:val="none"/>
                <w:lang w:eastAsia="zh-CN"/>
              </w:rPr>
              <w:t>、运输</w:t>
            </w:r>
            <w:r>
              <w:rPr>
                <w:rFonts w:hint="eastAsia" w:cs="Times New Roman"/>
                <w:color w:val="auto"/>
                <w:sz w:val="21"/>
                <w:szCs w:val="21"/>
                <w:highlight w:val="none"/>
                <w:lang w:val="en-US" w:eastAsia="zh-CN"/>
              </w:rPr>
              <w:t>及筛分</w:t>
            </w:r>
            <w:r>
              <w:rPr>
                <w:rFonts w:hint="default" w:ascii="Times New Roman" w:hAnsi="Times New Roman" w:cs="Times New Roman"/>
                <w:color w:val="auto"/>
                <w:sz w:val="21"/>
                <w:szCs w:val="21"/>
                <w:highlight w:val="none"/>
              </w:rPr>
              <w:t>过程会有</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产生，此部分</w:t>
            </w:r>
            <w:r>
              <w:rPr>
                <w:rFonts w:hint="default" w:ascii="Times New Roman" w:hAnsi="Times New Roman" w:cs="Times New Roman"/>
                <w:color w:val="auto"/>
                <w:sz w:val="21"/>
                <w:szCs w:val="21"/>
                <w:highlight w:val="none"/>
                <w:lang w:eastAsia="zh-CN"/>
              </w:rPr>
              <w:t>粉尘</w:t>
            </w:r>
            <w:r>
              <w:rPr>
                <w:rFonts w:hint="default" w:ascii="Times New Roman" w:hAnsi="Times New Roman" w:cs="Times New Roman"/>
                <w:color w:val="auto"/>
                <w:sz w:val="21"/>
                <w:szCs w:val="21"/>
                <w:highlight w:val="none"/>
              </w:rPr>
              <w:t>以无组织的形式排放。装卸工段</w:t>
            </w:r>
            <w:r>
              <w:rPr>
                <w:rFonts w:hint="eastAsia" w:ascii="Times New Roman" w:hAnsi="Times New Roman" w:eastAsia="宋体" w:cs="Times New Roman"/>
                <w:color w:val="auto"/>
                <w:spacing w:val="0"/>
                <w:kern w:val="0"/>
                <w:sz w:val="21"/>
                <w:szCs w:val="21"/>
                <w:highlight w:val="none"/>
                <w:lang w:val="en-US" w:eastAsia="zh-CN" w:bidi="ar"/>
              </w:rPr>
              <w:t>采用</w:t>
            </w:r>
            <w:r>
              <w:rPr>
                <w:rFonts w:hint="default" w:ascii="Times New Roman" w:hAnsi="Times New Roman" w:eastAsia="宋体" w:cs="Times New Roman"/>
                <w:color w:val="auto"/>
                <w:spacing w:val="0"/>
                <w:kern w:val="0"/>
                <w:sz w:val="21"/>
                <w:szCs w:val="21"/>
                <w:highlight w:val="none"/>
                <w:lang w:val="en-US" w:eastAsia="zh-CN" w:bidi="ar"/>
              </w:rPr>
              <w:t>密闭性良好的设备，全封闭输送机、原粮入</w:t>
            </w:r>
            <w:r>
              <w:rPr>
                <w:rFonts w:hint="eastAsia" w:cs="Times New Roman"/>
                <w:color w:val="auto"/>
                <w:spacing w:val="0"/>
                <w:kern w:val="0"/>
                <w:sz w:val="21"/>
                <w:szCs w:val="21"/>
                <w:highlight w:val="none"/>
                <w:lang w:val="en-US" w:eastAsia="zh-CN" w:bidi="ar"/>
              </w:rPr>
              <w:t>仓</w:t>
            </w:r>
            <w:r>
              <w:rPr>
                <w:rFonts w:hint="default" w:ascii="Times New Roman" w:hAnsi="Times New Roman" w:eastAsia="宋体" w:cs="Times New Roman"/>
                <w:color w:val="auto"/>
                <w:spacing w:val="0"/>
                <w:kern w:val="0"/>
                <w:sz w:val="21"/>
                <w:szCs w:val="21"/>
                <w:highlight w:val="none"/>
                <w:lang w:val="en-US" w:eastAsia="zh-CN" w:bidi="ar"/>
              </w:rPr>
              <w:t>采取封闭和减小装卸高度</w:t>
            </w:r>
            <w:r>
              <w:rPr>
                <w:rFonts w:hint="default" w:ascii="Times New Roman" w:hAnsi="Times New Roman" w:cs="Times New Roman"/>
                <w:color w:val="auto"/>
                <w:sz w:val="21"/>
                <w:szCs w:val="21"/>
                <w:highlight w:val="none"/>
              </w:rPr>
              <w:t>等降尘措施，运输过程中采用封闭输送</w:t>
            </w:r>
            <w:r>
              <w:rPr>
                <w:rFonts w:hint="eastAsia" w:ascii="Times New Roman" w:hAnsi="Times New Roman" w:cs="Times New Roman"/>
                <w:color w:val="auto"/>
                <w:sz w:val="21"/>
                <w:szCs w:val="21"/>
                <w:highlight w:val="none"/>
                <w:lang w:eastAsia="zh-CN"/>
              </w:rPr>
              <w:t>；清粮采用全密闭筛</w:t>
            </w:r>
            <w:r>
              <w:rPr>
                <w:rFonts w:hint="eastAsia" w:cs="Times New Roman"/>
                <w:color w:val="auto"/>
                <w:sz w:val="21"/>
                <w:szCs w:val="21"/>
                <w:highlight w:val="none"/>
                <w:lang w:val="en-US" w:eastAsia="zh-CN"/>
              </w:rPr>
              <w:t>分机</w:t>
            </w:r>
            <w:r>
              <w:rPr>
                <w:rFonts w:hint="eastAsia" w:ascii="Times New Roman" w:hAnsi="Times New Roman" w:cs="Times New Roman"/>
                <w:color w:val="auto"/>
                <w:sz w:val="21"/>
                <w:szCs w:val="21"/>
                <w:highlight w:val="none"/>
                <w:lang w:eastAsia="zh-CN"/>
              </w:rPr>
              <w:t>，产生的粉尘经设备</w:t>
            </w:r>
            <w:r>
              <w:rPr>
                <w:rFonts w:hint="eastAsia" w:cs="Times New Roman"/>
                <w:color w:val="auto"/>
                <w:sz w:val="21"/>
                <w:szCs w:val="21"/>
                <w:highlight w:val="none"/>
                <w:lang w:eastAsia="zh-CN"/>
              </w:rPr>
              <w:t>自带滤袋</w:t>
            </w:r>
            <w:r>
              <w:rPr>
                <w:rFonts w:hint="eastAsia" w:ascii="Times New Roman" w:hAnsi="Times New Roman" w:cs="Times New Roman"/>
                <w:color w:val="auto"/>
                <w:sz w:val="21"/>
                <w:szCs w:val="21"/>
                <w:highlight w:val="none"/>
                <w:lang w:eastAsia="zh-CN"/>
              </w:rPr>
              <w:t>处理后</w:t>
            </w:r>
            <w:r>
              <w:rPr>
                <w:rFonts w:hint="eastAsia" w:cs="Times New Roman"/>
                <w:color w:val="auto"/>
                <w:sz w:val="21"/>
                <w:szCs w:val="21"/>
                <w:highlight w:val="none"/>
                <w:lang w:eastAsia="zh-CN"/>
              </w:rPr>
              <w:t>无组织</w:t>
            </w:r>
            <w:r>
              <w:rPr>
                <w:rFonts w:hint="eastAsia" w:ascii="Times New Roman" w:hAnsi="Times New Roman" w:cs="Times New Roman"/>
                <w:color w:val="auto"/>
                <w:sz w:val="21"/>
                <w:szCs w:val="21"/>
                <w:highlight w:val="none"/>
                <w:lang w:eastAsia="zh-CN"/>
              </w:rPr>
              <w:t>排放；烘干塔内部自带重力沉降室，烘干塔底部四周设置防尘挡板，粉尘受挡板</w:t>
            </w:r>
            <w:r>
              <w:rPr>
                <w:rFonts w:hint="eastAsia" w:cs="Times New Roman"/>
                <w:color w:val="auto"/>
                <w:sz w:val="21"/>
                <w:szCs w:val="21"/>
                <w:highlight w:val="none"/>
                <w:lang w:eastAsia="zh-CN"/>
              </w:rPr>
              <w:t>隔</w:t>
            </w:r>
            <w:r>
              <w:rPr>
                <w:rFonts w:hint="eastAsia" w:ascii="Times New Roman" w:hAnsi="Times New Roman" w:cs="Times New Roman"/>
                <w:color w:val="auto"/>
                <w:sz w:val="21"/>
                <w:szCs w:val="21"/>
                <w:highlight w:val="none"/>
                <w:lang w:eastAsia="zh-CN"/>
              </w:rPr>
              <w:t>挡后受重力作用回落到烘干塔底部收尘设施中</w:t>
            </w:r>
            <w:r>
              <w:rPr>
                <w:rFonts w:hint="eastAsia" w:ascii="Times New Roman" w:hAnsi="Times New Roman" w:eastAsia="宋体" w:cs="Times New Roman"/>
                <w:b w:val="0"/>
                <w:bCs w:val="0"/>
                <w:color w:val="auto"/>
                <w:sz w:val="21"/>
                <w:szCs w:val="21"/>
                <w:highlight w:val="none"/>
                <w:lang w:val="en-US" w:eastAsia="zh-CN"/>
              </w:rPr>
              <w:t>。</w:t>
            </w:r>
            <w:r>
              <w:rPr>
                <w:rFonts w:hint="eastAsia" w:cs="Times New Roman"/>
                <w:b w:val="0"/>
                <w:bCs w:val="0"/>
                <w:color w:val="auto"/>
                <w:sz w:val="21"/>
                <w:szCs w:val="21"/>
                <w:highlight w:val="none"/>
                <w:lang w:val="en-US" w:eastAsia="zh-CN"/>
              </w:rPr>
              <w:t>灰渣间、</w:t>
            </w:r>
            <w:r>
              <w:rPr>
                <w:rFonts w:hint="eastAsia" w:cs="Times New Roman"/>
                <w:bCs/>
                <w:color w:val="auto"/>
                <w:kern w:val="0"/>
                <w:sz w:val="21"/>
                <w:szCs w:val="21"/>
                <w:highlight w:val="none"/>
                <w:lang w:val="en-US" w:eastAsia="zh-CN"/>
              </w:rPr>
              <w:t>热风炉房</w:t>
            </w:r>
            <w:r>
              <w:rPr>
                <w:rFonts w:hint="eastAsia" w:ascii="Times New Roman" w:hAnsi="Times New Roman" w:eastAsia="宋体" w:cs="Times New Roman"/>
                <w:b w:val="0"/>
                <w:bCs w:val="0"/>
                <w:color w:val="auto"/>
                <w:sz w:val="21"/>
                <w:szCs w:val="21"/>
                <w:highlight w:val="none"/>
                <w:lang w:val="en-US" w:eastAsia="zh-CN"/>
              </w:rPr>
              <w:t>密闭并定期洒水抑尘，减少粉尘扩散</w:t>
            </w:r>
            <w:r>
              <w:rPr>
                <w:rFonts w:hint="eastAsia"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厂界颗粒物排放浓度符合《大气污染物综合排放标准》（GB16297-1996）表2无组织排放浓度限值要求。</w:t>
            </w:r>
            <w:r>
              <w:rPr>
                <w:rFonts w:hint="default" w:ascii="Times New Roman" w:hAnsi="Times New Roman" w:eastAsia="宋体" w:cs="Times New Roman"/>
                <w:color w:val="auto"/>
                <w:sz w:val="21"/>
                <w:szCs w:val="21"/>
                <w:highlight w:val="none"/>
              </w:rPr>
              <w:t>因此本项目符合《</w:t>
            </w:r>
            <w:r>
              <w:rPr>
                <w:rFonts w:hint="default" w:ascii="Times New Roman" w:hAnsi="Times New Roman" w:eastAsia="宋体" w:cs="Times New Roman"/>
                <w:b w:val="0"/>
                <w:bCs/>
                <w:color w:val="auto"/>
                <w:kern w:val="0"/>
                <w:sz w:val="21"/>
                <w:szCs w:val="21"/>
                <w:highlight w:val="none"/>
                <w:lang w:val="en-US" w:eastAsia="zh-CN"/>
              </w:rPr>
              <w:t>环境空气细颗粒物污染综合防治技术政策</w:t>
            </w:r>
            <w:r>
              <w:rPr>
                <w:rFonts w:hint="default" w:ascii="Times New Roman" w:hAnsi="Times New Roman" w:eastAsia="宋体" w:cs="Times New Roman"/>
                <w:b w:val="0"/>
                <w:bCs/>
                <w:color w:val="auto"/>
                <w:sz w:val="21"/>
                <w:szCs w:val="21"/>
                <w:highlight w:val="none"/>
              </w:rPr>
              <w:t>》</w:t>
            </w:r>
            <w:r>
              <w:rPr>
                <w:rFonts w:hint="eastAsia" w:ascii="Times New Roman" w:hAnsi="Times New Roman" w:eastAsia="宋体" w:cs="Times New Roman"/>
                <w:b w:val="0"/>
                <w:bCs/>
                <w:color w:val="auto"/>
                <w:sz w:val="21"/>
                <w:szCs w:val="21"/>
                <w:highlight w:val="none"/>
                <w:lang w:eastAsia="zh-CN"/>
              </w:rPr>
              <w:t>。</w:t>
            </w:r>
          </w:p>
          <w:p w14:paraId="3E3D674C">
            <w:pPr>
              <w:pStyle w:val="147"/>
              <w:keepNext w:val="0"/>
              <w:keepLines w:val="0"/>
              <w:pageBreakBefore w:val="0"/>
              <w:widowControl w:val="0"/>
              <w:suppressLineNumbers w:val="0"/>
              <w:kinsoku/>
              <w:wordWrap/>
              <w:overflowPunct/>
              <w:topLinePunct w:val="0"/>
              <w:bidi w:val="0"/>
              <w:spacing w:before="0" w:beforeAutospacing="0" w:after="0" w:afterAutospacing="0"/>
              <w:ind w:left="0" w:right="0" w:firstLine="422" w:firstLineChars="200"/>
              <w:textAlignment w:val="auto"/>
              <w:rPr>
                <w:rFonts w:hint="default"/>
                <w:b/>
                <w:bCs/>
                <w:color w:val="auto"/>
                <w:sz w:val="21"/>
                <w:szCs w:val="21"/>
                <w:highlight w:val="none"/>
              </w:rPr>
            </w:pPr>
            <w:r>
              <w:rPr>
                <w:rFonts w:hint="eastAsia"/>
                <w:b/>
                <w:bCs/>
                <w:color w:val="auto"/>
                <w:sz w:val="21"/>
                <w:szCs w:val="21"/>
                <w:highlight w:val="none"/>
                <w:lang w:val="en-US" w:eastAsia="zh-CN"/>
              </w:rPr>
              <w:t>7</w:t>
            </w:r>
            <w:r>
              <w:rPr>
                <w:rFonts w:hint="eastAsia"/>
                <w:b/>
                <w:bCs/>
                <w:color w:val="auto"/>
                <w:sz w:val="21"/>
                <w:szCs w:val="21"/>
                <w:highlight w:val="none"/>
              </w:rPr>
              <w:t>、与《黑龙江省“十四五”生态环境保护规划》符合</w:t>
            </w:r>
            <w:r>
              <w:rPr>
                <w:rFonts w:hint="eastAsia"/>
                <w:b/>
                <w:bCs/>
                <w:color w:val="auto"/>
                <w:sz w:val="21"/>
                <w:szCs w:val="21"/>
                <w:highlight w:val="none"/>
                <w:lang w:eastAsia="zh-CN"/>
              </w:rPr>
              <w:t>性</w:t>
            </w:r>
            <w:r>
              <w:rPr>
                <w:rFonts w:hint="eastAsia"/>
                <w:b/>
                <w:bCs/>
                <w:color w:val="auto"/>
                <w:sz w:val="21"/>
                <w:szCs w:val="21"/>
                <w:highlight w:val="none"/>
              </w:rPr>
              <w:t>分析</w:t>
            </w:r>
          </w:p>
          <w:p w14:paraId="2600385B">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olor w:val="auto"/>
                <w:sz w:val="21"/>
                <w:szCs w:val="21"/>
                <w:highlight w:val="none"/>
              </w:rPr>
              <w:t>本项目</w:t>
            </w:r>
            <w:r>
              <w:rPr>
                <w:rFonts w:hint="eastAsia"/>
                <w:color w:val="auto"/>
                <w:sz w:val="21"/>
                <w:szCs w:val="21"/>
                <w:highlight w:val="none"/>
                <w:lang w:val="en-US" w:eastAsia="zh-CN"/>
              </w:rPr>
              <w:t>新建1台</w:t>
            </w:r>
            <w:r>
              <w:rPr>
                <w:rFonts w:hint="eastAsia" w:cs="Times New Roman"/>
                <w:bCs/>
                <w:color w:val="auto"/>
                <w:kern w:val="0"/>
                <w:sz w:val="21"/>
                <w:szCs w:val="21"/>
                <w:highlight w:val="none"/>
                <w:lang w:val="en-US" w:eastAsia="zh-CN"/>
              </w:rPr>
              <w:t>5t/h燃生物质热风炉，配套建设布袋除尘器，热风炉</w:t>
            </w:r>
            <w:r>
              <w:rPr>
                <w:rFonts w:hint="default" w:ascii="Times New Roman" w:hAnsi="Times New Roman" w:eastAsia="宋体" w:cs="Times New Roman"/>
                <w:bCs/>
                <w:color w:val="auto"/>
                <w:kern w:val="0"/>
                <w:sz w:val="21"/>
                <w:szCs w:val="21"/>
                <w:highlight w:val="none"/>
              </w:rPr>
              <w:t>烟气</w:t>
            </w:r>
            <w:r>
              <w:rPr>
                <w:rFonts w:hint="eastAsia" w:ascii="Times New Roman" w:hAnsi="Times New Roman" w:eastAsia="宋体" w:cs="Times New Roman"/>
                <w:b w:val="0"/>
                <w:bCs w:val="0"/>
                <w:color w:val="auto"/>
                <w:sz w:val="21"/>
                <w:szCs w:val="21"/>
                <w:highlight w:val="none"/>
                <w:lang w:val="en-US" w:eastAsia="zh-CN"/>
              </w:rPr>
              <w:t>通过</w:t>
            </w:r>
            <w:r>
              <w:rPr>
                <w:rFonts w:hint="default" w:ascii="Times New Roman" w:hAnsi="Times New Roman" w:eastAsia="宋体" w:cs="Times New Roman"/>
                <w:bCs/>
                <w:color w:val="auto"/>
                <w:kern w:val="0"/>
                <w:sz w:val="21"/>
                <w:szCs w:val="21"/>
                <w:highlight w:val="none"/>
              </w:rPr>
              <w:t>布袋除尘器处理后经</w:t>
            </w:r>
            <w:r>
              <w:rPr>
                <w:rFonts w:hint="default" w:ascii="Times New Roman" w:hAnsi="Times New Roman" w:eastAsia="宋体" w:cs="Times New Roman"/>
                <w:bCs/>
                <w:color w:val="auto"/>
                <w:kern w:val="0"/>
                <w:sz w:val="21"/>
                <w:szCs w:val="21"/>
                <w:highlight w:val="none"/>
                <w:lang w:eastAsia="zh-CN"/>
              </w:rPr>
              <w:t>一</w:t>
            </w:r>
            <w:r>
              <w:rPr>
                <w:rFonts w:hint="default" w:ascii="Times New Roman" w:hAnsi="Times New Roman" w:eastAsia="宋体" w:cs="Times New Roman"/>
                <w:bCs/>
                <w:color w:val="auto"/>
                <w:kern w:val="0"/>
                <w:sz w:val="21"/>
                <w:szCs w:val="21"/>
                <w:highlight w:val="none"/>
              </w:rPr>
              <w:t>根</w:t>
            </w:r>
            <w:r>
              <w:rPr>
                <w:rFonts w:hint="eastAsia" w:cs="Times New Roman"/>
                <w:bCs/>
                <w:color w:val="auto"/>
                <w:kern w:val="0"/>
                <w:sz w:val="21"/>
                <w:szCs w:val="21"/>
                <w:highlight w:val="none"/>
                <w:lang w:val="en-US" w:eastAsia="zh-CN"/>
              </w:rPr>
              <w:t>15</w:t>
            </w:r>
            <w:r>
              <w:rPr>
                <w:rFonts w:hint="default" w:ascii="Times New Roman" w:hAnsi="Times New Roman" w:eastAsia="宋体" w:cs="Times New Roman"/>
                <w:bCs/>
                <w:color w:val="auto"/>
                <w:kern w:val="0"/>
                <w:sz w:val="21"/>
                <w:szCs w:val="21"/>
                <w:highlight w:val="none"/>
              </w:rPr>
              <w:t>m高</w:t>
            </w:r>
            <w:r>
              <w:rPr>
                <w:rFonts w:hint="eastAsia" w:cs="Times New Roman"/>
                <w:color w:val="auto"/>
                <w:sz w:val="21"/>
                <w:szCs w:val="21"/>
                <w:highlight w:val="none"/>
                <w:lang w:eastAsia="zh-CN"/>
              </w:rPr>
              <w:t>烟囱</w:t>
            </w:r>
            <w:r>
              <w:rPr>
                <w:rFonts w:hint="default" w:ascii="Times New Roman" w:hAnsi="Times New Roman" w:eastAsia="宋体" w:cs="Times New Roman"/>
                <w:bCs/>
                <w:color w:val="auto"/>
                <w:kern w:val="0"/>
                <w:sz w:val="21"/>
                <w:szCs w:val="21"/>
                <w:highlight w:val="none"/>
              </w:rPr>
              <w:t>排放</w:t>
            </w:r>
            <w:r>
              <w:rPr>
                <w:rFonts w:hint="eastAsia"/>
                <w:color w:val="auto"/>
                <w:sz w:val="21"/>
                <w:szCs w:val="21"/>
                <w:highlight w:val="none"/>
              </w:rPr>
              <w:t>，不涉及燃煤燃料使用，可以达标排放，属于可行技术，确保污染物稳定达标排放；运营期</w:t>
            </w:r>
            <w:r>
              <w:rPr>
                <w:rFonts w:hint="default" w:ascii="Times New Roman" w:hAnsi="Times New Roman" w:eastAsia="宋体" w:cs="Times New Roman"/>
                <w:bCs/>
                <w:color w:val="auto"/>
                <w:sz w:val="21"/>
                <w:szCs w:val="21"/>
                <w:highlight w:val="none"/>
                <w:lang w:val="en-US" w:eastAsia="zh-CN"/>
              </w:rPr>
              <w:t>无生产废水</w:t>
            </w:r>
            <w:r>
              <w:rPr>
                <w:rFonts w:hint="eastAsia" w:ascii="Times New Roman" w:hAnsi="Times New Roman" w:eastAsia="宋体" w:cs="Times New Roman"/>
                <w:bCs/>
                <w:color w:val="auto"/>
                <w:sz w:val="21"/>
                <w:szCs w:val="21"/>
                <w:highlight w:val="none"/>
                <w:lang w:val="en-US" w:eastAsia="zh-CN"/>
              </w:rPr>
              <w:t>，</w:t>
            </w:r>
            <w:r>
              <w:rPr>
                <w:rFonts w:hint="eastAsia" w:cs="Times New Roman"/>
                <w:bCs/>
                <w:color w:val="auto"/>
                <w:sz w:val="21"/>
                <w:szCs w:val="21"/>
                <w:highlight w:val="none"/>
                <w:lang w:val="en-US" w:eastAsia="zh-CN"/>
              </w:rPr>
              <w:t>生活污水排入防渗旱厕，定期清掏外运堆肥</w:t>
            </w:r>
            <w:r>
              <w:rPr>
                <w:rFonts w:hint="eastAsia"/>
                <w:bCs/>
                <w:color w:val="auto"/>
                <w:szCs w:val="21"/>
              </w:rPr>
              <w:t>。</w:t>
            </w:r>
            <w:r>
              <w:rPr>
                <w:rFonts w:hint="eastAsia"/>
                <w:color w:val="auto"/>
                <w:sz w:val="21"/>
                <w:szCs w:val="21"/>
                <w:highlight w:val="none"/>
              </w:rPr>
              <w:t>不属于《黑龙江省“十四五”生态环境保护规划》中“重点行业大气污染治理工程、水生态环境提升重大工程、土壤和地下水污染治理重大工程”中要求内容，项目建设符合《黑龙江省“十四五”生态环境保护规划》要求。</w:t>
            </w:r>
          </w:p>
          <w:p w14:paraId="5DDDEA40">
            <w:pPr>
              <w:keepNext w:val="0"/>
              <w:keepLines w:val="0"/>
              <w:pageBreakBefore w:val="0"/>
              <w:suppressLineNumbers w:val="0"/>
              <w:kinsoku/>
              <w:wordWrap/>
              <w:overflowPunct/>
              <w:topLinePunct w:val="0"/>
              <w:bidi w:val="0"/>
              <w:spacing w:before="0" w:beforeAutospacing="0" w:after="0" w:afterAutospacing="0" w:line="360" w:lineRule="auto"/>
              <w:ind w:left="0" w:right="0" w:firstLine="422"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bCs w:val="0"/>
                <w:color w:val="auto"/>
                <w:sz w:val="21"/>
                <w:szCs w:val="21"/>
                <w:highlight w:val="none"/>
                <w:lang w:val="en-US" w:eastAsia="zh-CN"/>
              </w:rPr>
              <w:t>8</w:t>
            </w:r>
            <w:r>
              <w:rPr>
                <w:rFonts w:hint="eastAsia" w:ascii="Times New Roman" w:hAnsi="Times New Roman" w:eastAsia="宋体" w:cs="Times New Roman"/>
                <w:b/>
                <w:bCs w:val="0"/>
                <w:color w:val="auto"/>
                <w:sz w:val="21"/>
                <w:szCs w:val="21"/>
                <w:highlight w:val="none"/>
                <w:lang w:eastAsia="zh-CN"/>
              </w:rPr>
              <w:t>、与《工业炉窑大气污染综合治理方案》（环大气</w:t>
            </w:r>
            <w:r>
              <w:rPr>
                <w:rFonts w:hint="eastAsia" w:cs="Times New Roman"/>
                <w:b/>
                <w:bCs w:val="0"/>
                <w:color w:val="auto"/>
                <w:sz w:val="21"/>
                <w:szCs w:val="21"/>
                <w:highlight w:val="none"/>
                <w:lang w:eastAsia="zh-CN"/>
              </w:rPr>
              <w:t>〔2019〕56号</w:t>
            </w:r>
            <w:r>
              <w:rPr>
                <w:rFonts w:hint="eastAsia" w:ascii="Times New Roman" w:hAnsi="Times New Roman" w:eastAsia="宋体" w:cs="Times New Roman"/>
                <w:b/>
                <w:bCs w:val="0"/>
                <w:color w:val="auto"/>
                <w:sz w:val="21"/>
                <w:szCs w:val="21"/>
                <w:highlight w:val="none"/>
                <w:lang w:eastAsia="zh-CN"/>
              </w:rPr>
              <w:t>）符合性分析</w:t>
            </w:r>
          </w:p>
          <w:p w14:paraId="01006E76">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根据</w:t>
            </w:r>
            <w:r>
              <w:rPr>
                <w:rFonts w:hint="eastAsia" w:ascii="Times New Roman" w:hAnsi="Times New Roman" w:eastAsia="宋体" w:cs="Times New Roman"/>
                <w:b w:val="0"/>
                <w:bCs/>
                <w:color w:val="auto"/>
                <w:sz w:val="21"/>
                <w:szCs w:val="21"/>
                <w:highlight w:val="none"/>
                <w:lang w:eastAsia="zh-CN"/>
              </w:rPr>
              <w:t>《工业炉窑大气污染综合治理方案》（环大气</w:t>
            </w:r>
            <w:r>
              <w:rPr>
                <w:rFonts w:hint="eastAsia" w:cs="Times New Roman"/>
                <w:b w:val="0"/>
                <w:bCs/>
                <w:color w:val="auto"/>
                <w:sz w:val="21"/>
                <w:szCs w:val="21"/>
                <w:highlight w:val="none"/>
                <w:lang w:eastAsia="zh-CN"/>
              </w:rPr>
              <w:t>〔2019〕56号</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加大产业结构调整力度。严格建设项目环境准入。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w:t>
            </w:r>
            <w:r>
              <w:rPr>
                <w:rFonts w:hint="eastAsia" w:cs="Times New Roman"/>
                <w:b w:val="0"/>
                <w:bCs/>
                <w:color w:val="auto"/>
                <w:sz w:val="21"/>
                <w:szCs w:val="21"/>
                <w:highlight w:val="none"/>
                <w:lang w:eastAsia="zh-CN"/>
              </w:rPr>
              <w:t>”</w:t>
            </w:r>
          </w:p>
          <w:p w14:paraId="173F2684">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实施污染深度治理。推进工业炉窑全面达标排放。已有行业排放标准的工业炉窑，严格执行行业排放标准相关规定，配套建设高效脱硫脱硝除尘设施，确保稳定达标排放。已制定更严格地方排放标准的，按地方标准执行。重点区域钢铁、水泥、焦化、石化、化工、有色等行业，二氧化硫、氮氧化物、颗粒物、挥发性有机物（VOCs）排放全面执行大气污染物特别排放限值。已核发排污许可证的，应严格执行许可要求。</w:t>
            </w:r>
            <w:r>
              <w:rPr>
                <w:rFonts w:hint="eastAsia" w:cs="Times New Roman"/>
                <w:b w:val="0"/>
                <w:bCs/>
                <w:color w:val="auto"/>
                <w:sz w:val="21"/>
                <w:szCs w:val="21"/>
                <w:highlight w:val="none"/>
                <w:lang w:eastAsia="zh-CN"/>
              </w:rPr>
              <w:t>”</w:t>
            </w:r>
          </w:p>
          <w:p w14:paraId="46579579">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Cs/>
                <w:color w:val="auto"/>
                <w:kern w:val="0"/>
                <w:sz w:val="21"/>
                <w:szCs w:val="21"/>
                <w:highlight w:val="none"/>
              </w:rPr>
              <w:t>本项目</w:t>
            </w:r>
            <w:r>
              <w:rPr>
                <w:rFonts w:hint="eastAsia" w:cs="Times New Roman"/>
                <w:bCs/>
                <w:color w:val="auto"/>
                <w:kern w:val="0"/>
                <w:sz w:val="21"/>
                <w:szCs w:val="21"/>
                <w:highlight w:val="none"/>
                <w:lang w:val="en-US" w:eastAsia="zh-CN"/>
              </w:rPr>
              <w:t>热风炉使用生物质成型燃料</w:t>
            </w:r>
            <w:r>
              <w:rPr>
                <w:rFonts w:hint="eastAsia" w:cs="Times New Roman"/>
                <w:bCs/>
                <w:color w:val="auto"/>
                <w:kern w:val="0"/>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用于粮食烘干，本项目厂址位于</w:t>
            </w:r>
            <w:r>
              <w:rPr>
                <w:rFonts w:hint="eastAsia"/>
                <w:color w:val="auto"/>
                <w:highlight w:val="none"/>
                <w:lang w:val="en-US" w:eastAsia="zh-CN"/>
              </w:rPr>
              <w:t>黑龙江省鸡西市鸡东县东海镇发展村五组</w:t>
            </w:r>
            <w:r>
              <w:rPr>
                <w:rFonts w:hint="eastAsia" w:ascii="Times New Roman" w:hAnsi="Times New Roman" w:eastAsia="宋体" w:cs="Times New Roman"/>
                <w:b w:val="0"/>
                <w:bCs/>
                <w:color w:val="auto"/>
                <w:sz w:val="21"/>
                <w:szCs w:val="21"/>
                <w:highlight w:val="none"/>
                <w:lang w:eastAsia="zh-CN"/>
              </w:rPr>
              <w:t>，不属于《工业炉窑大气污染综合治理方案》重点区域，也不属于其附件4中的重点行业工业炉窑。</w:t>
            </w:r>
          </w:p>
          <w:p w14:paraId="3F439637">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eastAsia="宋体" w:cs="Times New Roman"/>
                <w:b w:val="0"/>
                <w:bCs/>
                <w:color w:val="auto"/>
                <w:sz w:val="21"/>
                <w:szCs w:val="21"/>
                <w:highlight w:val="none"/>
                <w:lang w:eastAsia="zh-CN"/>
              </w:rPr>
              <w:t>本项目生物质热风炉烟气经布袋除尘器处理后经</w:t>
            </w:r>
            <w:r>
              <w:rPr>
                <w:rFonts w:hint="eastAsia" w:cs="Times New Roman"/>
                <w:b w:val="0"/>
                <w:bCs/>
                <w:color w:val="auto"/>
                <w:sz w:val="21"/>
                <w:szCs w:val="21"/>
                <w:highlight w:val="none"/>
                <w:lang w:val="en-US" w:eastAsia="zh-CN"/>
              </w:rPr>
              <w:t>15</w:t>
            </w:r>
            <w:r>
              <w:rPr>
                <w:rFonts w:hint="eastAsia" w:ascii="Times New Roman" w:hAnsi="Times New Roman" w:eastAsia="宋体" w:cs="Times New Roman"/>
                <w:b w:val="0"/>
                <w:bCs/>
                <w:color w:val="auto"/>
                <w:sz w:val="21"/>
                <w:szCs w:val="21"/>
                <w:highlight w:val="none"/>
                <w:lang w:eastAsia="zh-CN"/>
              </w:rPr>
              <w:t>m高烟囱排放，</w:t>
            </w:r>
            <w:r>
              <w:rPr>
                <w:rFonts w:hint="eastAsia" w:cs="Times New Roman"/>
                <w:b w:val="0"/>
                <w:bCs/>
                <w:color w:val="auto"/>
                <w:sz w:val="21"/>
                <w:szCs w:val="21"/>
                <w:highlight w:val="none"/>
                <w:lang w:eastAsia="zh-CN"/>
              </w:rPr>
              <w:t>颗粒物</w:t>
            </w:r>
            <w:r>
              <w:rPr>
                <w:rFonts w:hint="eastAsia" w:ascii="Times New Roman" w:hAnsi="Times New Roman" w:eastAsia="宋体" w:cs="Times New Roman"/>
                <w:b w:val="0"/>
                <w:bCs/>
                <w:color w:val="auto"/>
                <w:sz w:val="21"/>
                <w:szCs w:val="21"/>
                <w:highlight w:val="none"/>
                <w:lang w:eastAsia="zh-CN"/>
              </w:rPr>
              <w:t>、烟气黑度排放浓度满足《工业炉窑大气污染物排放标准》（GB9078-1996）表2二级标准，SO</w:t>
            </w:r>
            <w:r>
              <w:rPr>
                <w:rFonts w:hint="eastAsia" w:ascii="Times New Roman" w:hAnsi="Times New Roman" w:eastAsia="宋体" w:cs="Times New Roman"/>
                <w:b w:val="0"/>
                <w:bCs/>
                <w:color w:val="auto"/>
                <w:sz w:val="21"/>
                <w:szCs w:val="21"/>
                <w:highlight w:val="none"/>
                <w:vertAlign w:val="subscript"/>
                <w:lang w:eastAsia="zh-CN"/>
              </w:rPr>
              <w:t>2</w:t>
            </w:r>
            <w:r>
              <w:rPr>
                <w:rFonts w:hint="eastAsia" w:ascii="Times New Roman" w:hAnsi="Times New Roman" w:eastAsia="宋体" w:cs="Times New Roman"/>
                <w:b w:val="0"/>
                <w:bCs/>
                <w:color w:val="auto"/>
                <w:sz w:val="21"/>
                <w:szCs w:val="21"/>
                <w:highlight w:val="none"/>
                <w:lang w:eastAsia="zh-CN"/>
              </w:rPr>
              <w:t>排放浓度满足《工业炉窑大气污染物排放标准》（GB9078-1996）表4二级标准。厂界颗粒物排放满足《大气污染物综合排放标准》（GB16297-1996）标准的要求。因此本项目建设符合《工业炉窑大气污染综合治理方案》（环大气</w:t>
            </w:r>
            <w:r>
              <w:rPr>
                <w:rFonts w:hint="eastAsia" w:cs="Times New Roman"/>
                <w:b w:val="0"/>
                <w:bCs/>
                <w:color w:val="auto"/>
                <w:sz w:val="21"/>
                <w:szCs w:val="21"/>
                <w:highlight w:val="none"/>
                <w:lang w:eastAsia="zh-CN"/>
              </w:rPr>
              <w:t>〔2019〕56号</w:t>
            </w:r>
            <w:r>
              <w:rPr>
                <w:rFonts w:hint="eastAsia" w:ascii="Times New Roman" w:hAnsi="Times New Roman" w:eastAsia="宋体" w:cs="Times New Roman"/>
                <w:b w:val="0"/>
                <w:bCs/>
                <w:color w:val="auto"/>
                <w:sz w:val="21"/>
                <w:szCs w:val="21"/>
                <w:highlight w:val="none"/>
                <w:lang w:eastAsia="zh-CN"/>
              </w:rPr>
              <w:t>）相关要求。</w:t>
            </w:r>
          </w:p>
          <w:p w14:paraId="0560D354">
            <w:pPr>
              <w:keepNext w:val="0"/>
              <w:keepLines w:val="0"/>
              <w:pageBreakBefore w:val="0"/>
              <w:suppressLineNumbers w:val="0"/>
              <w:kinsoku/>
              <w:wordWrap/>
              <w:overflowPunct/>
              <w:topLinePunct w:val="0"/>
              <w:bidi w:val="0"/>
              <w:spacing w:before="0" w:beforeAutospacing="0" w:after="0" w:afterAutospacing="0" w:line="360" w:lineRule="auto"/>
              <w:ind w:left="0" w:right="0" w:firstLine="422" w:firstLineChars="200"/>
              <w:textAlignment w:val="auto"/>
              <w:rPr>
                <w:rFonts w:hint="default" w:ascii="Times New Roman" w:hAnsi="Times New Roman" w:eastAsia="宋体" w:cs="Times New Roman"/>
                <w:b w:val="0"/>
                <w:bCs/>
                <w:color w:val="auto"/>
                <w:sz w:val="21"/>
                <w:szCs w:val="21"/>
                <w:highlight w:val="none"/>
                <w:lang w:val="en-US" w:eastAsia="zh-CN"/>
              </w:rPr>
            </w:pPr>
            <w:r>
              <w:rPr>
                <w:rFonts w:hint="eastAsia" w:cs="Times New Roman"/>
                <w:b/>
                <w:bCs w:val="0"/>
                <w:color w:val="auto"/>
                <w:sz w:val="21"/>
                <w:szCs w:val="21"/>
                <w:highlight w:val="none"/>
                <w:lang w:val="en-US" w:eastAsia="zh-CN"/>
              </w:rPr>
              <w:t>9、与</w:t>
            </w:r>
            <w:r>
              <w:rPr>
                <w:rFonts w:hint="eastAsia" w:ascii="Times New Roman" w:hAnsi="Times New Roman" w:eastAsia="宋体" w:cs="Times New Roman"/>
                <w:b/>
                <w:bCs w:val="0"/>
                <w:color w:val="auto"/>
                <w:sz w:val="21"/>
                <w:szCs w:val="21"/>
                <w:highlight w:val="none"/>
                <w:lang w:eastAsia="zh-CN"/>
              </w:rPr>
              <w:t>《黑龙江省大气污染防治行动计划实施细则》</w:t>
            </w:r>
            <w:r>
              <w:rPr>
                <w:rFonts w:hint="eastAsia" w:cs="Times New Roman"/>
                <w:b/>
                <w:bCs w:val="0"/>
                <w:color w:val="auto"/>
                <w:sz w:val="21"/>
                <w:szCs w:val="21"/>
                <w:highlight w:val="none"/>
                <w:lang w:val="en-US" w:eastAsia="zh-CN"/>
              </w:rPr>
              <w:t>符合性分析</w:t>
            </w:r>
          </w:p>
          <w:p w14:paraId="78E063EF">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根据</w:t>
            </w:r>
            <w:r>
              <w:rPr>
                <w:rFonts w:hint="eastAsia" w:ascii="Times New Roman" w:hAnsi="Times New Roman" w:eastAsia="宋体" w:cs="Times New Roman"/>
                <w:b w:val="0"/>
                <w:bCs/>
                <w:color w:val="auto"/>
                <w:sz w:val="21"/>
                <w:szCs w:val="21"/>
                <w:highlight w:val="none"/>
                <w:lang w:eastAsia="zh-CN"/>
              </w:rPr>
              <w:t>《黑龙江省大气污染防治行动计划实施细则》</w:t>
            </w:r>
            <w:r>
              <w:rPr>
                <w:rFonts w:hint="eastAsia" w:ascii="Times New Roman" w:hAnsi="Times New Roman"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加强对燃煤锅炉及窑炉等治理。规模在20蒸吨及以上的燃煤锅炉要实施烟气脱硫，确保达标排放。循环硫化床锅炉要全部安装静电、布袋等高效除尘设施，实现达标排放，抛煤机和往复炉排等层燃锅炉要使用含硫量低于</w:t>
            </w:r>
            <w:r>
              <w:rPr>
                <w:rFonts w:hint="eastAsia" w:cs="Times New Roman"/>
                <w:b w:val="0"/>
                <w:bCs/>
                <w:color w:val="auto"/>
                <w:sz w:val="21"/>
                <w:szCs w:val="21"/>
                <w:highlight w:val="none"/>
                <w:lang w:val="en-US" w:eastAsia="zh-CN"/>
              </w:rPr>
              <w:t>0.</w:t>
            </w:r>
            <w:r>
              <w:rPr>
                <w:rFonts w:hint="eastAsia" w:ascii="Times New Roman" w:hAnsi="Times New Roman" w:eastAsia="宋体" w:cs="Times New Roman"/>
                <w:b w:val="0"/>
                <w:bCs/>
                <w:color w:val="auto"/>
                <w:sz w:val="21"/>
                <w:szCs w:val="21"/>
                <w:highlight w:val="none"/>
                <w:lang w:eastAsia="zh-CN"/>
              </w:rPr>
              <w:t>5%、灰分小于27%、全水分15%以下、低位发热量不低于4700千卡/公斤的洁净配煤，并综合考虑加大动力煤洗选力度、清洁能源替代等多种措施。冲天炉完成电炉改造，或实施每小时5吨以上热风炉和湿式除尘器改造，实现稳定达标排放。燃煤窑炉完成煤气发生炉、水煤浆燃烧器等技术改造或使用清洁能源，实现达标排放。</w:t>
            </w:r>
            <w:r>
              <w:rPr>
                <w:rFonts w:hint="eastAsia" w:cs="Times New Roman"/>
                <w:b w:val="0"/>
                <w:bCs/>
                <w:color w:val="auto"/>
                <w:sz w:val="21"/>
                <w:szCs w:val="21"/>
                <w:highlight w:val="none"/>
                <w:lang w:eastAsia="zh-CN"/>
              </w:rPr>
              <w:t>”</w:t>
            </w:r>
          </w:p>
          <w:p w14:paraId="03D00C90">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扩大高污染燃料禁燃区范围。到2014年年底，各地要完成高污染燃料禁燃区划定和调整工作，并向社会公布。禁燃区面积不低于建成区面积的80%，并根据城市建成区的发展不断调整划定范围。禁燃区内禁止散烧原煤以及煤焦油、重油、渣油等燃料，禁止燃烧各种可燃废物，禁止燃用生物质燃料及污染物含量超过国家规定限值的柴油、煤油等高污染燃料。已建成的使用高污染燃料的各类设施要限期拆除或改造成使用管道天然气、液化石油气、电等清洁能源。</w:t>
            </w:r>
            <w:r>
              <w:rPr>
                <w:rFonts w:hint="eastAsia" w:cs="Times New Roman"/>
                <w:b w:val="0"/>
                <w:bCs/>
                <w:color w:val="auto"/>
                <w:sz w:val="21"/>
                <w:szCs w:val="21"/>
                <w:highlight w:val="none"/>
                <w:lang w:eastAsia="zh-CN"/>
              </w:rPr>
              <w:t>”</w:t>
            </w:r>
          </w:p>
          <w:p w14:paraId="586F8FD4">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default" w:ascii="Times New Roman" w:hAnsi="Times New Roman" w:eastAsia="宋体" w:cs="Times New Roman"/>
                <w:bCs/>
                <w:color w:val="auto"/>
                <w:kern w:val="0"/>
                <w:sz w:val="21"/>
                <w:szCs w:val="21"/>
                <w:highlight w:val="none"/>
              </w:rPr>
              <w:t>本项目</w:t>
            </w:r>
            <w:r>
              <w:rPr>
                <w:rFonts w:hint="eastAsia" w:cs="Times New Roman"/>
                <w:bCs/>
                <w:color w:val="auto"/>
                <w:kern w:val="0"/>
                <w:sz w:val="21"/>
                <w:szCs w:val="21"/>
                <w:highlight w:val="none"/>
                <w:lang w:val="en-US" w:eastAsia="zh-CN"/>
              </w:rPr>
              <w:t>热风炉使用生物质成型燃料</w:t>
            </w:r>
            <w:r>
              <w:rPr>
                <w:rFonts w:hint="eastAsia" w:cs="Times New Roman"/>
                <w:bCs/>
                <w:color w:val="auto"/>
                <w:kern w:val="0"/>
                <w:sz w:val="21"/>
                <w:szCs w:val="21"/>
                <w:highlight w:val="none"/>
                <w:lang w:eastAsia="zh-CN"/>
              </w:rPr>
              <w:t>，</w:t>
            </w:r>
            <w:r>
              <w:rPr>
                <w:rFonts w:hint="eastAsia" w:cs="Times New Roman"/>
                <w:b w:val="0"/>
                <w:bCs/>
                <w:color w:val="auto"/>
                <w:sz w:val="21"/>
                <w:szCs w:val="21"/>
                <w:highlight w:val="none"/>
                <w:lang w:val="en-US" w:eastAsia="zh-CN"/>
              </w:rPr>
              <w:t>配套设置布袋除尘器，</w:t>
            </w:r>
            <w:r>
              <w:rPr>
                <w:rFonts w:hint="eastAsia" w:cs="Times New Roman"/>
                <w:color w:val="auto"/>
                <w:sz w:val="21"/>
                <w:szCs w:val="21"/>
                <w:highlight w:val="none"/>
                <w:lang w:val="en-US" w:eastAsia="zh-CN"/>
              </w:rPr>
              <w:t>不属于高污染燃料。</w:t>
            </w:r>
          </w:p>
          <w:p w14:paraId="22D65A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10、</w:t>
            </w:r>
            <w:r>
              <w:rPr>
                <w:rFonts w:hint="default" w:ascii="Times New Roman" w:hAnsi="Times New Roman" w:eastAsia="宋体" w:cs="Times New Roman"/>
                <w:b/>
                <w:bCs/>
                <w:color w:val="auto"/>
                <w:sz w:val="21"/>
                <w:szCs w:val="21"/>
                <w:highlight w:val="none"/>
                <w:lang w:val="en-US" w:eastAsia="zh-CN"/>
              </w:rPr>
              <w:t>与《黑龙江省空气质量持续改善行动计划实施方案》</w:t>
            </w:r>
            <w:r>
              <w:rPr>
                <w:rFonts w:hint="default" w:ascii="Times New Roman" w:hAnsi="Times New Roman" w:eastAsia="宋体" w:cs="Times New Roman"/>
                <w:b/>
                <w:bCs/>
                <w:color w:val="auto"/>
                <w:kern w:val="2"/>
                <w:sz w:val="21"/>
                <w:szCs w:val="21"/>
                <w:highlight w:val="none"/>
                <w:lang w:val="en-US" w:eastAsia="zh-CN" w:bidi="ar-SA"/>
              </w:rPr>
              <w:t>（黑政发</w:t>
            </w:r>
            <w:r>
              <w:rPr>
                <w:rFonts w:hint="eastAsia" w:cs="Times New Roman"/>
                <w:b/>
                <w:bCs/>
                <w:color w:val="auto"/>
                <w:kern w:val="2"/>
                <w:sz w:val="21"/>
                <w:szCs w:val="21"/>
                <w:highlight w:val="none"/>
                <w:lang w:val="en-US" w:eastAsia="zh-CN" w:bidi="ar-SA"/>
              </w:rPr>
              <w:t>〔2023〕19号</w:t>
            </w:r>
            <w:r>
              <w:rPr>
                <w:rFonts w:hint="default" w:ascii="Times New Roman" w:hAnsi="Times New Roman" w:eastAsia="宋体" w:cs="Times New Roman"/>
                <w:b/>
                <w:bCs/>
                <w:color w:val="auto"/>
                <w:kern w:val="2"/>
                <w:sz w:val="21"/>
                <w:szCs w:val="21"/>
                <w:highlight w:val="none"/>
                <w:lang w:val="en-US" w:eastAsia="zh-CN" w:bidi="ar-SA"/>
              </w:rPr>
              <w:t>）</w:t>
            </w:r>
            <w:r>
              <w:rPr>
                <w:rFonts w:hint="default" w:ascii="Times New Roman" w:hAnsi="Times New Roman" w:eastAsia="宋体" w:cs="Times New Roman"/>
                <w:b/>
                <w:bCs/>
                <w:color w:val="auto"/>
                <w:kern w:val="0"/>
                <w:sz w:val="21"/>
                <w:szCs w:val="21"/>
                <w:highlight w:val="none"/>
                <w:u w:val="none"/>
              </w:rPr>
              <w:t>符合性分析</w:t>
            </w:r>
          </w:p>
          <w:p w14:paraId="33CC00CA">
            <w:pPr>
              <w:pStyle w:val="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i w:val="0"/>
                <w:iCs w:val="0"/>
                <w:caps w:val="0"/>
                <w:color w:val="auto"/>
                <w:spacing w:val="0"/>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《黑龙江省空气质量持续改善行动计划实施方案》</w:t>
            </w:r>
            <w:r>
              <w:rPr>
                <w:rFonts w:hint="default" w:ascii="Times New Roman" w:hAnsi="Times New Roman" w:eastAsia="宋体" w:cs="Times New Roman"/>
                <w:color w:val="auto"/>
                <w:kern w:val="2"/>
                <w:sz w:val="21"/>
                <w:szCs w:val="21"/>
                <w:highlight w:val="none"/>
                <w:lang w:val="en-US" w:eastAsia="zh-CN" w:bidi="ar-SA"/>
              </w:rPr>
              <w:t>（黑政发</w:t>
            </w:r>
            <w:r>
              <w:rPr>
                <w:rFonts w:hint="eastAsia" w:ascii="Times New Roman" w:hAnsi="Times New Roman" w:eastAsia="宋体" w:cs="Times New Roman"/>
                <w:color w:val="auto"/>
                <w:kern w:val="2"/>
                <w:sz w:val="21"/>
                <w:szCs w:val="21"/>
                <w:highlight w:val="none"/>
                <w:lang w:val="en-US" w:eastAsia="zh-CN" w:bidi="ar-SA"/>
              </w:rPr>
              <w:t>〔2023〕19号</w:t>
            </w: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b w:val="0"/>
                <w:bCs w:val="0"/>
                <w:color w:val="auto"/>
                <w:sz w:val="21"/>
                <w:szCs w:val="21"/>
                <w:highlight w:val="none"/>
                <w:lang w:val="en-US" w:eastAsia="zh-CN"/>
              </w:rPr>
              <w:t>中</w:t>
            </w:r>
            <w:r>
              <w:rPr>
                <w:rFonts w:hint="eastAsia" w:ascii="Times New Roman" w:hAnsi="Times New Roman" w:eastAsia="宋体" w:cs="Times New Roman"/>
                <w:b w:val="0"/>
                <w:bCs w:val="0"/>
                <w:color w:val="auto"/>
                <w:sz w:val="21"/>
                <w:szCs w:val="21"/>
                <w:highlight w:val="none"/>
                <w:lang w:val="en-US" w:eastAsia="zh-CN"/>
              </w:rPr>
              <w:t>指出</w:t>
            </w:r>
            <w:r>
              <w:rPr>
                <w:rFonts w:hint="eastAsia" w:ascii="宋体" w:hAnsi="宋体" w:eastAsia="宋体" w:cs="宋体"/>
                <w:b w:val="0"/>
                <w:bCs w:val="0"/>
                <w:color w:val="auto"/>
                <w:sz w:val="21"/>
                <w:szCs w:val="21"/>
                <w:highlight w:val="none"/>
                <w:lang w:val="en-US" w:eastAsia="zh-CN"/>
              </w:rPr>
              <w:t>“</w:t>
            </w:r>
            <w:r>
              <w:rPr>
                <w:rFonts w:hint="default" w:ascii="Times New Roman" w:hAnsi="Times New Roman" w:eastAsia="宋体" w:cs="Times New Roman"/>
                <w:b w:val="0"/>
                <w:bCs w:val="0"/>
                <w:i w:val="0"/>
                <w:iCs w:val="0"/>
                <w:caps w:val="0"/>
                <w:color w:val="auto"/>
                <w:spacing w:val="0"/>
                <w:sz w:val="21"/>
                <w:szCs w:val="21"/>
                <w:highlight w:val="none"/>
              </w:rPr>
              <w:t>在持续优化改善能源结构方面，加快推进能源结构优化，严格控制煤炭消费总量，积极推进燃煤锅炉淘汰改造，加快工业炉窑燃料清洁替代，以试点城市为引领持续推进清洁取暖，积极推进散煤污染治理</w:t>
            </w:r>
            <w:r>
              <w:rPr>
                <w:rFonts w:hint="eastAsia" w:ascii="Times New Roman" w:hAnsi="Times New Roman" w:eastAsia="宋体" w:cs="Times New Roman"/>
                <w:b w:val="0"/>
                <w:bCs w:val="0"/>
                <w:i w:val="0"/>
                <w:iCs w:val="0"/>
                <w:caps w:val="0"/>
                <w:color w:val="auto"/>
                <w:spacing w:val="0"/>
                <w:sz w:val="21"/>
                <w:szCs w:val="21"/>
                <w:highlight w:val="none"/>
                <w:lang w:eastAsia="zh-CN"/>
              </w:rPr>
              <w:t>。”“</w:t>
            </w:r>
            <w:r>
              <w:rPr>
                <w:rFonts w:hint="default" w:ascii="Times New Roman" w:hAnsi="Times New Roman" w:eastAsia="宋体" w:cs="Times New Roman"/>
                <w:b w:val="0"/>
                <w:bCs w:val="0"/>
                <w:i w:val="0"/>
                <w:iCs w:val="0"/>
                <w:caps w:val="0"/>
                <w:color w:val="auto"/>
                <w:spacing w:val="0"/>
                <w:sz w:val="21"/>
                <w:szCs w:val="21"/>
                <w:highlight w:val="none"/>
              </w:rPr>
              <w:t>在持续加强面源污染治理方面，深化扬尘污染综合治理，推进矿山生态环境综合整治，加强秸秆综合利用和禁烧管控，加强秸秆综合利用和禁烧管控。</w:t>
            </w:r>
            <w:r>
              <w:rPr>
                <w:rFonts w:hint="eastAsia" w:ascii="Times New Roman" w:hAnsi="Times New Roman" w:eastAsia="宋体" w:cs="Times New Roman"/>
                <w:b w:val="0"/>
                <w:bCs w:val="0"/>
                <w:i w:val="0"/>
                <w:iCs w:val="0"/>
                <w:caps w:val="0"/>
                <w:color w:val="auto"/>
                <w:spacing w:val="0"/>
                <w:sz w:val="21"/>
                <w:szCs w:val="21"/>
                <w:highlight w:val="none"/>
                <w:lang w:eastAsia="zh-CN"/>
              </w:rPr>
              <w:t>”</w:t>
            </w:r>
          </w:p>
          <w:p w14:paraId="124B1150">
            <w:pPr>
              <w:pStyle w:val="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本项目</w:t>
            </w:r>
            <w:r>
              <w:rPr>
                <w:rFonts w:hint="default" w:ascii="Times New Roman" w:hAnsi="Times New Roman" w:eastAsia="宋体" w:cs="Times New Roman"/>
                <w:b w:val="0"/>
                <w:bCs w:val="0"/>
                <w:color w:val="auto"/>
                <w:sz w:val="21"/>
                <w:szCs w:val="21"/>
                <w:highlight w:val="none"/>
              </w:rPr>
              <w:t>位于</w:t>
            </w:r>
            <w:r>
              <w:rPr>
                <w:rFonts w:hint="eastAsia" w:ascii="Times New Roman" w:hAnsi="Times New Roman" w:eastAsia="宋体" w:cs="Times New Roman"/>
                <w:b w:val="0"/>
                <w:bCs w:val="0"/>
                <w:color w:val="auto"/>
                <w:sz w:val="21"/>
                <w:szCs w:val="21"/>
                <w:highlight w:val="none"/>
                <w:lang w:eastAsia="zh-CN"/>
              </w:rPr>
              <w:t>黑龙江省鸡西市鸡东县东海镇发展村五组，</w:t>
            </w:r>
            <w:r>
              <w:rPr>
                <w:rFonts w:hint="eastAsia" w:ascii="Times New Roman" w:hAnsi="Times New Roman" w:eastAsia="宋体" w:cs="Times New Roman"/>
                <w:b w:val="0"/>
                <w:bCs w:val="0"/>
                <w:color w:val="auto"/>
                <w:sz w:val="21"/>
                <w:szCs w:val="21"/>
                <w:highlight w:val="none"/>
                <w:lang w:val="en-US" w:eastAsia="zh-CN"/>
              </w:rPr>
              <w:t>热风炉使用生物质成型燃料</w:t>
            </w:r>
            <w:r>
              <w:rPr>
                <w:rFonts w:hint="eastAsia" w:ascii="Times New Roman" w:hAnsi="Times New Roman" w:eastAsia="宋体" w:cs="Times New Roman"/>
                <w:b w:val="0"/>
                <w:bCs w:val="0"/>
                <w:color w:val="auto"/>
                <w:sz w:val="21"/>
                <w:szCs w:val="21"/>
                <w:highlight w:val="none"/>
                <w:lang w:eastAsia="zh-CN"/>
              </w:rPr>
              <w:t>，</w:t>
            </w:r>
            <w:r>
              <w:rPr>
                <w:rFonts w:hint="eastAsia" w:ascii="Times New Roman" w:hAnsi="Times New Roman" w:eastAsia="宋体" w:cs="Times New Roman"/>
                <w:b w:val="0"/>
                <w:bCs w:val="0"/>
                <w:color w:val="auto"/>
                <w:sz w:val="21"/>
                <w:szCs w:val="21"/>
                <w:highlight w:val="none"/>
                <w:lang w:val="en-US" w:eastAsia="zh-CN"/>
              </w:rPr>
              <w:t>配套建设布袋除尘器，</w:t>
            </w:r>
            <w:r>
              <w:rPr>
                <w:rFonts w:hint="default" w:ascii="Times New Roman" w:hAnsi="Times New Roman" w:eastAsia="宋体" w:cs="Times New Roman"/>
                <w:b w:val="0"/>
                <w:bCs w:val="0"/>
                <w:color w:val="auto"/>
                <w:sz w:val="21"/>
                <w:szCs w:val="21"/>
                <w:highlight w:val="none"/>
                <w:lang w:eastAsia="zh-CN"/>
              </w:rPr>
              <w:t>热风炉烟气</w:t>
            </w:r>
            <w:r>
              <w:rPr>
                <w:rFonts w:hint="eastAsia" w:ascii="Times New Roman" w:hAnsi="Times New Roman" w:eastAsia="宋体" w:cs="Times New Roman"/>
                <w:b w:val="0"/>
                <w:bCs w:val="0"/>
                <w:color w:val="auto"/>
                <w:sz w:val="21"/>
                <w:szCs w:val="21"/>
                <w:highlight w:val="none"/>
                <w:lang w:val="en-US" w:eastAsia="zh-CN"/>
              </w:rPr>
              <w:t>通过</w:t>
            </w:r>
            <w:r>
              <w:rPr>
                <w:rFonts w:hint="default" w:ascii="Times New Roman" w:hAnsi="Times New Roman" w:eastAsia="宋体" w:cs="Times New Roman"/>
                <w:b w:val="0"/>
                <w:bCs w:val="0"/>
                <w:color w:val="auto"/>
                <w:sz w:val="21"/>
                <w:szCs w:val="21"/>
                <w:highlight w:val="none"/>
                <w:lang w:eastAsia="zh-CN"/>
              </w:rPr>
              <w:t>布袋除尘器处理后经</w:t>
            </w:r>
            <w:r>
              <w:rPr>
                <w:rFonts w:hint="eastAsia" w:ascii="Times New Roman" w:hAnsi="Times New Roman" w:eastAsia="宋体" w:cs="Times New Roman"/>
                <w:b w:val="0"/>
                <w:bCs w:val="0"/>
                <w:color w:val="auto"/>
                <w:sz w:val="21"/>
                <w:szCs w:val="21"/>
                <w:highlight w:val="none"/>
                <w:lang w:val="en-US" w:eastAsia="zh-CN"/>
              </w:rPr>
              <w:t>15</w:t>
            </w:r>
            <w:r>
              <w:rPr>
                <w:rFonts w:hint="default" w:ascii="Times New Roman" w:hAnsi="Times New Roman" w:eastAsia="宋体" w:cs="Times New Roman"/>
                <w:b w:val="0"/>
                <w:bCs w:val="0"/>
                <w:color w:val="auto"/>
                <w:sz w:val="21"/>
                <w:szCs w:val="21"/>
                <w:highlight w:val="none"/>
                <w:lang w:eastAsia="zh-CN"/>
              </w:rPr>
              <w:t>m高烟囱排放，</w:t>
            </w:r>
            <w:r>
              <w:rPr>
                <w:rFonts w:hint="eastAsia" w:ascii="Times New Roman" w:hAnsi="Times New Roman" w:eastAsia="宋体" w:cs="Times New Roman"/>
                <w:b w:val="0"/>
                <w:bCs w:val="0"/>
                <w:color w:val="auto"/>
                <w:sz w:val="21"/>
                <w:szCs w:val="21"/>
                <w:highlight w:val="none"/>
                <w:lang w:eastAsia="zh-CN"/>
              </w:rPr>
              <w:t>颗粒物</w:t>
            </w:r>
            <w:r>
              <w:rPr>
                <w:rFonts w:hint="default" w:ascii="Times New Roman" w:hAnsi="Times New Roman" w:eastAsia="宋体" w:cs="Times New Roman"/>
                <w:b w:val="0"/>
                <w:bCs w:val="0"/>
                <w:color w:val="auto"/>
                <w:sz w:val="21"/>
                <w:szCs w:val="21"/>
                <w:highlight w:val="none"/>
                <w:lang w:eastAsia="zh-CN"/>
              </w:rPr>
              <w:t>、烟气黑度排放浓度满足《工业炉窑</w:t>
            </w:r>
            <w:r>
              <w:rPr>
                <w:rFonts w:hint="default" w:ascii="Times New Roman" w:hAnsi="Times New Roman" w:eastAsia="宋体" w:cs="Times New Roman"/>
                <w:b w:val="0"/>
                <w:bCs/>
                <w:color w:val="auto"/>
                <w:sz w:val="21"/>
                <w:szCs w:val="21"/>
                <w:highlight w:val="none"/>
                <w:lang w:eastAsia="zh-CN"/>
              </w:rPr>
              <w:t>大气污染物排放标准》（GB9078-1996）表2二级标准，SO</w:t>
            </w:r>
            <w:r>
              <w:rPr>
                <w:rFonts w:hint="default" w:ascii="Times New Roman" w:hAnsi="Times New Roman" w:eastAsia="宋体" w:cs="Times New Roman"/>
                <w:b w:val="0"/>
                <w:bCs/>
                <w:color w:val="auto"/>
                <w:sz w:val="21"/>
                <w:szCs w:val="21"/>
                <w:highlight w:val="none"/>
                <w:vertAlign w:val="subscript"/>
                <w:lang w:eastAsia="zh-CN"/>
              </w:rPr>
              <w:t>2</w:t>
            </w:r>
            <w:r>
              <w:rPr>
                <w:rFonts w:hint="default" w:ascii="Times New Roman" w:hAnsi="Times New Roman" w:eastAsia="宋体" w:cs="Times New Roman"/>
                <w:b w:val="0"/>
                <w:bCs/>
                <w:color w:val="auto"/>
                <w:sz w:val="21"/>
                <w:szCs w:val="21"/>
                <w:highlight w:val="none"/>
                <w:lang w:eastAsia="zh-CN"/>
              </w:rPr>
              <w:t>排放浓度满足《工业炉窑大气污</w:t>
            </w:r>
            <w:r>
              <w:rPr>
                <w:rFonts w:hint="eastAsia" w:ascii="Times New Roman" w:hAnsi="Times New Roman" w:eastAsia="宋体" w:cs="Times New Roman"/>
                <w:b w:val="0"/>
                <w:bCs/>
                <w:color w:val="auto"/>
                <w:sz w:val="21"/>
                <w:szCs w:val="21"/>
                <w:highlight w:val="none"/>
                <w:lang w:eastAsia="zh-CN"/>
              </w:rPr>
              <w:t>染物排放标准》（GB9078-1996）表4二级标准。</w:t>
            </w:r>
          </w:p>
          <w:p w14:paraId="00E044F7">
            <w:pPr>
              <w:pStyle w:val="5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rPr>
              <w:t>原料烘干</w:t>
            </w:r>
            <w:r>
              <w:rPr>
                <w:rFonts w:hint="default" w:ascii="Times New Roman" w:hAnsi="Times New Roman" w:eastAsia="宋体" w:cs="Times New Roman"/>
                <w:color w:val="auto"/>
                <w:sz w:val="21"/>
                <w:szCs w:val="21"/>
                <w:highlight w:val="none"/>
                <w:lang w:eastAsia="zh-CN"/>
              </w:rPr>
              <w:t>、运输</w:t>
            </w:r>
            <w:r>
              <w:rPr>
                <w:rFonts w:hint="default" w:ascii="Times New Roman" w:hAnsi="Times New Roman" w:eastAsia="宋体" w:cs="Times New Roman"/>
                <w:color w:val="auto"/>
                <w:sz w:val="21"/>
                <w:szCs w:val="21"/>
                <w:highlight w:val="none"/>
                <w:lang w:val="en-US" w:eastAsia="zh-CN"/>
              </w:rPr>
              <w:t>及筛分</w:t>
            </w:r>
            <w:r>
              <w:rPr>
                <w:rFonts w:hint="default" w:ascii="Times New Roman" w:hAnsi="Times New Roman" w:eastAsia="宋体" w:cs="Times New Roman"/>
                <w:color w:val="auto"/>
                <w:sz w:val="21"/>
                <w:szCs w:val="21"/>
                <w:highlight w:val="none"/>
              </w:rPr>
              <w:t>过程会有</w:t>
            </w:r>
            <w:r>
              <w:rPr>
                <w:rFonts w:hint="default" w:ascii="Times New Roman" w:hAnsi="Times New Roman" w:eastAsia="宋体" w:cs="Times New Roman"/>
                <w:color w:val="auto"/>
                <w:sz w:val="21"/>
                <w:szCs w:val="21"/>
                <w:highlight w:val="none"/>
                <w:lang w:eastAsia="zh-CN"/>
              </w:rPr>
              <w:t>粉尘</w:t>
            </w:r>
            <w:r>
              <w:rPr>
                <w:rFonts w:hint="default" w:ascii="Times New Roman" w:hAnsi="Times New Roman" w:eastAsia="宋体" w:cs="Times New Roman"/>
                <w:color w:val="auto"/>
                <w:sz w:val="21"/>
                <w:szCs w:val="21"/>
                <w:highlight w:val="none"/>
              </w:rPr>
              <w:t>产生，此部分</w:t>
            </w:r>
            <w:r>
              <w:rPr>
                <w:rFonts w:hint="default" w:ascii="Times New Roman" w:hAnsi="Times New Roman" w:eastAsia="宋体" w:cs="Times New Roman"/>
                <w:color w:val="auto"/>
                <w:sz w:val="21"/>
                <w:szCs w:val="21"/>
                <w:highlight w:val="none"/>
                <w:lang w:eastAsia="zh-CN"/>
              </w:rPr>
              <w:t>粉尘</w:t>
            </w:r>
            <w:r>
              <w:rPr>
                <w:rFonts w:hint="default" w:ascii="Times New Roman" w:hAnsi="Times New Roman" w:eastAsia="宋体" w:cs="Times New Roman"/>
                <w:color w:val="auto"/>
                <w:sz w:val="21"/>
                <w:szCs w:val="21"/>
                <w:highlight w:val="none"/>
              </w:rPr>
              <w:t>以无组织的形式排放。装卸工段</w:t>
            </w:r>
            <w:r>
              <w:rPr>
                <w:rFonts w:hint="default" w:ascii="Times New Roman" w:hAnsi="Times New Roman" w:eastAsia="宋体" w:cs="Times New Roman"/>
                <w:color w:val="auto"/>
                <w:spacing w:val="0"/>
                <w:kern w:val="0"/>
                <w:sz w:val="21"/>
                <w:szCs w:val="21"/>
                <w:highlight w:val="none"/>
                <w:lang w:val="en-US" w:eastAsia="zh-CN" w:bidi="ar"/>
              </w:rPr>
              <w:t>采用密闭性良好的设备，全封闭输送机、原粮入</w:t>
            </w:r>
            <w:r>
              <w:rPr>
                <w:rFonts w:hint="eastAsia" w:ascii="Times New Roman" w:hAnsi="Times New Roman" w:eastAsia="宋体" w:cs="Times New Roman"/>
                <w:color w:val="auto"/>
                <w:spacing w:val="0"/>
                <w:kern w:val="0"/>
                <w:sz w:val="21"/>
                <w:szCs w:val="21"/>
                <w:highlight w:val="none"/>
                <w:lang w:val="en-US" w:eastAsia="zh-CN" w:bidi="ar"/>
              </w:rPr>
              <w:t>仓</w:t>
            </w:r>
            <w:r>
              <w:rPr>
                <w:rFonts w:hint="default" w:ascii="Times New Roman" w:hAnsi="Times New Roman" w:eastAsia="宋体" w:cs="Times New Roman"/>
                <w:color w:val="auto"/>
                <w:spacing w:val="0"/>
                <w:kern w:val="0"/>
                <w:sz w:val="21"/>
                <w:szCs w:val="21"/>
                <w:highlight w:val="none"/>
                <w:lang w:val="en-US" w:eastAsia="zh-CN" w:bidi="ar"/>
              </w:rPr>
              <w:t>采取封闭和减小装卸高度</w:t>
            </w:r>
            <w:r>
              <w:rPr>
                <w:rFonts w:hint="default" w:ascii="Times New Roman" w:hAnsi="Times New Roman" w:eastAsia="宋体" w:cs="Times New Roman"/>
                <w:color w:val="auto"/>
                <w:sz w:val="21"/>
                <w:szCs w:val="21"/>
                <w:highlight w:val="none"/>
              </w:rPr>
              <w:t>等降尘措施，运输过程中采用封闭输送</w:t>
            </w:r>
            <w:r>
              <w:rPr>
                <w:rFonts w:hint="default" w:ascii="Times New Roman" w:hAnsi="Times New Roman" w:eastAsia="宋体" w:cs="Times New Roman"/>
                <w:color w:val="auto"/>
                <w:sz w:val="21"/>
                <w:szCs w:val="21"/>
                <w:highlight w:val="none"/>
                <w:lang w:eastAsia="zh-CN"/>
              </w:rPr>
              <w:t>；清粮采用全密闭</w:t>
            </w:r>
            <w:r>
              <w:rPr>
                <w:rFonts w:hint="eastAsia" w:ascii="Times New Roman" w:hAnsi="Times New Roman" w:eastAsia="宋体" w:cs="Times New Roman"/>
                <w:color w:val="auto"/>
                <w:sz w:val="21"/>
                <w:szCs w:val="21"/>
                <w:highlight w:val="none"/>
                <w:lang w:val="en-US" w:eastAsia="zh-CN"/>
              </w:rPr>
              <w:t>筛分机</w:t>
            </w:r>
            <w:r>
              <w:rPr>
                <w:rFonts w:hint="default" w:ascii="Times New Roman" w:hAnsi="Times New Roman" w:eastAsia="宋体" w:cs="Times New Roman"/>
                <w:color w:val="auto"/>
                <w:sz w:val="21"/>
                <w:szCs w:val="21"/>
                <w:highlight w:val="none"/>
                <w:lang w:eastAsia="zh-CN"/>
              </w:rPr>
              <w:t>，产生的粉尘经设备</w:t>
            </w:r>
            <w:r>
              <w:rPr>
                <w:rFonts w:hint="eastAsia" w:ascii="Times New Roman" w:hAnsi="Times New Roman" w:eastAsia="宋体" w:cs="Times New Roman"/>
                <w:color w:val="auto"/>
                <w:sz w:val="21"/>
                <w:szCs w:val="21"/>
                <w:highlight w:val="none"/>
                <w:lang w:eastAsia="zh-CN"/>
              </w:rPr>
              <w:t>自带滤袋</w:t>
            </w:r>
            <w:r>
              <w:rPr>
                <w:rFonts w:hint="default" w:ascii="Times New Roman" w:hAnsi="Times New Roman" w:eastAsia="宋体" w:cs="Times New Roman"/>
                <w:color w:val="auto"/>
                <w:sz w:val="21"/>
                <w:szCs w:val="21"/>
                <w:highlight w:val="none"/>
                <w:lang w:eastAsia="zh-CN"/>
              </w:rPr>
              <w:t>处理</w:t>
            </w:r>
            <w:r>
              <w:rPr>
                <w:rFonts w:hint="eastAsia" w:ascii="Times New Roman" w:hAnsi="Times New Roman" w:eastAsia="宋体" w:cs="Times New Roman"/>
                <w:color w:val="auto"/>
                <w:sz w:val="21"/>
                <w:szCs w:val="21"/>
                <w:highlight w:val="none"/>
                <w:lang w:eastAsia="zh-CN"/>
              </w:rPr>
              <w:t>后无组织</w:t>
            </w:r>
            <w:r>
              <w:rPr>
                <w:rFonts w:hint="default" w:ascii="Times New Roman" w:hAnsi="Times New Roman" w:eastAsia="宋体" w:cs="Times New Roman"/>
                <w:color w:val="auto"/>
                <w:sz w:val="21"/>
                <w:szCs w:val="21"/>
                <w:highlight w:val="none"/>
                <w:lang w:eastAsia="zh-CN"/>
              </w:rPr>
              <w:t>排放；烘干塔内部自带重力沉降室，烘干塔底部四周设置防尘挡板，粉尘受挡板</w:t>
            </w:r>
            <w:r>
              <w:rPr>
                <w:rFonts w:hint="eastAsia" w:ascii="Times New Roman" w:hAnsi="Times New Roman" w:eastAsia="宋体" w:cs="Times New Roman"/>
                <w:color w:val="auto"/>
                <w:sz w:val="21"/>
                <w:szCs w:val="21"/>
                <w:highlight w:val="none"/>
                <w:lang w:eastAsia="zh-CN"/>
              </w:rPr>
              <w:t>隔</w:t>
            </w:r>
            <w:r>
              <w:rPr>
                <w:rFonts w:hint="default" w:ascii="Times New Roman" w:hAnsi="Times New Roman" w:eastAsia="宋体" w:cs="Times New Roman"/>
                <w:color w:val="auto"/>
                <w:sz w:val="21"/>
                <w:szCs w:val="21"/>
                <w:highlight w:val="none"/>
                <w:lang w:eastAsia="zh-CN"/>
              </w:rPr>
              <w:t>挡后受重力作用回落到烘干塔底部收尘设施中</w:t>
            </w: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灰渣间、</w:t>
            </w:r>
            <w:r>
              <w:rPr>
                <w:rFonts w:hint="eastAsia" w:ascii="宋体" w:hAnsi="宋体" w:eastAsia="宋体" w:cs="宋体"/>
                <w:bCs/>
                <w:color w:val="auto"/>
                <w:kern w:val="0"/>
                <w:sz w:val="21"/>
                <w:szCs w:val="21"/>
                <w:highlight w:val="none"/>
                <w:lang w:val="en-US" w:eastAsia="zh-CN"/>
              </w:rPr>
              <w:t>热风炉房</w:t>
            </w:r>
            <w:r>
              <w:rPr>
                <w:rFonts w:hint="default" w:ascii="Times New Roman" w:hAnsi="Times New Roman" w:eastAsia="宋体" w:cs="Times New Roman"/>
                <w:b w:val="0"/>
                <w:bCs w:val="0"/>
                <w:color w:val="auto"/>
                <w:sz w:val="21"/>
                <w:szCs w:val="21"/>
                <w:highlight w:val="none"/>
                <w:lang w:val="en-US" w:eastAsia="zh-CN"/>
              </w:rPr>
              <w:t>密闭并</w:t>
            </w:r>
            <w:r>
              <w:rPr>
                <w:rFonts w:hint="eastAsia" w:ascii="Times New Roman" w:hAnsi="Times New Roman" w:eastAsia="宋体" w:cs="Times New Roman"/>
                <w:b w:val="0"/>
                <w:bCs w:val="0"/>
                <w:color w:val="auto"/>
                <w:sz w:val="21"/>
                <w:szCs w:val="21"/>
                <w:highlight w:val="none"/>
                <w:lang w:val="en-US" w:eastAsia="zh-CN"/>
              </w:rPr>
              <w:t>定期洒水抑尘，减少粉尘扩散；</w:t>
            </w:r>
            <w:r>
              <w:rPr>
                <w:rFonts w:hint="default" w:ascii="Times New Roman" w:hAnsi="Times New Roman" w:eastAsia="宋体" w:cs="Times New Roman"/>
                <w:b w:val="0"/>
                <w:bCs w:val="0"/>
                <w:color w:val="auto"/>
                <w:spacing w:val="0"/>
                <w:position w:val="0"/>
                <w:sz w:val="21"/>
                <w:szCs w:val="21"/>
                <w:highlight w:val="none"/>
                <w:lang w:val="en-US" w:eastAsia="zh-CN"/>
              </w:rPr>
              <w:t>生物质</w:t>
            </w:r>
            <w:r>
              <w:rPr>
                <w:rFonts w:hint="eastAsia" w:ascii="Times New Roman" w:hAnsi="Times New Roman" w:eastAsia="宋体" w:cs="Times New Roman"/>
                <w:b w:val="0"/>
                <w:bCs w:val="0"/>
                <w:color w:val="auto"/>
                <w:spacing w:val="0"/>
                <w:position w:val="0"/>
                <w:sz w:val="21"/>
                <w:szCs w:val="21"/>
                <w:highlight w:val="none"/>
                <w:lang w:val="en-US" w:eastAsia="zh-CN"/>
              </w:rPr>
              <w:t>热风炉</w:t>
            </w:r>
            <w:r>
              <w:rPr>
                <w:rFonts w:hint="default" w:ascii="Times New Roman" w:hAnsi="Times New Roman" w:eastAsia="宋体" w:cs="Times New Roman"/>
                <w:b w:val="0"/>
                <w:bCs w:val="0"/>
                <w:color w:val="auto"/>
                <w:spacing w:val="0"/>
                <w:position w:val="0"/>
                <w:sz w:val="21"/>
                <w:szCs w:val="21"/>
                <w:highlight w:val="none"/>
                <w:lang w:val="en-US" w:eastAsia="zh-CN"/>
              </w:rPr>
              <w:t>所用燃料生物质颗粒</w:t>
            </w:r>
            <w:r>
              <w:rPr>
                <w:rFonts w:hint="default" w:ascii="Times New Roman" w:hAnsi="Times New Roman" w:eastAsia="宋体" w:cs="Times New Roman"/>
                <w:color w:val="auto"/>
                <w:sz w:val="21"/>
                <w:szCs w:val="21"/>
                <w:highlight w:val="none"/>
              </w:rPr>
              <w:t>随用随存，不长时间</w:t>
            </w:r>
            <w:r>
              <w:rPr>
                <w:rFonts w:hint="default" w:ascii="Times New Roman" w:hAnsi="Times New Roman" w:eastAsia="宋体" w:cs="Times New Roman"/>
                <w:color w:val="auto"/>
                <w:sz w:val="21"/>
                <w:szCs w:val="21"/>
                <w:highlight w:val="none"/>
                <w:lang w:val="en-US" w:eastAsia="zh-CN"/>
              </w:rPr>
              <w:t>储存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 w:val="0"/>
                <w:bCs w:val="0"/>
                <w:color w:val="auto"/>
                <w:spacing w:val="0"/>
                <w:position w:val="0"/>
                <w:sz w:val="21"/>
                <w:szCs w:val="21"/>
                <w:highlight w:val="none"/>
                <w:lang w:val="en-US" w:eastAsia="zh-CN"/>
              </w:rPr>
              <w:t>生物质颗粒、</w:t>
            </w:r>
            <w:r>
              <w:rPr>
                <w:rFonts w:hint="eastAsia" w:ascii="Times New Roman" w:hAnsi="Times New Roman" w:eastAsia="宋体" w:cs="Times New Roman"/>
                <w:b w:val="0"/>
                <w:bCs w:val="0"/>
                <w:color w:val="auto"/>
                <w:spacing w:val="0"/>
                <w:position w:val="0"/>
                <w:sz w:val="21"/>
                <w:szCs w:val="21"/>
                <w:highlight w:val="none"/>
                <w:lang w:val="en-US" w:eastAsia="zh-CN"/>
              </w:rPr>
              <w:t>热风炉</w:t>
            </w:r>
            <w:r>
              <w:rPr>
                <w:rFonts w:hint="default" w:ascii="Times New Roman" w:hAnsi="Times New Roman" w:eastAsia="宋体" w:cs="Times New Roman"/>
                <w:color w:val="auto"/>
                <w:sz w:val="21"/>
                <w:szCs w:val="21"/>
                <w:highlight w:val="none"/>
              </w:rPr>
              <w:t>灰渣储存于</w:t>
            </w:r>
            <w:r>
              <w:rPr>
                <w:rFonts w:hint="eastAsia" w:ascii="宋体" w:hAnsi="宋体" w:eastAsia="宋体" w:cs="宋体"/>
                <w:bCs/>
                <w:color w:val="auto"/>
                <w:kern w:val="0"/>
                <w:sz w:val="21"/>
                <w:szCs w:val="21"/>
                <w:highlight w:val="none"/>
                <w:lang w:val="en-US" w:eastAsia="zh-CN"/>
              </w:rPr>
              <w:t>热风炉房</w:t>
            </w:r>
            <w:r>
              <w:rPr>
                <w:rFonts w:hint="default" w:ascii="Times New Roman" w:hAnsi="Times New Roman" w:eastAsia="宋体" w:cs="Times New Roman"/>
                <w:color w:val="auto"/>
                <w:sz w:val="21"/>
                <w:szCs w:val="21"/>
                <w:highlight w:val="none"/>
              </w:rPr>
              <w:t>灰渣间内，灰渣间地面做防渗处理，灰渣间密闭</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杜绝露天堆放，并配合表面洒水降尘不会形成动力起尘的粉尘影响。</w:t>
            </w:r>
          </w:p>
          <w:p w14:paraId="397FCC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b w:val="0"/>
                <w:bCs w:val="0"/>
                <w:i w:val="0"/>
                <w:iCs w:val="0"/>
                <w:caps w:val="0"/>
                <w:color w:val="auto"/>
                <w:spacing w:val="0"/>
                <w:sz w:val="21"/>
                <w:szCs w:val="21"/>
                <w:highlight w:val="none"/>
                <w:lang w:val="en-US" w:eastAsia="zh-CN"/>
              </w:rPr>
            </w:pPr>
            <w:r>
              <w:rPr>
                <w:rFonts w:hint="default" w:ascii="Times New Roman" w:hAnsi="Times New Roman" w:eastAsia="宋体" w:cs="Times New Roman"/>
                <w:b w:val="0"/>
                <w:bCs w:val="0"/>
                <w:color w:val="auto"/>
                <w:spacing w:val="0"/>
                <w:position w:val="0"/>
                <w:sz w:val="21"/>
                <w:szCs w:val="21"/>
                <w:lang w:val="en-US" w:eastAsia="zh-CN"/>
              </w:rPr>
              <w:t>项目施工期</w:t>
            </w:r>
            <w:r>
              <w:rPr>
                <w:rFonts w:hint="default" w:ascii="Times New Roman" w:hAnsi="Times New Roman" w:eastAsia="宋体" w:cs="Times New Roman"/>
                <w:color w:val="auto"/>
                <w:sz w:val="21"/>
                <w:szCs w:val="21"/>
                <w:highlight w:val="none"/>
              </w:rPr>
              <w:t>施工车辆采取篷布加盖措施，施工车辆运输弃土、垃圾的车辆装载高度应低于车辆上沿，不得超高超载。实行封闭运输，以免车辆颠簸撒漏。坚持文明装卸，运输车辆装卸完货后应清洗车厢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在施工场地上设置专人负责弃土、建筑垃圾、建筑材料的处置、清运和堆放，堆放场地加盖蓬布或洒水，防止二次扬尘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对建筑垃圾及弃土应及时处理、清运、以减少占地，防止扬尘污染，在施工现场周围，连续设置不低于1.5m高的围挡，在施工场地安排员工定期对施工场地洒水</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施工结束后</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对场区内的裸露地面进行绿化、硬化工作</w:t>
            </w:r>
            <w:r>
              <w:rPr>
                <w:rFonts w:hint="default" w:ascii="Times New Roman" w:hAnsi="Times New Roman" w:eastAsia="宋体" w:cs="Times New Roman"/>
                <w:color w:val="auto"/>
                <w:sz w:val="21"/>
                <w:szCs w:val="21"/>
                <w:highlight w:val="none"/>
                <w:lang w:val="en-US" w:eastAsia="zh-CN"/>
              </w:rPr>
              <w:t>等措施，施工期</w:t>
            </w:r>
            <w:r>
              <w:rPr>
                <w:rFonts w:hint="default" w:ascii="Times New Roman" w:hAnsi="Times New Roman" w:eastAsia="宋体" w:cs="Times New Roman"/>
                <w:color w:val="auto"/>
                <w:sz w:val="21"/>
                <w:szCs w:val="21"/>
                <w:highlight w:val="none"/>
              </w:rPr>
              <w:t>减少扬尘的产生量</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本项目不涉及</w:t>
            </w:r>
            <w:r>
              <w:rPr>
                <w:rFonts w:hint="default" w:ascii="Times New Roman" w:hAnsi="Times New Roman" w:eastAsia="宋体" w:cs="Times New Roman"/>
                <w:b w:val="0"/>
                <w:bCs w:val="0"/>
                <w:i w:val="0"/>
                <w:iCs w:val="0"/>
                <w:caps w:val="0"/>
                <w:color w:val="auto"/>
                <w:spacing w:val="0"/>
                <w:sz w:val="21"/>
                <w:szCs w:val="21"/>
                <w:highlight w:val="none"/>
              </w:rPr>
              <w:t>秸秆</w:t>
            </w:r>
            <w:r>
              <w:rPr>
                <w:rFonts w:hint="eastAsia" w:cs="Times New Roman"/>
                <w:b w:val="0"/>
                <w:bCs w:val="0"/>
                <w:i w:val="0"/>
                <w:iCs w:val="0"/>
                <w:caps w:val="0"/>
                <w:color w:val="auto"/>
                <w:spacing w:val="0"/>
                <w:sz w:val="21"/>
                <w:szCs w:val="21"/>
                <w:highlight w:val="none"/>
                <w:lang w:val="en-US" w:eastAsia="zh-CN"/>
              </w:rPr>
              <w:t>利用及燃烧。</w:t>
            </w:r>
          </w:p>
          <w:p w14:paraId="679165D4">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cs="Times New Roman"/>
                <w:b w:val="0"/>
                <w:bCs w:val="0"/>
                <w:i w:val="0"/>
                <w:iCs w:val="0"/>
                <w:caps w:val="0"/>
                <w:color w:val="auto"/>
                <w:spacing w:val="0"/>
                <w:sz w:val="21"/>
                <w:szCs w:val="21"/>
                <w:highlight w:val="none"/>
                <w:lang w:val="en-US" w:eastAsia="zh-CN"/>
              </w:rPr>
              <w:t>综上所述，本项目</w:t>
            </w:r>
            <w:r>
              <w:rPr>
                <w:rFonts w:hint="eastAsia" w:cs="Times New Roman"/>
                <w:b w:val="0"/>
                <w:bCs w:val="0"/>
                <w:color w:val="auto"/>
                <w:sz w:val="21"/>
                <w:szCs w:val="21"/>
                <w:highlight w:val="none"/>
                <w:lang w:val="en-US" w:eastAsia="zh-CN"/>
              </w:rPr>
              <w:t>符合</w:t>
            </w:r>
            <w:r>
              <w:rPr>
                <w:rFonts w:hint="default" w:ascii="Times New Roman" w:hAnsi="Times New Roman" w:eastAsia="宋体" w:cs="Times New Roman"/>
                <w:b w:val="0"/>
                <w:bCs w:val="0"/>
                <w:color w:val="auto"/>
                <w:sz w:val="21"/>
                <w:szCs w:val="21"/>
                <w:highlight w:val="none"/>
                <w:lang w:val="en-US" w:eastAsia="zh-CN"/>
              </w:rPr>
              <w:t>《</w:t>
            </w:r>
            <w:r>
              <w:rPr>
                <w:rFonts w:hint="eastAsia" w:ascii="宋体" w:hAnsi="宋体" w:eastAsia="宋体" w:cs="宋体"/>
                <w:b w:val="0"/>
                <w:bCs w:val="0"/>
                <w:color w:val="auto"/>
                <w:sz w:val="21"/>
                <w:szCs w:val="21"/>
                <w:highlight w:val="none"/>
                <w:lang w:val="en-US" w:eastAsia="zh-CN"/>
              </w:rPr>
              <w:t>黑龙江省空气质量持续改善行动计划实施方案》</w:t>
            </w:r>
            <w:r>
              <w:rPr>
                <w:rFonts w:hint="default" w:ascii="Times New Roman" w:hAnsi="Times New Roman" w:eastAsia="宋体" w:cs="Times New Roman"/>
                <w:color w:val="auto"/>
                <w:kern w:val="2"/>
                <w:sz w:val="21"/>
                <w:szCs w:val="21"/>
                <w:highlight w:val="none"/>
                <w:lang w:val="en-US" w:eastAsia="zh-CN" w:bidi="ar-SA"/>
              </w:rPr>
              <w:t>（黑政发</w:t>
            </w:r>
            <w:r>
              <w:rPr>
                <w:rFonts w:hint="eastAsia" w:cs="Times New Roman"/>
                <w:color w:val="auto"/>
                <w:kern w:val="2"/>
                <w:sz w:val="21"/>
                <w:szCs w:val="21"/>
                <w:highlight w:val="none"/>
                <w:lang w:val="en-US" w:eastAsia="zh-CN" w:bidi="ar-SA"/>
              </w:rPr>
              <w:t>〔2023〕19号</w:t>
            </w:r>
            <w:r>
              <w:rPr>
                <w:rFonts w:hint="default" w:ascii="Times New Roman" w:hAnsi="Times New Roman" w:eastAsia="宋体" w:cs="Times New Roman"/>
                <w:color w:val="auto"/>
                <w:kern w:val="2"/>
                <w:sz w:val="21"/>
                <w:szCs w:val="21"/>
                <w:highlight w:val="none"/>
                <w:lang w:val="en-US" w:eastAsia="zh-CN" w:bidi="ar-SA"/>
              </w:rPr>
              <w:t>）</w:t>
            </w:r>
            <w:r>
              <w:rPr>
                <w:rFonts w:hint="eastAsia" w:ascii="宋体" w:hAnsi="宋体" w:eastAsia="宋体" w:cs="宋体"/>
                <w:b w:val="0"/>
                <w:bCs w:val="0"/>
                <w:color w:val="auto"/>
                <w:sz w:val="21"/>
                <w:szCs w:val="21"/>
                <w:highlight w:val="none"/>
                <w:lang w:val="en-US" w:eastAsia="zh-CN"/>
              </w:rPr>
              <w:t>中要求。</w:t>
            </w:r>
          </w:p>
          <w:p w14:paraId="33770B83">
            <w:pPr>
              <w:pStyle w:val="108"/>
              <w:keepNext w:val="0"/>
              <w:keepLines w:val="0"/>
              <w:suppressLineNumbers w:val="0"/>
              <w:spacing w:before="0" w:beforeAutospacing="0" w:after="0" w:afterAutospacing="0"/>
              <w:ind w:left="0" w:leftChars="0" w:right="0" w:firstLine="422" w:firstLineChars="200"/>
              <w:jc w:val="both"/>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11、</w:t>
            </w:r>
            <w:r>
              <w:rPr>
                <w:rFonts w:hint="default" w:ascii="Times New Roman" w:hAnsi="Times New Roman" w:eastAsia="宋体" w:cs="Times New Roman"/>
                <w:b/>
                <w:bCs/>
                <w:color w:val="auto"/>
                <w:kern w:val="2"/>
                <w:sz w:val="21"/>
                <w:szCs w:val="21"/>
                <w:highlight w:val="none"/>
                <w:lang w:val="en-US" w:eastAsia="zh-CN" w:bidi="ar-SA"/>
              </w:rPr>
              <w:t>与《鸡西市人民政府印发鸡西市空气质量持续改善行动计划贯彻落实方案的通知》（鸡政发〔2024〕6号）符合性分析</w:t>
            </w:r>
          </w:p>
          <w:p w14:paraId="33C4C09F">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《鸡西市人民政府印发鸡西市空气质量持续改善行动计划贯彻落实方案的通知》（鸡政发〔2024〕6号）</w:t>
            </w:r>
            <w:r>
              <w:rPr>
                <w:rFonts w:hint="eastAsia" w:ascii="Times New Roman" w:hAnsi="Times New Roman" w:eastAsia="宋体" w:cs="Times New Roman"/>
                <w:color w:val="auto"/>
                <w:sz w:val="21"/>
                <w:szCs w:val="21"/>
                <w:highlight w:val="none"/>
                <w:lang w:val="en-US" w:eastAsia="zh-CN"/>
              </w:rPr>
              <w:t>中提出：</w:t>
            </w:r>
          </w:p>
          <w:p w14:paraId="3953CBD3">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二、持续推进产业结构调整</w:t>
            </w:r>
          </w:p>
          <w:p w14:paraId="04FE79E7">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（五）加快退出重点行业落后产能。严格执行《产业结构调整指导目录》要求，加快退出淘汰类产能、工艺、装备，提高限制类产能、工艺、装备淘汰改造引导力度。</w:t>
            </w:r>
          </w:p>
          <w:p w14:paraId="00B55521">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三、持续优化改善能源结构</w:t>
            </w:r>
          </w:p>
          <w:p w14:paraId="0241EA21">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十</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严格合理控制煤炭消费总量。全市原则上不再新增自备燃煤机组，按要求支持自备燃煤机组实施清洁能源替代。合理保障支撑电力稳定供应、电网安全运行、清洁能源大规模并网消纳的煤电项目及其用煤量。鼓励锅炉生产制造企业优化锅炉设计，应用新材料、新技术、新工艺，通过优化参数和燃料结构、采用新型热力循环等方式，从源头提高锅炉绿色低碳水平。到2025年，全市煤炭消费比重在2020年基础上下降4%左右。</w:t>
            </w:r>
          </w:p>
          <w:p w14:paraId="5EB215AA">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十一）持续开展燃煤锅炉淘汰改造。有序推进小型电站锅炉和服役时间超过15年的老旧低效工业锅炉淘汰工作。将燃煤供热锅炉替代项目纳入城镇供热规划。县级及以上城市建成区原则上不再新建35蒸吨/小时及以下燃煤锅炉，其他地区原则上不再新建10蒸吨/小时及以下燃煤锅炉和2蒸吨/小时及以下生物质锅炉。加快热力管网建设，推广中长距离供热，加快替代供热管网覆盖范围内的小型燃煤锅炉，充分释放热电联产、工业余热等供热能力。到2025年，全市淘汰管网覆盖范围内的供热燃煤锅炉；细颗粒物（PM2.5）未达标县（市）区基本淘汰10蒸吨/小时及以下的燃煤锅炉。</w:t>
            </w:r>
          </w:p>
          <w:p w14:paraId="448277A3">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rPr>
              <w:t>根据</w:t>
            </w:r>
            <w:r>
              <w:rPr>
                <w:rFonts w:hint="eastAsia" w:ascii="宋体" w:hAnsi="宋体" w:eastAsia="宋体" w:cs="宋体"/>
                <w:color w:val="auto"/>
                <w:kern w:val="0"/>
                <w:sz w:val="21"/>
                <w:szCs w:val="21"/>
                <w:highlight w:val="none"/>
              </w:rPr>
              <w:t>《产业结构调整指导目录（</w:t>
            </w:r>
            <w:r>
              <w:rPr>
                <w:rFonts w:hint="default" w:ascii="Times New Roman" w:hAnsi="Times New Roman" w:eastAsia="宋体" w:cs="Times New Roman"/>
                <w:color w:val="auto"/>
                <w:kern w:val="0"/>
                <w:sz w:val="21"/>
                <w:szCs w:val="21"/>
                <w:highlight w:val="none"/>
                <w:lang w:val="en-US" w:eastAsia="zh-CN"/>
              </w:rPr>
              <w:t>2024</w:t>
            </w:r>
            <w:r>
              <w:rPr>
                <w:rFonts w:hint="eastAsia" w:ascii="宋体" w:hAnsi="宋体" w:eastAsia="宋体" w:cs="宋体"/>
                <w:color w:val="auto"/>
                <w:kern w:val="0"/>
                <w:sz w:val="21"/>
                <w:szCs w:val="21"/>
                <w:highlight w:val="none"/>
                <w:lang w:val="en-US" w:eastAsia="zh-CN"/>
              </w:rPr>
              <w:t>年本</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lang w:val="en-US" w:eastAsia="zh-CN"/>
              </w:rPr>
              <w:t>本项目</w:t>
            </w:r>
            <w:r>
              <w:rPr>
                <w:rFonts w:hint="eastAsia" w:ascii="Times New Roman" w:hAnsi="Times New Roman" w:eastAsia="宋体" w:cs="Times New Roman"/>
                <w:color w:val="auto"/>
                <w:sz w:val="21"/>
                <w:szCs w:val="21"/>
                <w:highlight w:val="none"/>
                <w:lang w:val="en-US" w:eastAsia="zh-CN"/>
              </w:rPr>
              <w:t>属于鼓励类中第一大类农林业第</w:t>
            </w:r>
            <w:r>
              <w:rPr>
                <w:rFonts w:hint="eastAsia" w:cs="Times New Roman"/>
                <w:color w:val="auto"/>
                <w:sz w:val="21"/>
                <w:szCs w:val="21"/>
                <w:highlight w:val="none"/>
                <w:lang w:val="en-US" w:eastAsia="zh-CN"/>
              </w:rPr>
              <w:t>8</w:t>
            </w:r>
            <w:r>
              <w:rPr>
                <w:rFonts w:hint="eastAsia" w:ascii="Times New Roman" w:hAnsi="Times New Roman" w:eastAsia="宋体" w:cs="Times New Roman"/>
                <w:color w:val="auto"/>
                <w:sz w:val="21"/>
                <w:szCs w:val="21"/>
                <w:highlight w:val="none"/>
                <w:lang w:val="en-US" w:eastAsia="zh-CN"/>
              </w:rPr>
              <w:t>条“农林牧渔产品储运、保鲜、加工与综合利用”</w:t>
            </w:r>
            <w:r>
              <w:rPr>
                <w:rFonts w:hint="eastAsia" w:cs="Times New Roman"/>
                <w:color w:val="auto"/>
                <w:sz w:val="21"/>
                <w:szCs w:val="21"/>
                <w:highlight w:val="none"/>
                <w:lang w:val="en-US" w:eastAsia="zh-CN"/>
              </w:rPr>
              <w:t>，本项目热风炉炉型为链条炉，使用生物质颗粒燃料，不属于淘汰类中（七)机械-67.燃煤热风炉，不属于限制类“</w:t>
            </w:r>
            <w:r>
              <w:rPr>
                <w:rFonts w:hint="default" w:ascii="Times New Roman" w:hAnsi="Times New Roman" w:eastAsia="宋体" w:cs="Times New Roman"/>
                <w:b w:val="0"/>
                <w:bCs w:val="0"/>
                <w:color w:val="auto"/>
                <w:kern w:val="0"/>
                <w:sz w:val="21"/>
                <w:szCs w:val="21"/>
                <w:highlight w:val="none"/>
                <w:lang w:val="en-US" w:eastAsia="zh-CN" w:bidi="ar"/>
              </w:rPr>
              <w:t>每小时35蒸吨及以下固定炉排式生物质锅炉</w:t>
            </w:r>
            <w:r>
              <w:rPr>
                <w:rFonts w:hint="eastAsia" w:cs="Times New Roman"/>
                <w:b w:val="0"/>
                <w:bCs w:val="0"/>
                <w:color w:val="auto"/>
                <w:kern w:val="0"/>
                <w:sz w:val="21"/>
                <w:szCs w:val="21"/>
                <w:highlight w:val="none"/>
                <w:lang w:val="en-US" w:eastAsia="zh-CN" w:bidi="ar"/>
              </w:rPr>
              <w:t>”</w:t>
            </w:r>
            <w:r>
              <w:rPr>
                <w:rFonts w:hint="eastAsia" w:ascii="Times New Roman" w:hAnsi="Times New Roman" w:eastAsia="宋体" w:cs="Times New Roman"/>
                <w:color w:val="auto"/>
                <w:sz w:val="21"/>
                <w:szCs w:val="21"/>
                <w:highlight w:val="none"/>
                <w:lang w:val="en-US" w:eastAsia="zh-CN"/>
              </w:rPr>
              <w:t>。</w:t>
            </w:r>
            <w:r>
              <w:rPr>
                <w:rFonts w:hint="eastAsia" w:eastAsia="宋体" w:cs="Times New Roman"/>
                <w:color w:val="auto"/>
                <w:sz w:val="21"/>
                <w:szCs w:val="21"/>
                <w:highlight w:val="none"/>
                <w:lang w:val="en-US" w:eastAsia="zh-CN"/>
              </w:rPr>
              <w:t>符合</w:t>
            </w:r>
            <w:r>
              <w:rPr>
                <w:rFonts w:hint="default" w:ascii="Times New Roman" w:hAnsi="Times New Roman" w:eastAsia="宋体" w:cs="Times New Roman"/>
                <w:color w:val="auto"/>
                <w:sz w:val="21"/>
                <w:szCs w:val="21"/>
                <w:highlight w:val="none"/>
                <w:lang w:val="en-US" w:eastAsia="zh-CN"/>
              </w:rPr>
              <w:t>《鸡西市人民政府印发鸡西市空气质量持续改善行动计划贯彻落实方案的通知》（鸡政发〔2024〕6号）</w:t>
            </w:r>
            <w:r>
              <w:rPr>
                <w:rFonts w:hint="eastAsia" w:eastAsia="宋体" w:cs="Times New Roman"/>
                <w:color w:val="auto"/>
                <w:sz w:val="21"/>
                <w:szCs w:val="21"/>
                <w:highlight w:val="none"/>
                <w:lang w:val="en-US" w:eastAsia="zh-CN"/>
              </w:rPr>
              <w:t>中“</w:t>
            </w:r>
            <w:r>
              <w:rPr>
                <w:rFonts w:hint="default" w:ascii="Times New Roman" w:hAnsi="Times New Roman" w:eastAsia="宋体" w:cs="Times New Roman"/>
                <w:color w:val="auto"/>
                <w:sz w:val="21"/>
                <w:szCs w:val="21"/>
                <w:highlight w:val="none"/>
                <w:lang w:val="en-US" w:eastAsia="zh-CN"/>
              </w:rPr>
              <w:t>加快退出重点行业落后产能。严格执行《产业结构调整指导目录》要求，加快退出淘汰类产能、工艺、装备，提高限制类产能、工艺、装备淘汰改造引导力度</w:t>
            </w:r>
            <w:r>
              <w:rPr>
                <w:rFonts w:hint="eastAsia" w:ascii="Times New Roman" w:hAnsi="Times New Roman" w:eastAsia="宋体" w:cs="Times New Roman"/>
                <w:color w:val="auto"/>
                <w:sz w:val="21"/>
                <w:szCs w:val="21"/>
                <w:highlight w:val="none"/>
                <w:lang w:val="en-US" w:eastAsia="zh-CN"/>
              </w:rPr>
              <w:t xml:space="preserve">”。  </w:t>
            </w:r>
          </w:p>
          <w:p w14:paraId="661612AD">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kern w:val="0"/>
                <w:sz w:val="21"/>
                <w:szCs w:val="21"/>
                <w:highlight w:val="none"/>
              </w:rPr>
              <w:t>本项目</w:t>
            </w:r>
            <w:r>
              <w:rPr>
                <w:rFonts w:hint="eastAsia" w:cs="Times New Roman"/>
                <w:bCs/>
                <w:color w:val="auto"/>
                <w:kern w:val="0"/>
                <w:sz w:val="21"/>
                <w:szCs w:val="21"/>
                <w:highlight w:val="none"/>
                <w:lang w:val="en-US" w:eastAsia="zh-CN"/>
              </w:rPr>
              <w:t>热风炉使用生物质成型燃料</w:t>
            </w:r>
            <w:r>
              <w:rPr>
                <w:rFonts w:hint="eastAsia"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配套建设布袋除尘器</w:t>
            </w:r>
            <w:r>
              <w:rPr>
                <w:rFonts w:hint="eastAsia" w:ascii="Times New Roman" w:hAnsi="Times New Roman" w:eastAsia="宋体" w:cs="Times New Roman"/>
                <w:color w:val="auto"/>
                <w:sz w:val="21"/>
                <w:szCs w:val="21"/>
                <w:highlight w:val="none"/>
                <w:lang w:val="en-US" w:eastAsia="zh-CN"/>
              </w:rPr>
              <w:t>，热风炉烟气经布袋除尘器处理后达标排放，不增加煤炭用量，符合</w:t>
            </w:r>
            <w:r>
              <w:rPr>
                <w:rFonts w:hint="default" w:ascii="Times New Roman" w:hAnsi="Times New Roman" w:eastAsia="宋体" w:cs="Times New Roman"/>
                <w:color w:val="auto"/>
                <w:sz w:val="21"/>
                <w:szCs w:val="21"/>
                <w:highlight w:val="none"/>
                <w:lang w:val="en-US" w:eastAsia="zh-CN"/>
              </w:rPr>
              <w:t>《鸡西市人民政府印发鸡西市空气质量持续改善行动计划贯彻落实方案的通知》（鸡政发〔2024〕6号）</w:t>
            </w:r>
            <w:r>
              <w:rPr>
                <w:rFonts w:hint="eastAsia" w:eastAsia="宋体" w:cs="Times New Roman"/>
                <w:color w:val="auto"/>
                <w:sz w:val="21"/>
                <w:szCs w:val="21"/>
                <w:highlight w:val="none"/>
                <w:lang w:val="en-US" w:eastAsia="zh-CN"/>
              </w:rPr>
              <w:t>中“</w:t>
            </w:r>
            <w:r>
              <w:rPr>
                <w:rFonts w:hint="default" w:ascii="Times New Roman" w:hAnsi="Times New Roman" w:eastAsia="宋体" w:cs="Times New Roman"/>
                <w:color w:val="auto"/>
                <w:sz w:val="21"/>
                <w:szCs w:val="21"/>
                <w:highlight w:val="none"/>
              </w:rPr>
              <w:t>严格合理控制煤炭消费总量</w:t>
            </w:r>
            <w:r>
              <w:rPr>
                <w:rFonts w:hint="eastAsia" w:eastAsia="宋体" w:cs="Times New Roman"/>
                <w:color w:val="auto"/>
                <w:sz w:val="21"/>
                <w:szCs w:val="21"/>
                <w:highlight w:val="none"/>
                <w:lang w:eastAsia="zh-CN"/>
              </w:rPr>
              <w:t>”</w:t>
            </w:r>
            <w:r>
              <w:rPr>
                <w:rFonts w:hint="eastAsia" w:eastAsia="宋体" w:cs="Times New Roman"/>
                <w:color w:val="auto"/>
                <w:sz w:val="21"/>
                <w:szCs w:val="21"/>
                <w:highlight w:val="none"/>
                <w:lang w:val="en-US" w:eastAsia="zh-CN"/>
              </w:rPr>
              <w:t>要求。</w:t>
            </w:r>
          </w:p>
          <w:p w14:paraId="294CA804">
            <w:pPr>
              <w:pStyle w:val="16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2" w:firstLineChars="200"/>
              <w:jc w:val="both"/>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12、</w:t>
            </w:r>
            <w:r>
              <w:rPr>
                <w:rFonts w:hint="default" w:ascii="Times New Roman" w:hAnsi="Times New Roman" w:eastAsia="宋体" w:cs="Times New Roman"/>
                <w:b/>
                <w:bCs/>
                <w:color w:val="auto"/>
                <w:kern w:val="2"/>
                <w:sz w:val="21"/>
                <w:szCs w:val="21"/>
                <w:highlight w:val="none"/>
                <w:lang w:val="en-US" w:eastAsia="zh-CN" w:bidi="ar-SA"/>
              </w:rPr>
              <w:t>与《鸡西市人民政府印发鸡西市“十四五”生态环境保护规划的通知》，（鸡政规〔2022〕7号）符合性分析</w:t>
            </w:r>
          </w:p>
          <w:p w14:paraId="2ECE7E4C">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val="en-US" w:eastAsia="zh-CN" w:bidi="ar"/>
              </w:rPr>
              <w:t>鸡西市“十四五”生态环境保护规划</w:t>
            </w:r>
            <w:r>
              <w:rPr>
                <w:rFonts w:hint="default" w:ascii="Times New Roman" w:hAnsi="Times New Roman" w:eastAsia="宋体" w:cs="Times New Roman"/>
                <w:color w:val="auto"/>
                <w:kern w:val="0"/>
                <w:sz w:val="21"/>
                <w:szCs w:val="21"/>
                <w:highlight w:val="none"/>
                <w:lang w:val="en-US" w:eastAsia="zh-CN" w:bidi="ar"/>
              </w:rPr>
              <w:t>》中</w:t>
            </w:r>
            <w:r>
              <w:rPr>
                <w:rFonts w:hint="eastAsia" w:ascii="Times New Roman" w:hAnsi="Times New Roman" w:eastAsia="宋体" w:cs="Times New Roman"/>
                <w:color w:val="auto"/>
                <w:kern w:val="0"/>
                <w:sz w:val="21"/>
                <w:szCs w:val="21"/>
                <w:highlight w:val="none"/>
                <w:lang w:val="en-US" w:eastAsia="zh-CN" w:bidi="ar"/>
              </w:rPr>
              <w:t>提出：“优化能源供给结构。建设清洁低碳、安全高效的能源体系。严格控制煤炭消费总量增速，实施煤炭消费减量替代，推动煤炭等化石能源清洁高效利用。实施能耗总量和强度双控，大幅降低能耗强度。实施可再生能源替代行动，促进非化石能源成为能源消费增量的主体。优化电力生产和输送通道布局，提高能源输配效率。优化风电、光伏发电布局。优先发展新能源产业，探索开展绿色能源利用。实施终端用能清洁化替代。重点削减小型燃煤锅炉、民用散煤与农业用煤消费量，降低煤炭在终端分散利用比例，对以煤、石焦油、渣油、重油等为燃料的锅炉和工业炉窑，加快使用清洁低碳能源以及工厂余热、电力热力等进行替代。加快推进煤城新能源项目建设。到2025年，全市清洁取暖率提高到40%以上。加大燃煤污染治理力度。深入实施散煤污染治理“三重一改”攻坚行动，统筹全市棚户区、城中村、城乡结合部、商户和农村地区散煤污染治理，按照“煤炭集中使用、清洁利用”原则，重点削减散煤、工业锅炉、工业炉窑等非电用煤，以“煤改气”“煤改电”为主要方式，降低煤炭在能源消费中的比重。持续推进清洁取暖，加快生物质成型燃料供暖，构建绿色、节约、高效、协调、适用的清洁供暖体系。市主城区建成区基本实现散煤清零。加快淘汰全市建成区10—35蒸吨/小时燃煤锅炉，推进65蒸吨/小时及以上燃煤锅炉（含电力）超低排放改造，实现20蒸吨/小时及以上锅炉稳定达标排放全覆盖。”</w:t>
            </w:r>
          </w:p>
          <w:p w14:paraId="017121D0">
            <w:pPr>
              <w:pStyle w:val="16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本项目使用生物质成型燃料，</w:t>
            </w:r>
            <w:r>
              <w:rPr>
                <w:rFonts w:hint="eastAsia" w:ascii="Times New Roman" w:hAnsi="Times New Roman" w:eastAsia="宋体" w:cs="Times New Roman"/>
                <w:color w:val="auto"/>
                <w:kern w:val="0"/>
                <w:sz w:val="21"/>
                <w:szCs w:val="21"/>
                <w:highlight w:val="none"/>
                <w:lang w:val="en-US" w:eastAsia="zh-CN" w:bidi="ar"/>
              </w:rPr>
              <w:t>不燃烧煤炭，生物质成型燃料是一种洁净低碳的可再生能源，符合</w:t>
            </w:r>
            <w:r>
              <w:rPr>
                <w:rFonts w:hint="default" w:ascii="Times New Roman" w:hAnsi="Times New Roman" w:eastAsia="宋体" w:cs="Times New Roman"/>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val="en-US" w:eastAsia="zh-CN" w:bidi="ar"/>
              </w:rPr>
              <w:t>鸡西市“十四五”生态环境保护规划》中提出：优化能源供给结构。建设清洁低碳、安全高效的能源体系。</w:t>
            </w:r>
          </w:p>
          <w:p w14:paraId="2E5C5B37">
            <w:pPr>
              <w:pStyle w:val="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2" w:firstLineChars="200"/>
              <w:textAlignment w:val="auto"/>
              <w:rPr>
                <w:rFonts w:hint="default" w:ascii="Times New Roman" w:hAnsi="Times New Roman" w:cs="Times New Roman"/>
                <w:b/>
                <w:bCs/>
                <w:color w:val="FF0000"/>
                <w:sz w:val="21"/>
                <w:szCs w:val="21"/>
                <w:highlight w:val="none"/>
                <w:lang w:val="en-US" w:eastAsia="zh-CN"/>
              </w:rPr>
            </w:pPr>
            <w:r>
              <w:rPr>
                <w:rFonts w:hint="eastAsia" w:ascii="Times New Roman" w:hAnsi="Times New Roman" w:cs="Times New Roman"/>
                <w:b/>
                <w:bCs/>
                <w:color w:val="FF0000"/>
                <w:sz w:val="21"/>
                <w:szCs w:val="21"/>
                <w:highlight w:val="none"/>
                <w:lang w:val="en-US" w:eastAsia="zh-CN"/>
              </w:rPr>
              <w:t>13</w:t>
            </w:r>
            <w:r>
              <w:rPr>
                <w:rFonts w:hint="default" w:ascii="Times New Roman" w:hAnsi="Times New Roman" w:cs="Times New Roman"/>
                <w:b/>
                <w:bCs/>
                <w:color w:val="FF0000"/>
                <w:sz w:val="21"/>
                <w:szCs w:val="21"/>
                <w:highlight w:val="none"/>
                <w:lang w:val="en-US" w:eastAsia="zh-CN"/>
              </w:rPr>
              <w:t>、与</w:t>
            </w:r>
            <w:r>
              <w:rPr>
                <w:rFonts w:hint="eastAsia" w:ascii="Times New Roman" w:hAnsi="Times New Roman" w:cs="Times New Roman"/>
                <w:b/>
                <w:bCs/>
                <w:color w:val="FF0000"/>
                <w:sz w:val="21"/>
                <w:szCs w:val="21"/>
                <w:highlight w:val="none"/>
                <w:lang w:val="en-US" w:eastAsia="zh-CN"/>
              </w:rPr>
              <w:t>《鸡东县</w:t>
            </w:r>
            <w:r>
              <w:rPr>
                <w:rFonts w:hint="default" w:ascii="Times New Roman" w:hAnsi="Times New Roman" w:cs="Times New Roman" w:eastAsiaTheme="minorEastAsia"/>
                <w:b/>
                <w:bCs/>
                <w:color w:val="FF0000"/>
                <w:sz w:val="21"/>
                <w:szCs w:val="21"/>
                <w:highlight w:val="none"/>
              </w:rPr>
              <w:t>国土空间总体规划（2021—2035年）》符合性分析</w:t>
            </w:r>
          </w:p>
          <w:p w14:paraId="51B70554">
            <w:pPr>
              <w:keepNext w:val="0"/>
              <w:keepLines w:val="0"/>
              <w:pageBreakBefore w:val="0"/>
              <w:widowControl/>
              <w:suppressLineNumbers w:val="0"/>
              <w:tabs>
                <w:tab w:val="left" w:pos="6480"/>
              </w:tabs>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rPr>
              <w:t>根据</w:t>
            </w:r>
            <w:r>
              <w:rPr>
                <w:rFonts w:hint="eastAsia" w:ascii="Times New Roman" w:hAnsi="Times New Roman" w:cs="Times New Roman"/>
                <w:b w:val="0"/>
                <w:bCs w:val="0"/>
                <w:color w:val="FF0000"/>
                <w:sz w:val="21"/>
                <w:szCs w:val="21"/>
                <w:highlight w:val="none"/>
                <w:lang w:val="en-US" w:eastAsia="zh-CN"/>
              </w:rPr>
              <w:t>《鸡东县</w:t>
            </w:r>
            <w:r>
              <w:rPr>
                <w:rFonts w:hint="default" w:ascii="Times New Roman" w:hAnsi="Times New Roman" w:cs="Times New Roman" w:eastAsiaTheme="minorEastAsia"/>
                <w:b w:val="0"/>
                <w:bCs w:val="0"/>
                <w:color w:val="FF0000"/>
                <w:sz w:val="21"/>
                <w:szCs w:val="21"/>
                <w:highlight w:val="none"/>
              </w:rPr>
              <w:t>国土空间总体规划（2021—2035年）》</w:t>
            </w:r>
            <w:r>
              <w:rPr>
                <w:rFonts w:hint="default" w:ascii="Times New Roman" w:hAnsi="Times New Roman" w:eastAsia="宋体" w:cs="Times New Roman"/>
                <w:b w:val="0"/>
                <w:bCs w:val="0"/>
                <w:color w:val="FF0000"/>
                <w:sz w:val="21"/>
                <w:szCs w:val="21"/>
                <w:highlight w:val="none"/>
              </w:rPr>
              <w:t>，本项目与</w:t>
            </w:r>
            <w:r>
              <w:rPr>
                <w:rFonts w:hint="default" w:ascii="Times New Roman" w:hAnsi="Times New Roman" w:cs="Times New Roman"/>
                <w:b w:val="0"/>
                <w:bCs w:val="0"/>
                <w:color w:val="FF0000"/>
                <w:sz w:val="21"/>
                <w:szCs w:val="21"/>
                <w:highlight w:val="none"/>
                <w:lang w:eastAsia="zh-CN"/>
              </w:rPr>
              <w:t>国土空间规划</w:t>
            </w:r>
            <w:r>
              <w:rPr>
                <w:rFonts w:hint="default" w:ascii="Times New Roman" w:hAnsi="Times New Roman" w:eastAsia="宋体" w:cs="Times New Roman"/>
                <w:b w:val="0"/>
                <w:bCs w:val="0"/>
                <w:color w:val="FF0000"/>
                <w:sz w:val="21"/>
                <w:szCs w:val="21"/>
                <w:highlight w:val="none"/>
              </w:rPr>
              <w:t>符合性分析见</w:t>
            </w:r>
            <w:r>
              <w:rPr>
                <w:rFonts w:hint="default" w:ascii="Times New Roman" w:hAnsi="Times New Roman" w:eastAsia="宋体" w:cs="Times New Roman"/>
                <w:b w:val="0"/>
                <w:bCs w:val="0"/>
                <w:color w:val="FF0000"/>
                <w:sz w:val="21"/>
                <w:szCs w:val="21"/>
                <w:highlight w:val="none"/>
                <w:lang w:val="en-US" w:eastAsia="zh-CN"/>
              </w:rPr>
              <w:t>下</w:t>
            </w:r>
            <w:r>
              <w:rPr>
                <w:rFonts w:hint="default" w:ascii="Times New Roman" w:hAnsi="Times New Roman" w:eastAsia="宋体" w:cs="Times New Roman"/>
                <w:b w:val="0"/>
                <w:bCs w:val="0"/>
                <w:color w:val="FF0000"/>
                <w:sz w:val="21"/>
                <w:szCs w:val="21"/>
                <w:highlight w:val="none"/>
              </w:rPr>
              <w:t>表。</w:t>
            </w:r>
          </w:p>
          <w:p w14:paraId="70C09424">
            <w:pPr>
              <w:pStyle w:val="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cs="Times New Roman"/>
                <w:color w:val="FF0000"/>
                <w:sz w:val="21"/>
                <w:szCs w:val="21"/>
                <w:highlight w:val="none"/>
                <w:lang w:val="en-US" w:eastAsia="zh-CN"/>
              </w:rPr>
            </w:pPr>
            <w:r>
              <w:rPr>
                <w:rFonts w:hint="default" w:ascii="Times New Roman" w:hAnsi="Times New Roman" w:eastAsia="宋体" w:cs="Times New Roman"/>
                <w:b/>
                <w:bCs/>
                <w:color w:val="FF0000"/>
                <w:sz w:val="21"/>
                <w:szCs w:val="21"/>
                <w:highlight w:val="none"/>
              </w:rPr>
              <w:t>表1-</w:t>
            </w:r>
            <w:r>
              <w:rPr>
                <w:rFonts w:hint="eastAsia" w:ascii="Times New Roman" w:hAnsi="Times New Roman" w:eastAsia="宋体" w:cs="Times New Roman"/>
                <w:b/>
                <w:bCs/>
                <w:color w:val="FF0000"/>
                <w:sz w:val="21"/>
                <w:szCs w:val="21"/>
                <w:highlight w:val="none"/>
                <w:lang w:val="en-US" w:eastAsia="zh-CN"/>
              </w:rPr>
              <w:t>3</w:t>
            </w:r>
            <w:r>
              <w:rPr>
                <w:rFonts w:hint="default" w:ascii="Times New Roman" w:hAnsi="Times New Roman" w:eastAsia="宋体" w:cs="Times New Roman"/>
                <w:b/>
                <w:bCs/>
                <w:color w:val="FF0000"/>
                <w:sz w:val="21"/>
                <w:szCs w:val="21"/>
                <w:highlight w:val="none"/>
                <w:lang w:val="en-US" w:eastAsia="zh-CN"/>
              </w:rPr>
              <w:t>与</w:t>
            </w:r>
            <w:r>
              <w:rPr>
                <w:rFonts w:hint="default" w:ascii="Times New Roman" w:hAnsi="Times New Roman" w:eastAsia="宋体" w:cs="Times New Roman"/>
                <w:b/>
                <w:bCs/>
                <w:color w:val="FF0000"/>
                <w:sz w:val="21"/>
                <w:szCs w:val="21"/>
                <w:highlight w:val="none"/>
                <w:lang w:eastAsia="zh-CN"/>
              </w:rPr>
              <w:t>鸡</w:t>
            </w:r>
            <w:r>
              <w:rPr>
                <w:rFonts w:hint="eastAsia" w:ascii="Times New Roman" w:hAnsi="Times New Roman" w:eastAsia="宋体" w:cs="Times New Roman"/>
                <w:b/>
                <w:bCs/>
                <w:color w:val="FF0000"/>
                <w:sz w:val="21"/>
                <w:szCs w:val="21"/>
                <w:highlight w:val="none"/>
                <w:lang w:val="en-US" w:eastAsia="zh-CN"/>
              </w:rPr>
              <w:t>东县</w:t>
            </w:r>
            <w:r>
              <w:rPr>
                <w:rFonts w:hint="default" w:ascii="Times New Roman" w:hAnsi="Times New Roman" w:eastAsia="宋体" w:cs="Times New Roman"/>
                <w:b/>
                <w:bCs/>
                <w:color w:val="FF0000"/>
                <w:sz w:val="21"/>
                <w:szCs w:val="21"/>
                <w:highlight w:val="none"/>
                <w:lang w:eastAsia="zh-CN"/>
              </w:rPr>
              <w:t>国土空间总体规划</w:t>
            </w:r>
            <w:r>
              <w:rPr>
                <w:rFonts w:hint="default" w:ascii="Times New Roman" w:hAnsi="Times New Roman" w:eastAsia="宋体" w:cs="Times New Roman"/>
                <w:b/>
                <w:bCs/>
                <w:color w:val="FF0000"/>
                <w:sz w:val="21"/>
                <w:szCs w:val="21"/>
                <w:highlight w:val="none"/>
              </w:rPr>
              <w:t>符合性分析</w:t>
            </w:r>
          </w:p>
          <w:tbl>
            <w:tblPr>
              <w:tblStyle w:val="37"/>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5"/>
              <w:gridCol w:w="3281"/>
              <w:gridCol w:w="1910"/>
              <w:gridCol w:w="1209"/>
            </w:tblGrid>
            <w:tr w14:paraId="457C95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4296" w:type="dxa"/>
                  <w:gridSpan w:val="2"/>
                  <w:tcBorders>
                    <w:top w:val="single" w:color="auto" w:sz="12" w:space="0"/>
                  </w:tcBorders>
                  <w:vAlign w:val="center"/>
                </w:tcPr>
                <w:p w14:paraId="0F20A085">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FF0000"/>
                      <w:sz w:val="18"/>
                      <w:szCs w:val="18"/>
                      <w:highlight w:val="none"/>
                      <w:vertAlign w:val="baseline"/>
                      <w:lang w:val="en-US" w:eastAsia="zh-CN"/>
                    </w:rPr>
                  </w:pPr>
                  <w:r>
                    <w:rPr>
                      <w:rFonts w:hint="default" w:ascii="Times New Roman" w:hAnsi="Times New Roman" w:eastAsia="宋体" w:cs="Times New Roman"/>
                      <w:b/>
                      <w:bCs/>
                      <w:color w:val="FF0000"/>
                      <w:sz w:val="18"/>
                      <w:szCs w:val="18"/>
                      <w:highlight w:val="none"/>
                      <w:vertAlign w:val="baseline"/>
                      <w:lang w:eastAsia="zh-CN"/>
                    </w:rPr>
                    <w:t>规划</w:t>
                  </w:r>
                  <w:r>
                    <w:rPr>
                      <w:rFonts w:hint="eastAsia" w:ascii="Times New Roman" w:hAnsi="Times New Roman" w:eastAsia="宋体" w:cs="Times New Roman"/>
                      <w:b/>
                      <w:bCs/>
                      <w:color w:val="FF0000"/>
                      <w:sz w:val="18"/>
                      <w:szCs w:val="18"/>
                      <w:highlight w:val="none"/>
                      <w:vertAlign w:val="baseline"/>
                      <w:lang w:val="en-US" w:eastAsia="zh-CN"/>
                    </w:rPr>
                    <w:t>成果</w:t>
                  </w:r>
                </w:p>
              </w:tc>
              <w:tc>
                <w:tcPr>
                  <w:tcW w:w="1910" w:type="dxa"/>
                  <w:tcBorders>
                    <w:top w:val="single" w:color="auto" w:sz="12" w:space="0"/>
                  </w:tcBorders>
                  <w:vAlign w:val="center"/>
                </w:tcPr>
                <w:p w14:paraId="4111A22B">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FF0000"/>
                      <w:sz w:val="18"/>
                      <w:szCs w:val="18"/>
                      <w:highlight w:val="none"/>
                      <w:vertAlign w:val="baseline"/>
                      <w:lang w:eastAsia="zh-CN"/>
                    </w:rPr>
                  </w:pPr>
                  <w:r>
                    <w:rPr>
                      <w:rFonts w:hint="default" w:ascii="Times New Roman" w:hAnsi="Times New Roman" w:eastAsia="宋体" w:cs="Times New Roman"/>
                      <w:b/>
                      <w:bCs/>
                      <w:color w:val="FF0000"/>
                      <w:sz w:val="18"/>
                      <w:szCs w:val="18"/>
                      <w:highlight w:val="none"/>
                      <w:vertAlign w:val="baseline"/>
                      <w:lang w:eastAsia="zh-CN"/>
                    </w:rPr>
                    <w:t>项目内容</w:t>
                  </w:r>
                </w:p>
              </w:tc>
              <w:tc>
                <w:tcPr>
                  <w:tcW w:w="1209" w:type="dxa"/>
                  <w:tcBorders>
                    <w:top w:val="single" w:color="auto" w:sz="12" w:space="0"/>
                  </w:tcBorders>
                  <w:vAlign w:val="center"/>
                </w:tcPr>
                <w:p w14:paraId="141F7206">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FF0000"/>
                      <w:sz w:val="18"/>
                      <w:szCs w:val="18"/>
                      <w:highlight w:val="none"/>
                      <w:vertAlign w:val="baseline"/>
                      <w:lang w:eastAsia="zh-CN"/>
                    </w:rPr>
                  </w:pPr>
                  <w:r>
                    <w:rPr>
                      <w:rFonts w:hint="default" w:ascii="Times New Roman" w:hAnsi="Times New Roman" w:eastAsia="宋体" w:cs="Times New Roman"/>
                      <w:b/>
                      <w:bCs/>
                      <w:color w:val="FF0000"/>
                      <w:sz w:val="18"/>
                      <w:szCs w:val="18"/>
                      <w:highlight w:val="none"/>
                      <w:vertAlign w:val="baseline"/>
                      <w:lang w:eastAsia="zh-CN"/>
                    </w:rPr>
                    <w:t>符合性</w:t>
                  </w:r>
                </w:p>
              </w:tc>
            </w:tr>
            <w:tr w14:paraId="14071D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5" w:type="dxa"/>
                  <w:vAlign w:val="center"/>
                </w:tcPr>
                <w:p w14:paraId="60DF7D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color w:val="FF0000"/>
                      <w:sz w:val="18"/>
                      <w:szCs w:val="18"/>
                      <w:lang w:val="en-US" w:eastAsia="zh-CN"/>
                    </w:rPr>
                  </w:pPr>
                  <w:r>
                    <w:rPr>
                      <w:rFonts w:hint="eastAsia"/>
                      <w:color w:val="FF0000"/>
                      <w:sz w:val="18"/>
                      <w:szCs w:val="18"/>
                      <w:lang w:val="en-US" w:eastAsia="zh-CN"/>
                    </w:rPr>
                    <w:t>城市定位</w:t>
                  </w:r>
                </w:p>
              </w:tc>
              <w:tc>
                <w:tcPr>
                  <w:tcW w:w="3281" w:type="dxa"/>
                  <w:vAlign w:val="center"/>
                </w:tcPr>
                <w:p w14:paraId="71200F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color w:val="FF0000"/>
                      <w:sz w:val="18"/>
                      <w:szCs w:val="18"/>
                      <w:lang w:eastAsia="zh-CN"/>
                    </w:rPr>
                  </w:pPr>
                  <w:r>
                    <w:rPr>
                      <w:rFonts w:hint="default"/>
                      <w:color w:val="FF0000"/>
                      <w:sz w:val="18"/>
                      <w:szCs w:val="18"/>
                    </w:rPr>
                    <w:t>以工业创新精深加工、农副产品精细加工、特色康养旅游、商贸物流业为主的生态综合型城市</w:t>
                  </w:r>
                  <w:r>
                    <w:rPr>
                      <w:rFonts w:hint="eastAsia"/>
                      <w:color w:val="FF0000"/>
                      <w:sz w:val="18"/>
                      <w:szCs w:val="18"/>
                      <w:lang w:eastAsia="zh-CN"/>
                    </w:rPr>
                    <w:t>。</w:t>
                  </w:r>
                </w:p>
              </w:tc>
              <w:tc>
                <w:tcPr>
                  <w:tcW w:w="1910" w:type="dxa"/>
                  <w:vAlign w:val="center"/>
                </w:tcPr>
                <w:p w14:paraId="004AEF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color w:val="FF0000"/>
                      <w:sz w:val="18"/>
                      <w:szCs w:val="18"/>
                      <w:lang w:val="en-US" w:eastAsia="zh-CN"/>
                    </w:rPr>
                  </w:pPr>
                  <w:r>
                    <w:rPr>
                      <w:rFonts w:hint="eastAsia"/>
                      <w:color w:val="FF0000"/>
                      <w:sz w:val="18"/>
                      <w:szCs w:val="18"/>
                      <w:lang w:val="en-US" w:eastAsia="zh-CN"/>
                    </w:rPr>
                    <w:t>本项目为农产品初加工，符合城市定位。</w:t>
                  </w:r>
                </w:p>
              </w:tc>
              <w:tc>
                <w:tcPr>
                  <w:tcW w:w="1209" w:type="dxa"/>
                  <w:vAlign w:val="center"/>
                </w:tcPr>
                <w:p w14:paraId="7E9037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color w:val="FF0000"/>
                      <w:sz w:val="18"/>
                      <w:szCs w:val="18"/>
                      <w:lang w:eastAsia="zh-CN"/>
                    </w:rPr>
                  </w:pPr>
                  <w:r>
                    <w:rPr>
                      <w:rFonts w:hint="default"/>
                      <w:color w:val="FF0000"/>
                      <w:sz w:val="18"/>
                      <w:szCs w:val="18"/>
                      <w:lang w:eastAsia="zh-CN"/>
                    </w:rPr>
                    <w:t>符合</w:t>
                  </w:r>
                </w:p>
              </w:tc>
            </w:tr>
            <w:tr w14:paraId="008355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5" w:type="dxa"/>
                  <w:vAlign w:val="center"/>
                </w:tcPr>
                <w:p w14:paraId="20B16A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color w:val="FF0000"/>
                      <w:sz w:val="18"/>
                      <w:szCs w:val="18"/>
                    </w:rPr>
                  </w:pPr>
                  <w:r>
                    <w:rPr>
                      <w:rFonts w:hint="eastAsia"/>
                      <w:color w:val="FF0000"/>
                      <w:sz w:val="18"/>
                      <w:szCs w:val="18"/>
                      <w:lang w:val="en-US" w:eastAsia="zh-CN"/>
                    </w:rPr>
                    <w:t>区域资源环境共保</w:t>
                  </w:r>
                </w:p>
              </w:tc>
              <w:tc>
                <w:tcPr>
                  <w:tcW w:w="3281" w:type="dxa"/>
                  <w:vAlign w:val="center"/>
                </w:tcPr>
                <w:p w14:paraId="67C02E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color w:val="FF0000"/>
                      <w:sz w:val="18"/>
                      <w:szCs w:val="18"/>
                    </w:rPr>
                  </w:pPr>
                  <w:r>
                    <w:rPr>
                      <w:rFonts w:hint="eastAsia"/>
                      <w:color w:val="FF0000"/>
                      <w:sz w:val="18"/>
                      <w:szCs w:val="18"/>
                      <w:lang w:val="en-US" w:eastAsia="zh-CN"/>
                    </w:rPr>
                    <w:t>加强区域生态功能区划、环境保护规划的协调与合作，共同推进重要的生态功能地区保护与管理；加强环境保护方面的协调；加强地质灾害保护的协调。</w:t>
                  </w:r>
                </w:p>
              </w:tc>
              <w:tc>
                <w:tcPr>
                  <w:tcW w:w="1910" w:type="dxa"/>
                  <w:shd w:val="clear" w:color="auto" w:fill="auto"/>
                  <w:vAlign w:val="center"/>
                </w:tcPr>
                <w:p w14:paraId="5B71EF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color w:val="FF0000"/>
                      <w:sz w:val="18"/>
                      <w:szCs w:val="18"/>
                      <w:lang w:val="en-US" w:eastAsia="zh-CN"/>
                    </w:rPr>
                  </w:pPr>
                  <w:r>
                    <w:rPr>
                      <w:rFonts w:hint="eastAsia"/>
                      <w:color w:val="FF0000"/>
                      <w:sz w:val="18"/>
                      <w:szCs w:val="18"/>
                      <w:lang w:eastAsia="zh-CN"/>
                    </w:rPr>
                    <w:t>本项目用地未处于生态红线保护范围内，周围不存在自然保护区等生态敏感区。</w:t>
                  </w:r>
                </w:p>
              </w:tc>
              <w:tc>
                <w:tcPr>
                  <w:tcW w:w="1209" w:type="dxa"/>
                  <w:vAlign w:val="center"/>
                </w:tcPr>
                <w:p w14:paraId="0D421A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color w:val="FF0000"/>
                      <w:sz w:val="18"/>
                      <w:szCs w:val="18"/>
                    </w:rPr>
                  </w:pPr>
                  <w:r>
                    <w:rPr>
                      <w:rFonts w:hint="eastAsia"/>
                      <w:color w:val="FF0000"/>
                      <w:sz w:val="18"/>
                      <w:szCs w:val="18"/>
                      <w:lang w:eastAsia="zh-CN"/>
                    </w:rPr>
                    <w:t>符合</w:t>
                  </w:r>
                </w:p>
              </w:tc>
            </w:tr>
            <w:tr w14:paraId="2ED54C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5" w:type="dxa"/>
                  <w:tcBorders>
                    <w:bottom w:val="single" w:color="auto" w:sz="12" w:space="0"/>
                  </w:tcBorders>
                  <w:shd w:val="clear" w:color="auto" w:fill="auto"/>
                  <w:vAlign w:val="center"/>
                </w:tcPr>
                <w:p w14:paraId="3B1394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color w:val="FF0000"/>
                      <w:sz w:val="18"/>
                      <w:szCs w:val="18"/>
                      <w:lang w:val="en-US" w:eastAsia="zh-CN"/>
                    </w:rPr>
                  </w:pPr>
                  <w:r>
                    <w:rPr>
                      <w:rFonts w:hint="eastAsia"/>
                      <w:color w:val="FF0000"/>
                      <w:sz w:val="18"/>
                      <w:szCs w:val="18"/>
                      <w:lang w:val="en-US" w:eastAsia="zh-CN"/>
                    </w:rPr>
                    <w:t>划定三条控制线</w:t>
                  </w:r>
                </w:p>
              </w:tc>
              <w:tc>
                <w:tcPr>
                  <w:tcW w:w="3281" w:type="dxa"/>
                  <w:tcBorders>
                    <w:bottom w:val="single" w:color="auto" w:sz="12" w:space="0"/>
                  </w:tcBorders>
                  <w:shd w:val="clear" w:color="auto" w:fill="auto"/>
                  <w:vAlign w:val="center"/>
                </w:tcPr>
                <w:p w14:paraId="0D117D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color w:val="FF0000"/>
                      <w:sz w:val="18"/>
                      <w:szCs w:val="18"/>
                      <w:lang w:val="en-US" w:eastAsia="zh-CN"/>
                    </w:rPr>
                  </w:pPr>
                  <w:r>
                    <w:rPr>
                      <w:rFonts w:hint="eastAsia"/>
                      <w:color w:val="FF0000"/>
                      <w:sz w:val="18"/>
                      <w:szCs w:val="18"/>
                      <w:lang w:val="en-US" w:eastAsia="zh-CN"/>
                    </w:rPr>
                    <w:t>优先划定生态保护红线具有特殊重要生态功能或生态敏感脆弱、必须强制性严格保护的陆地自然区域。严格保护永久基本农田按照“应保尽保、量质并重”的原则，保质保量划定永久基本农田，确保国家粮食安全和重要农产品供给。合理划定城镇开发边界按照“集约适度、绿色发展”的要求，统筹全县城乡空间格局，科学划定城镇开发边界。</w:t>
                  </w:r>
                </w:p>
              </w:tc>
              <w:tc>
                <w:tcPr>
                  <w:tcW w:w="1910" w:type="dxa"/>
                  <w:tcBorders>
                    <w:bottom w:val="single" w:color="auto" w:sz="12" w:space="0"/>
                  </w:tcBorders>
                  <w:shd w:val="clear" w:color="auto" w:fill="auto"/>
                  <w:vAlign w:val="center"/>
                </w:tcPr>
                <w:p w14:paraId="60E4D9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color w:val="FF0000"/>
                      <w:sz w:val="18"/>
                      <w:szCs w:val="18"/>
                      <w:lang w:val="en-US" w:eastAsia="zh-CN"/>
                    </w:rPr>
                  </w:pPr>
                  <w:r>
                    <w:rPr>
                      <w:rFonts w:hint="eastAsia"/>
                      <w:color w:val="FF0000"/>
                      <w:sz w:val="18"/>
                      <w:szCs w:val="18"/>
                      <w:lang w:eastAsia="zh-CN"/>
                    </w:rPr>
                    <w:t>本项目用地</w:t>
                  </w:r>
                  <w:r>
                    <w:rPr>
                      <w:rFonts w:hint="eastAsia"/>
                      <w:color w:val="FF0000"/>
                      <w:sz w:val="18"/>
                      <w:szCs w:val="18"/>
                      <w:lang w:val="en-US" w:eastAsia="zh-CN"/>
                    </w:rPr>
                    <w:t>不涉及耕地及</w:t>
                  </w:r>
                  <w:r>
                    <w:rPr>
                      <w:rFonts w:hint="eastAsia"/>
                      <w:color w:val="FF0000"/>
                      <w:sz w:val="18"/>
                      <w:szCs w:val="18"/>
                    </w:rPr>
                    <w:t>永久基本农田</w:t>
                  </w:r>
                  <w:r>
                    <w:rPr>
                      <w:rFonts w:hint="eastAsia"/>
                      <w:color w:val="FF0000"/>
                      <w:sz w:val="18"/>
                      <w:szCs w:val="18"/>
                      <w:lang w:eastAsia="zh-CN"/>
                    </w:rPr>
                    <w:t>，不会对农业造成影响。</w:t>
                  </w:r>
                  <w:r>
                    <w:rPr>
                      <w:rFonts w:hint="eastAsia"/>
                      <w:color w:val="FF0000"/>
                      <w:sz w:val="18"/>
                      <w:szCs w:val="18"/>
                      <w:lang w:val="en-US" w:eastAsia="zh-CN"/>
                    </w:rPr>
                    <w:t>本项目</w:t>
                  </w:r>
                  <w:r>
                    <w:rPr>
                      <w:rFonts w:hint="eastAsia"/>
                      <w:color w:val="FF0000"/>
                      <w:sz w:val="18"/>
                      <w:szCs w:val="18"/>
                      <w:lang w:eastAsia="zh-CN"/>
                    </w:rPr>
                    <w:t>符合城镇发展需要。</w:t>
                  </w:r>
                </w:p>
              </w:tc>
              <w:tc>
                <w:tcPr>
                  <w:tcW w:w="1209" w:type="dxa"/>
                  <w:tcBorders>
                    <w:bottom w:val="single" w:color="auto" w:sz="12" w:space="0"/>
                  </w:tcBorders>
                  <w:vAlign w:val="center"/>
                </w:tcPr>
                <w:p w14:paraId="41FAE9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color w:val="FF0000"/>
                      <w:sz w:val="18"/>
                      <w:szCs w:val="18"/>
                    </w:rPr>
                  </w:pPr>
                  <w:r>
                    <w:rPr>
                      <w:rFonts w:hint="eastAsia"/>
                      <w:color w:val="FF0000"/>
                      <w:sz w:val="18"/>
                      <w:szCs w:val="18"/>
                      <w:lang w:eastAsia="zh-CN"/>
                    </w:rPr>
                    <w:t>符合</w:t>
                  </w:r>
                </w:p>
              </w:tc>
            </w:tr>
          </w:tbl>
          <w:p w14:paraId="38AC224D">
            <w:pPr>
              <w:keepNext w:val="0"/>
              <w:keepLines w:val="0"/>
              <w:pageBreakBefore w:val="0"/>
              <w:suppressLineNumbers w:val="0"/>
              <w:kinsoku/>
              <w:wordWrap/>
              <w:overflowPunct/>
              <w:topLinePunct w:val="0"/>
              <w:bidi w:val="0"/>
              <w:spacing w:before="0" w:beforeAutospacing="0" w:after="0" w:afterAutospacing="0" w:line="360" w:lineRule="auto"/>
              <w:ind w:left="0" w:right="0"/>
              <w:textAlignment w:val="auto"/>
              <w:rPr>
                <w:rFonts w:hint="default" w:eastAsia="宋体"/>
                <w:color w:val="auto"/>
                <w:highlight w:val="none"/>
                <w:lang w:val="en-US" w:eastAsia="zh-CN"/>
              </w:rPr>
            </w:pPr>
          </w:p>
        </w:tc>
      </w:tr>
      <w:bookmarkEnd w:id="3"/>
    </w:tbl>
    <w:p w14:paraId="549FED57">
      <w:pPr>
        <w:spacing w:line="360" w:lineRule="auto"/>
        <w:outlineLvl w:val="0"/>
        <w:rPr>
          <w:rFonts w:hint="default" w:ascii="Times New Roman" w:hAnsi="Times New Roman" w:eastAsia="黑体" w:cs="Times New Roman"/>
          <w:color w:val="auto"/>
          <w:sz w:val="30"/>
          <w:highlight w:val="none"/>
        </w:rPr>
        <w:sectPr>
          <w:footerReference r:id="rId4" w:type="default"/>
          <w:pgSz w:w="11850" w:h="16783"/>
          <w:pgMar w:top="1701" w:right="1531" w:bottom="1701" w:left="1531" w:header="851" w:footer="1077" w:gutter="0"/>
          <w:pgBorders>
            <w:top w:val="none" w:sz="0" w:space="0"/>
            <w:left w:val="none" w:sz="0" w:space="0"/>
            <w:bottom w:val="none" w:sz="0" w:space="0"/>
            <w:right w:val="none" w:sz="0" w:space="0"/>
          </w:pgBorders>
          <w:pgNumType w:fmt="numberInDash" w:start="1"/>
          <w:cols w:space="0" w:num="1"/>
          <w:docGrid w:type="lines" w:linePitch="312" w:charSpace="0"/>
        </w:sectPr>
      </w:pPr>
    </w:p>
    <w:p w14:paraId="2617D89C">
      <w:pPr>
        <w:pStyle w:val="30"/>
        <w:spacing w:before="0" w:beforeAutospacing="0" w:after="0" w:afterAutospacing="0"/>
        <w:jc w:val="center"/>
        <w:outlineLvl w:val="0"/>
        <w:rPr>
          <w:rFonts w:hint="default" w:ascii="Times New Roman" w:hAnsi="Times New Roman" w:eastAsia="黑体" w:cs="Times New Roman"/>
          <w:snapToGrid w:val="0"/>
          <w:color w:val="auto"/>
          <w:kern w:val="21"/>
          <w:sz w:val="30"/>
          <w:szCs w:val="30"/>
          <w:highlight w:val="none"/>
        </w:rPr>
      </w:pPr>
      <w:bookmarkStart w:id="4" w:name="_Toc20676"/>
      <w:r>
        <w:rPr>
          <w:rFonts w:hint="default" w:ascii="Times New Roman" w:hAnsi="Times New Roman" w:eastAsia="黑体" w:cs="Times New Roman"/>
          <w:snapToGrid w:val="0"/>
          <w:color w:val="auto"/>
          <w:kern w:val="21"/>
          <w:sz w:val="30"/>
          <w:szCs w:val="30"/>
          <w:highlight w:val="none"/>
        </w:rPr>
        <w:t>二、建设项目工程分析</w:t>
      </w:r>
      <w:bookmarkEnd w:id="4"/>
    </w:p>
    <w:tbl>
      <w:tblPr>
        <w:tblStyle w:val="36"/>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8313"/>
      </w:tblGrid>
      <w:tr w14:paraId="46487B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45" w:hRule="atLeast"/>
          <w:jc w:val="center"/>
        </w:trPr>
        <w:tc>
          <w:tcPr>
            <w:tcW w:w="758" w:type="dxa"/>
            <w:vAlign w:val="center"/>
          </w:tcPr>
          <w:p w14:paraId="238B000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 w:val="24"/>
                <w:szCs w:val="21"/>
                <w:highlight w:val="none"/>
              </w:rPr>
            </w:pPr>
            <w:r>
              <w:rPr>
                <w:rFonts w:hint="default" w:ascii="Times New Roman" w:hAnsi="Times New Roman" w:cs="Times New Roman"/>
                <w:color w:val="auto"/>
                <w:kern w:val="21"/>
                <w:szCs w:val="21"/>
                <w:highlight w:val="none"/>
              </w:rPr>
              <w:t>建设内容</w:t>
            </w:r>
          </w:p>
        </w:tc>
        <w:tc>
          <w:tcPr>
            <w:tcW w:w="8313" w:type="dxa"/>
            <w:vAlign w:val="center"/>
          </w:tcPr>
          <w:p w14:paraId="45403BDA">
            <w:pPr>
              <w:pStyle w:val="2"/>
              <w:keepNext w:val="0"/>
              <w:keepLines w:val="0"/>
              <w:widowControl w:val="0"/>
              <w:suppressLineNumbers w:val="0"/>
              <w:snapToGrid/>
              <w:spacing w:before="0" w:beforeAutospacing="0" w:after="0" w:afterAutospacing="0" w:line="360" w:lineRule="auto"/>
              <w:ind w:left="0" w:right="0" w:firstLine="422" w:firstLineChars="200"/>
              <w:rPr>
                <w:rFonts w:hint="default" w:ascii="Times New Roman" w:hAnsi="Times New Roman" w:cs="Times New Roman"/>
                <w:b/>
                <w:bCs/>
                <w:color w:val="auto"/>
                <w:kern w:val="21"/>
                <w:sz w:val="21"/>
                <w:szCs w:val="21"/>
                <w:highlight w:val="none"/>
              </w:rPr>
            </w:pPr>
            <w:r>
              <w:rPr>
                <w:rFonts w:hint="default" w:ascii="Times New Roman" w:hAnsi="Times New Roman" w:cs="Times New Roman"/>
                <w:b/>
                <w:bCs/>
                <w:color w:val="auto"/>
                <w:kern w:val="21"/>
                <w:sz w:val="21"/>
                <w:szCs w:val="21"/>
                <w:highlight w:val="none"/>
              </w:rPr>
              <w:t>1、建设内容及规模</w:t>
            </w:r>
          </w:p>
          <w:p w14:paraId="24DCD91F">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FF0000"/>
                <w:kern w:val="21"/>
                <w:sz w:val="21"/>
                <w:szCs w:val="21"/>
                <w:highlight w:val="none"/>
                <w:lang w:val="en-US" w:eastAsia="zh-CN"/>
              </w:rPr>
            </w:pPr>
            <w:r>
              <w:rPr>
                <w:rFonts w:hint="default" w:ascii="Times New Roman" w:hAnsi="Times New Roman" w:cs="Times New Roman"/>
                <w:bCs/>
                <w:color w:val="FF0000"/>
                <w:sz w:val="21"/>
                <w:szCs w:val="21"/>
              </w:rPr>
              <w:t>本项目</w:t>
            </w:r>
            <w:r>
              <w:rPr>
                <w:rFonts w:hint="eastAsia" w:cs="Times New Roman"/>
                <w:bCs/>
                <w:color w:val="FF0000"/>
                <w:sz w:val="21"/>
                <w:szCs w:val="21"/>
                <w:lang w:val="en-US" w:eastAsia="zh-CN"/>
              </w:rPr>
              <w:t>厂区占地面积</w:t>
            </w:r>
            <w:r>
              <w:rPr>
                <w:rFonts w:hint="eastAsia" w:cs="Times New Roman"/>
                <w:b w:val="0"/>
                <w:bCs w:val="0"/>
                <w:color w:val="FF0000"/>
                <w:kern w:val="21"/>
                <w:sz w:val="21"/>
                <w:szCs w:val="21"/>
                <w:highlight w:val="none"/>
                <w:lang w:val="en-US" w:eastAsia="zh-CN"/>
              </w:rPr>
              <w:t>5853.64</w:t>
            </w:r>
            <w:r>
              <w:rPr>
                <w:rFonts w:hint="eastAsia" w:eastAsia="宋体" w:cs="Times New Roman"/>
                <w:b w:val="0"/>
                <w:bCs w:val="0"/>
                <w:color w:val="FF0000"/>
                <w:kern w:val="21"/>
                <w:sz w:val="21"/>
                <w:szCs w:val="21"/>
                <w:highlight w:val="none"/>
                <w:lang w:val="en-US" w:eastAsia="zh-CN"/>
              </w:rPr>
              <w:t>m</w:t>
            </w:r>
            <w:r>
              <w:rPr>
                <w:rFonts w:hint="eastAsia" w:eastAsia="宋体" w:cs="Times New Roman"/>
                <w:b w:val="0"/>
                <w:bCs w:val="0"/>
                <w:color w:val="FF0000"/>
                <w:kern w:val="21"/>
                <w:sz w:val="21"/>
                <w:szCs w:val="21"/>
                <w:highlight w:val="none"/>
                <w:vertAlign w:val="superscript"/>
                <w:lang w:val="en-US" w:eastAsia="zh-CN"/>
              </w:rPr>
              <w:t>2</w:t>
            </w:r>
            <w:r>
              <w:rPr>
                <w:rFonts w:hint="eastAsia" w:eastAsia="宋体" w:cs="Times New Roman"/>
                <w:b w:val="0"/>
                <w:bCs w:val="0"/>
                <w:color w:val="FF0000"/>
                <w:kern w:val="21"/>
                <w:sz w:val="21"/>
                <w:szCs w:val="21"/>
                <w:highlight w:val="none"/>
                <w:lang w:val="en-US" w:eastAsia="zh-CN"/>
              </w:rPr>
              <w:t>，</w:t>
            </w:r>
            <w:r>
              <w:rPr>
                <w:rFonts w:hint="eastAsia" w:cs="Times New Roman"/>
                <w:color w:val="FF0000"/>
                <w:kern w:val="21"/>
                <w:sz w:val="21"/>
                <w:szCs w:val="21"/>
                <w:highlight w:val="none"/>
                <w:vertAlign w:val="baseline"/>
                <w:lang w:val="en-US" w:eastAsia="zh-CN"/>
              </w:rPr>
              <w:t>新建1座</w:t>
            </w:r>
            <w:r>
              <w:rPr>
                <w:rFonts w:hint="eastAsia" w:cs="Times New Roman" w:eastAsiaTheme="minorEastAsia"/>
                <w:color w:val="FF0000"/>
                <w:sz w:val="21"/>
                <w:szCs w:val="21"/>
                <w:highlight w:val="none"/>
                <w:vertAlign w:val="baseline"/>
                <w:lang w:val="en-US" w:eastAsia="zh-CN"/>
              </w:rPr>
              <w:t>日烘干能力200t/d烘干塔、1台5t/h燃生物质热风炉配套1台布袋除尘器，以及1座热风炉房、2座平房仓、1座库房、1座潮粮仓、提升机、输送机、滚筒筛等辅助设备，</w:t>
            </w:r>
            <w:r>
              <w:rPr>
                <w:rFonts w:hint="eastAsia" w:cs="Times New Roman"/>
                <w:color w:val="FF0000"/>
                <w:kern w:val="21"/>
                <w:sz w:val="21"/>
                <w:szCs w:val="21"/>
                <w:highlight w:val="none"/>
                <w:lang w:val="en-US" w:eastAsia="zh-CN"/>
              </w:rPr>
              <w:t>本项目建成后年烘干玉米20000t。</w:t>
            </w:r>
            <w:r>
              <w:rPr>
                <w:rFonts w:hint="default" w:ascii="Times New Roman" w:hAnsi="Times New Roman" w:cs="Times New Roman"/>
                <w:color w:val="FF0000"/>
                <w:kern w:val="21"/>
                <w:sz w:val="21"/>
                <w:szCs w:val="21"/>
                <w:highlight w:val="none"/>
              </w:rPr>
              <w:t>主要建设内容见表2-1。</w:t>
            </w:r>
          </w:p>
          <w:p w14:paraId="3DC4F17C">
            <w:pPr>
              <w:keepNext w:val="0"/>
              <w:keepLines w:val="0"/>
              <w:suppressLineNumbers w:val="0"/>
              <w:spacing w:before="0" w:beforeAutospacing="0" w:after="0" w:afterAutospacing="0"/>
              <w:ind w:left="0" w:right="0"/>
              <w:jc w:val="center"/>
              <w:rPr>
                <w:rFonts w:hint="default" w:ascii="Times New Roman" w:hAnsi="Times New Roman" w:eastAsia="黑体" w:cs="Times New Roman"/>
                <w:snapToGrid w:val="0"/>
                <w:color w:val="auto"/>
                <w:sz w:val="24"/>
                <w:highlight w:val="none"/>
              </w:rPr>
            </w:pPr>
            <w:r>
              <w:rPr>
                <w:rFonts w:hint="default" w:ascii="Times New Roman" w:hAnsi="Times New Roman" w:eastAsia="宋体" w:cs="Times New Roman"/>
                <w:b/>
                <w:bCs/>
                <w:snapToGrid w:val="0"/>
                <w:color w:val="auto"/>
                <w:szCs w:val="21"/>
                <w:highlight w:val="none"/>
              </w:rPr>
              <w:t>表2-1主要建设内容及规模一览表</w:t>
            </w:r>
          </w:p>
          <w:tbl>
            <w:tblPr>
              <w:tblStyle w:val="36"/>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2"/>
              <w:gridCol w:w="1159"/>
              <w:gridCol w:w="5188"/>
              <w:gridCol w:w="1085"/>
            </w:tblGrid>
            <w:tr w14:paraId="06FD4B4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top w:val="single" w:color="auto" w:sz="12" w:space="0"/>
                  </w:tcBorders>
                  <w:noWrap w:val="0"/>
                  <w:vAlign w:val="center"/>
                </w:tcPr>
                <w:p w14:paraId="182525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ascii="Times New Roman" w:hAnsi="Times New Roman" w:cs="Times New Roman"/>
                      <w:color w:val="auto"/>
                      <w:sz w:val="18"/>
                      <w:szCs w:val="18"/>
                      <w:highlight w:val="none"/>
                    </w:rPr>
                    <w:t>工程组成</w:t>
                  </w:r>
                </w:p>
              </w:tc>
              <w:tc>
                <w:tcPr>
                  <w:tcW w:w="716" w:type="pct"/>
                  <w:tcBorders>
                    <w:top w:val="single" w:color="auto" w:sz="12" w:space="0"/>
                  </w:tcBorders>
                  <w:noWrap w:val="0"/>
                  <w:vAlign w:val="center"/>
                </w:tcPr>
                <w:p w14:paraId="5E2A11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建设内容</w:t>
                  </w:r>
                </w:p>
              </w:tc>
              <w:tc>
                <w:tcPr>
                  <w:tcW w:w="3204" w:type="pct"/>
                  <w:tcBorders>
                    <w:top w:val="single" w:color="auto" w:sz="12" w:space="0"/>
                  </w:tcBorders>
                  <w:noWrap w:val="0"/>
                  <w:vAlign w:val="center"/>
                </w:tcPr>
                <w:p w14:paraId="4389AE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建设规模及内容</w:t>
                  </w:r>
                </w:p>
              </w:tc>
              <w:tc>
                <w:tcPr>
                  <w:tcW w:w="670" w:type="pct"/>
                  <w:tcBorders>
                    <w:top w:val="single" w:color="auto" w:sz="12" w:space="0"/>
                  </w:tcBorders>
                  <w:noWrap w:val="0"/>
                  <w:vAlign w:val="center"/>
                </w:tcPr>
                <w:p w14:paraId="7DDCC4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备注</w:t>
                  </w:r>
                </w:p>
              </w:tc>
            </w:tr>
            <w:tr w14:paraId="3006459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restart"/>
                  <w:noWrap w:val="0"/>
                  <w:vAlign w:val="center"/>
                </w:tcPr>
                <w:p w14:paraId="37CC2F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eastAsia="zh-CN"/>
                    </w:rPr>
                    <w:t>主体工程</w:t>
                  </w:r>
                </w:p>
              </w:tc>
              <w:tc>
                <w:tcPr>
                  <w:tcW w:w="716" w:type="pct"/>
                  <w:noWrap w:val="0"/>
                  <w:vAlign w:val="center"/>
                </w:tcPr>
                <w:p w14:paraId="1739FF64">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eastAsia="zh-CN"/>
                    </w:rPr>
                    <w:t>烘干塔</w:t>
                  </w:r>
                </w:p>
              </w:tc>
              <w:tc>
                <w:tcPr>
                  <w:tcW w:w="3204" w:type="pct"/>
                  <w:noWrap w:val="0"/>
                  <w:vAlign w:val="center"/>
                </w:tcPr>
                <w:p w14:paraId="3A55DC93">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left"/>
                    <w:textAlignment w:val="auto"/>
                    <w:rPr>
                      <w:rFonts w:hint="default" w:ascii="宋体" w:hAnsi="宋体" w:cs="宋体"/>
                      <w:color w:val="FF0000"/>
                      <w:kern w:val="21"/>
                      <w:sz w:val="18"/>
                      <w:szCs w:val="18"/>
                      <w:highlight w:val="none"/>
                      <w:lang w:val="en-US" w:eastAsia="zh-CN"/>
                    </w:rPr>
                  </w:pPr>
                  <w:r>
                    <w:rPr>
                      <w:rFonts w:hint="default" w:ascii="Times New Roman" w:hAnsi="Times New Roman" w:eastAsia="宋体" w:cs="Times New Roman"/>
                      <w:color w:val="FF0000"/>
                      <w:kern w:val="21"/>
                      <w:sz w:val="18"/>
                      <w:szCs w:val="18"/>
                      <w:highlight w:val="none"/>
                      <w:lang w:val="en-US" w:eastAsia="zh-CN"/>
                    </w:rPr>
                    <w:t>1座</w:t>
                  </w:r>
                  <w:r>
                    <w:rPr>
                      <w:rFonts w:hint="default" w:ascii="Times New Roman" w:hAnsi="Times New Roman" w:cs="Times New Roman"/>
                      <w:color w:val="FF0000"/>
                      <w:kern w:val="21"/>
                      <w:sz w:val="18"/>
                      <w:szCs w:val="18"/>
                      <w:highlight w:val="none"/>
                      <w:lang w:val="en-US" w:eastAsia="zh-CN"/>
                    </w:rPr>
                    <w:t>2</w:t>
                  </w:r>
                  <w:r>
                    <w:rPr>
                      <w:rFonts w:hint="default" w:ascii="Times New Roman" w:hAnsi="Times New Roman" w:eastAsia="宋体" w:cs="Times New Roman"/>
                      <w:color w:val="FF0000"/>
                      <w:kern w:val="21"/>
                      <w:sz w:val="18"/>
                      <w:szCs w:val="18"/>
                      <w:highlight w:val="none"/>
                      <w:lang w:val="en-US" w:eastAsia="zh-CN"/>
                    </w:rPr>
                    <w:t>00</w:t>
                  </w:r>
                  <w:r>
                    <w:rPr>
                      <w:rFonts w:hint="default" w:ascii="Times New Roman" w:hAnsi="Times New Roman" w:cs="Times New Roman"/>
                      <w:color w:val="FF0000"/>
                      <w:kern w:val="21"/>
                      <w:sz w:val="18"/>
                      <w:szCs w:val="18"/>
                      <w:highlight w:val="none"/>
                      <w:lang w:val="en-US" w:eastAsia="zh-CN"/>
                    </w:rPr>
                    <w:t>t/d</w:t>
                  </w:r>
                  <w:r>
                    <w:rPr>
                      <w:rFonts w:hint="default" w:ascii="Times New Roman" w:hAnsi="Times New Roman" w:eastAsia="宋体" w:cs="Times New Roman"/>
                      <w:color w:val="FF0000"/>
                      <w:kern w:val="21"/>
                      <w:sz w:val="18"/>
                      <w:szCs w:val="18"/>
                      <w:highlight w:val="none"/>
                      <w:lang w:val="en-US" w:eastAsia="zh-CN"/>
                    </w:rPr>
                    <w:t>烘干塔，</w:t>
                  </w:r>
                  <w:r>
                    <w:rPr>
                      <w:rFonts w:hint="eastAsia" w:cs="Times New Roman"/>
                      <w:color w:val="FF0000"/>
                      <w:kern w:val="21"/>
                      <w:sz w:val="18"/>
                      <w:szCs w:val="18"/>
                      <w:highlight w:val="none"/>
                      <w:lang w:val="en-US" w:eastAsia="zh-CN"/>
                    </w:rPr>
                    <w:t>年生产100天，2400h，</w:t>
                  </w:r>
                  <w:r>
                    <w:rPr>
                      <w:rFonts w:hint="default" w:ascii="Times New Roman" w:hAnsi="Times New Roman" w:cs="Times New Roman"/>
                      <w:color w:val="FF0000"/>
                      <w:kern w:val="21"/>
                      <w:sz w:val="18"/>
                      <w:szCs w:val="18"/>
                      <w:highlight w:val="none"/>
                      <w:lang w:val="en-US" w:eastAsia="zh-CN"/>
                    </w:rPr>
                    <w:t>烘干玉米</w:t>
                  </w:r>
                  <w:r>
                    <w:rPr>
                      <w:rFonts w:hint="eastAsia" w:cs="Times New Roman"/>
                      <w:color w:val="FF0000"/>
                      <w:kern w:val="21"/>
                      <w:sz w:val="18"/>
                      <w:szCs w:val="18"/>
                      <w:highlight w:val="none"/>
                      <w:lang w:val="en-US" w:eastAsia="zh-CN"/>
                    </w:rPr>
                    <w:t>20</w:t>
                  </w:r>
                  <w:r>
                    <w:rPr>
                      <w:rFonts w:hint="eastAsia" w:ascii="Times New Roman" w:hAnsi="Times New Roman" w:cs="Times New Roman"/>
                      <w:color w:val="FF0000"/>
                      <w:kern w:val="21"/>
                      <w:sz w:val="18"/>
                      <w:szCs w:val="18"/>
                      <w:highlight w:val="none"/>
                      <w:lang w:val="en-US" w:eastAsia="zh-CN"/>
                    </w:rPr>
                    <w:t>000</w:t>
                  </w:r>
                  <w:r>
                    <w:rPr>
                      <w:rFonts w:hint="default" w:ascii="Times New Roman" w:hAnsi="Times New Roman" w:cs="Times New Roman"/>
                      <w:color w:val="FF0000"/>
                      <w:kern w:val="21"/>
                      <w:sz w:val="18"/>
                      <w:szCs w:val="18"/>
                      <w:highlight w:val="none"/>
                      <w:lang w:val="en-US" w:eastAsia="zh-CN"/>
                    </w:rPr>
                    <w:t>t</w:t>
                  </w:r>
                  <w:r>
                    <w:rPr>
                      <w:rFonts w:hint="eastAsia" w:cs="Times New Roman"/>
                      <w:color w:val="FF0000"/>
                      <w:kern w:val="21"/>
                      <w:sz w:val="18"/>
                      <w:szCs w:val="18"/>
                      <w:highlight w:val="none"/>
                      <w:lang w:val="en-US" w:eastAsia="zh-CN"/>
                    </w:rPr>
                    <w:t>。</w:t>
                  </w:r>
                </w:p>
              </w:tc>
              <w:tc>
                <w:tcPr>
                  <w:tcW w:w="670" w:type="pct"/>
                  <w:noWrap w:val="0"/>
                  <w:vAlign w:val="center"/>
                </w:tcPr>
                <w:p w14:paraId="24EB72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新建</w:t>
                  </w:r>
                </w:p>
              </w:tc>
            </w:tr>
            <w:tr w14:paraId="0DE0682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vMerge w:val="continue"/>
                  <w:noWrap w:val="0"/>
                  <w:vAlign w:val="center"/>
                </w:tcPr>
                <w:p w14:paraId="1D78A2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67F765EA">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cs="Times New Roman"/>
                      <w:bCs/>
                      <w:color w:val="auto"/>
                      <w:kern w:val="0"/>
                      <w:sz w:val="18"/>
                      <w:szCs w:val="18"/>
                      <w:highlight w:val="none"/>
                      <w:lang w:val="en-US" w:eastAsia="zh-CN"/>
                    </w:rPr>
                    <w:t>热风炉房</w:t>
                  </w:r>
                </w:p>
              </w:tc>
              <w:tc>
                <w:tcPr>
                  <w:tcW w:w="3204" w:type="pct"/>
                  <w:noWrap w:val="0"/>
                  <w:vAlign w:val="center"/>
                </w:tcPr>
                <w:p w14:paraId="762323A3">
                  <w:pPr>
                    <w:pStyle w:val="15"/>
                    <w:keepNext w:val="0"/>
                    <w:keepLines w:val="0"/>
                    <w:suppressLineNumbers w:val="0"/>
                    <w:bidi w:val="0"/>
                    <w:spacing w:before="0" w:beforeAutospacing="0" w:after="0" w:afterAutospacing="0"/>
                    <w:ind w:left="0" w:right="0"/>
                    <w:jc w:val="left"/>
                    <w:rPr>
                      <w:rFonts w:hint="default" w:eastAsia="宋体"/>
                      <w:color w:val="auto"/>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bidi="ar-SA"/>
                    </w:rPr>
                    <w:t>1座单层砖混结构热风炉房，占地面积</w:t>
                  </w:r>
                  <w:r>
                    <w:rPr>
                      <w:rFonts w:hint="eastAsia" w:ascii="Times New Roman" w:hAnsi="Times New Roman" w:cs="Times New Roman"/>
                      <w:color w:val="auto"/>
                      <w:kern w:val="21"/>
                      <w:sz w:val="18"/>
                      <w:szCs w:val="18"/>
                      <w:highlight w:val="none"/>
                      <w:lang w:val="en-US" w:eastAsia="zh-CN" w:bidi="ar-SA"/>
                    </w:rPr>
                    <w:t>250.82</w:t>
                  </w:r>
                  <w:r>
                    <w:rPr>
                      <w:rFonts w:hint="default" w:ascii="Times New Roman" w:hAnsi="Times New Roman" w:cs="Times New Roman"/>
                      <w:color w:val="auto"/>
                      <w:kern w:val="21"/>
                      <w:sz w:val="18"/>
                      <w:szCs w:val="18"/>
                      <w:highlight w:val="none"/>
                      <w:lang w:val="en-US" w:eastAsia="zh-CN" w:bidi="ar-SA"/>
                    </w:rPr>
                    <w:t>m</w:t>
                  </w:r>
                  <w:r>
                    <w:rPr>
                      <w:rFonts w:hint="default" w:ascii="Times New Roman" w:hAnsi="Times New Roman" w:cs="Times New Roman"/>
                      <w:color w:val="auto"/>
                      <w:kern w:val="21"/>
                      <w:sz w:val="18"/>
                      <w:szCs w:val="18"/>
                      <w:highlight w:val="none"/>
                      <w:vertAlign w:val="superscript"/>
                      <w:lang w:val="en-US" w:eastAsia="zh-CN" w:bidi="ar-SA"/>
                    </w:rPr>
                    <w:t>2</w:t>
                  </w:r>
                  <w:r>
                    <w:rPr>
                      <w:rFonts w:hint="default" w:ascii="Times New Roman" w:hAnsi="Times New Roman" w:eastAsia="宋体" w:cs="Times New Roman"/>
                      <w:color w:val="auto"/>
                      <w:kern w:val="21"/>
                      <w:sz w:val="18"/>
                      <w:szCs w:val="18"/>
                      <w:highlight w:val="none"/>
                      <w:lang w:val="en-US" w:eastAsia="zh-CN" w:bidi="ar-SA"/>
                    </w:rPr>
                    <w:t>，高</w:t>
                  </w:r>
                  <w:r>
                    <w:rPr>
                      <w:rFonts w:hint="eastAsia" w:ascii="Times New Roman" w:hAnsi="Times New Roman" w:cs="Times New Roman"/>
                      <w:color w:val="auto"/>
                      <w:kern w:val="21"/>
                      <w:sz w:val="18"/>
                      <w:szCs w:val="18"/>
                      <w:highlight w:val="none"/>
                      <w:lang w:val="en-US" w:eastAsia="zh-CN" w:bidi="ar-SA"/>
                    </w:rPr>
                    <w:t>6</w:t>
                  </w:r>
                  <w:r>
                    <w:rPr>
                      <w:rFonts w:hint="default" w:ascii="Times New Roman" w:hAnsi="Times New Roman" w:cs="Times New Roman"/>
                      <w:color w:val="auto"/>
                      <w:kern w:val="21"/>
                      <w:sz w:val="18"/>
                      <w:szCs w:val="18"/>
                      <w:highlight w:val="none"/>
                      <w:lang w:val="en-US" w:eastAsia="zh-CN" w:bidi="ar-SA"/>
                    </w:rPr>
                    <w:t>m</w:t>
                  </w:r>
                  <w:r>
                    <w:rPr>
                      <w:rFonts w:hint="default" w:ascii="Times New Roman" w:hAnsi="Times New Roman" w:eastAsia="宋体" w:cs="Times New Roman"/>
                      <w:color w:val="auto"/>
                      <w:kern w:val="21"/>
                      <w:sz w:val="18"/>
                      <w:szCs w:val="18"/>
                      <w:highlight w:val="none"/>
                      <w:lang w:val="en-US" w:eastAsia="zh-CN" w:bidi="ar-SA"/>
                    </w:rPr>
                    <w:t>，</w:t>
                  </w:r>
                  <w:r>
                    <w:rPr>
                      <w:rFonts w:hint="eastAsia" w:ascii="Times New Roman" w:hAnsi="Times New Roman" w:cs="Times New Roman"/>
                      <w:color w:val="auto"/>
                      <w:kern w:val="21"/>
                      <w:sz w:val="18"/>
                      <w:szCs w:val="18"/>
                      <w:highlight w:val="none"/>
                      <w:lang w:val="en-US" w:eastAsia="zh-CN" w:bidi="ar-SA"/>
                    </w:rPr>
                    <w:t>内置1台</w:t>
                  </w:r>
                  <w:r>
                    <w:rPr>
                      <w:rFonts w:hint="eastAsia" w:ascii="Times New Roman" w:hAnsi="Times New Roman" w:eastAsia="宋体" w:cs="Times New Roman"/>
                      <w:color w:val="auto"/>
                      <w:kern w:val="21"/>
                      <w:sz w:val="18"/>
                      <w:szCs w:val="18"/>
                      <w:highlight w:val="none"/>
                      <w:lang w:val="en-US" w:eastAsia="zh-CN" w:bidi="ar-SA"/>
                    </w:rPr>
                    <w:t>5</w:t>
                  </w:r>
                  <w:r>
                    <w:rPr>
                      <w:rFonts w:hint="default" w:ascii="Times New Roman" w:hAnsi="Times New Roman" w:eastAsia="宋体" w:cs="Times New Roman"/>
                      <w:color w:val="auto"/>
                      <w:kern w:val="21"/>
                      <w:sz w:val="18"/>
                      <w:szCs w:val="18"/>
                      <w:highlight w:val="none"/>
                      <w:lang w:val="en-US" w:eastAsia="zh-CN" w:bidi="ar-SA"/>
                    </w:rPr>
                    <w:t>t/h</w:t>
                  </w:r>
                  <w:r>
                    <w:rPr>
                      <w:rFonts w:hint="eastAsia" w:ascii="Times New Roman" w:hAnsi="Times New Roman" w:eastAsia="宋体" w:cs="Times New Roman"/>
                      <w:color w:val="auto"/>
                      <w:kern w:val="21"/>
                      <w:sz w:val="18"/>
                      <w:szCs w:val="18"/>
                      <w:highlight w:val="none"/>
                      <w:lang w:val="en-US" w:eastAsia="zh-CN" w:bidi="ar-SA"/>
                    </w:rPr>
                    <w:t>燃</w:t>
                  </w:r>
                  <w:r>
                    <w:rPr>
                      <w:rFonts w:hint="eastAsia" w:ascii="Times New Roman" w:hAnsi="Times New Roman" w:cs="Times New Roman"/>
                      <w:color w:val="auto"/>
                      <w:kern w:val="21"/>
                      <w:sz w:val="18"/>
                      <w:szCs w:val="18"/>
                      <w:highlight w:val="none"/>
                      <w:lang w:val="en-US" w:eastAsia="zh-CN" w:bidi="ar-SA"/>
                    </w:rPr>
                    <w:t>生物质</w:t>
                  </w:r>
                  <w:r>
                    <w:rPr>
                      <w:rFonts w:hint="default" w:ascii="Times New Roman" w:hAnsi="Times New Roman" w:eastAsia="宋体" w:cs="Times New Roman"/>
                      <w:color w:val="auto"/>
                      <w:kern w:val="21"/>
                      <w:sz w:val="18"/>
                      <w:szCs w:val="18"/>
                      <w:highlight w:val="none"/>
                      <w:lang w:val="en-US" w:eastAsia="zh-CN" w:bidi="ar-SA"/>
                    </w:rPr>
                    <w:t>热风炉</w:t>
                  </w:r>
                  <w:r>
                    <w:rPr>
                      <w:rFonts w:hint="eastAsia" w:ascii="Times New Roman" w:hAnsi="Times New Roman" w:cs="Times New Roman"/>
                      <w:color w:val="auto"/>
                      <w:kern w:val="21"/>
                      <w:sz w:val="18"/>
                      <w:szCs w:val="18"/>
                      <w:highlight w:val="none"/>
                      <w:lang w:val="en-US" w:eastAsia="zh-CN" w:bidi="ar-SA"/>
                    </w:rPr>
                    <w:t>。</w:t>
                  </w:r>
                </w:p>
              </w:tc>
              <w:tc>
                <w:tcPr>
                  <w:tcW w:w="670" w:type="pct"/>
                  <w:noWrap w:val="0"/>
                  <w:vAlign w:val="center"/>
                </w:tcPr>
                <w:p w14:paraId="48AD51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新建</w:t>
                  </w:r>
                </w:p>
              </w:tc>
            </w:tr>
            <w:tr w14:paraId="65BBFA1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continue"/>
                  <w:noWrap w:val="0"/>
                  <w:vAlign w:val="center"/>
                </w:tcPr>
                <w:p w14:paraId="366A61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255FA89A">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eastAsia"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筛分工程</w:t>
                  </w:r>
                </w:p>
              </w:tc>
              <w:tc>
                <w:tcPr>
                  <w:tcW w:w="3204" w:type="pct"/>
                  <w:noWrap w:val="0"/>
                  <w:vAlign w:val="center"/>
                </w:tcPr>
                <w:p w14:paraId="0CD09BEF">
                  <w:pPr>
                    <w:pStyle w:val="15"/>
                    <w:keepNext w:val="0"/>
                    <w:keepLines w:val="0"/>
                    <w:suppressLineNumbers w:val="0"/>
                    <w:bidi w:val="0"/>
                    <w:spacing w:before="0" w:beforeAutospacing="0" w:after="0" w:afterAutospacing="0"/>
                    <w:ind w:left="0" w:right="0"/>
                    <w:jc w:val="left"/>
                    <w:rPr>
                      <w:rFonts w:hint="default" w:ascii="宋体" w:hAnsi="宋体" w:eastAsia="宋体" w:cs="宋体"/>
                      <w:color w:val="auto"/>
                      <w:kern w:val="21"/>
                      <w:sz w:val="18"/>
                      <w:szCs w:val="18"/>
                      <w:highlight w:val="none"/>
                      <w:lang w:val="en-US" w:eastAsia="zh-CN" w:bidi="ar-SA"/>
                    </w:rPr>
                  </w:pPr>
                  <w:r>
                    <w:rPr>
                      <w:rFonts w:hint="eastAsia" w:hAnsi="宋体" w:cs="宋体"/>
                      <w:color w:val="auto"/>
                      <w:kern w:val="21"/>
                      <w:sz w:val="18"/>
                      <w:szCs w:val="18"/>
                      <w:highlight w:val="none"/>
                      <w:lang w:val="en-US" w:eastAsia="zh-CN" w:bidi="ar-SA"/>
                    </w:rPr>
                    <w:t>室外设置1台密闭滚筒初清筛，用于原料筛分、除杂，年筛分</w:t>
                  </w:r>
                  <w:r>
                    <w:rPr>
                      <w:rFonts w:hint="default" w:ascii="Times New Roman" w:hAnsi="Times New Roman" w:cs="Times New Roman"/>
                      <w:color w:val="auto"/>
                      <w:kern w:val="21"/>
                      <w:sz w:val="18"/>
                      <w:szCs w:val="18"/>
                      <w:highlight w:val="none"/>
                      <w:lang w:val="en-US" w:eastAsia="zh-CN" w:bidi="ar-SA"/>
                    </w:rPr>
                    <w:t>玉米20000t</w:t>
                  </w:r>
                  <w:r>
                    <w:rPr>
                      <w:rFonts w:hint="eastAsia" w:ascii="Times New Roman" w:hAnsi="Times New Roman" w:cs="Times New Roman"/>
                      <w:color w:val="auto"/>
                      <w:kern w:val="21"/>
                      <w:sz w:val="18"/>
                      <w:szCs w:val="18"/>
                      <w:highlight w:val="none"/>
                      <w:lang w:val="en-US" w:eastAsia="zh-CN" w:bidi="ar-SA"/>
                    </w:rPr>
                    <w:t>。</w:t>
                  </w:r>
                </w:p>
              </w:tc>
              <w:tc>
                <w:tcPr>
                  <w:tcW w:w="670" w:type="pct"/>
                  <w:noWrap w:val="0"/>
                  <w:vAlign w:val="center"/>
                </w:tcPr>
                <w:p w14:paraId="6FCBCC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新建</w:t>
                  </w:r>
                </w:p>
              </w:tc>
            </w:tr>
            <w:tr w14:paraId="27BA277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noWrap w:val="0"/>
                  <w:vAlign w:val="center"/>
                </w:tcPr>
                <w:p w14:paraId="7336A5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eastAsia="zh-CN"/>
                    </w:rPr>
                    <w:t>辅助工程</w:t>
                  </w:r>
                </w:p>
              </w:tc>
              <w:tc>
                <w:tcPr>
                  <w:tcW w:w="716" w:type="pct"/>
                  <w:noWrap w:val="0"/>
                  <w:vAlign w:val="center"/>
                </w:tcPr>
                <w:p w14:paraId="01115FE4">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s="Times New Roman"/>
                      <w:color w:val="auto"/>
                      <w:sz w:val="18"/>
                      <w:szCs w:val="18"/>
                      <w:highlight w:val="none"/>
                      <w:lang w:val="en-US" w:eastAsia="zh-CN"/>
                    </w:rPr>
                    <w:t>办公室</w:t>
                  </w:r>
                </w:p>
              </w:tc>
              <w:tc>
                <w:tcPr>
                  <w:tcW w:w="3204" w:type="pct"/>
                  <w:noWrap w:val="0"/>
                  <w:vAlign w:val="center"/>
                </w:tcPr>
                <w:p w14:paraId="411FC727">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left"/>
                    <w:textAlignment w:val="auto"/>
                    <w:rPr>
                      <w:rFonts w:hint="default" w:eastAsia="宋体"/>
                      <w:color w:val="auto"/>
                      <w:sz w:val="18"/>
                      <w:szCs w:val="18"/>
                      <w:highlight w:val="none"/>
                      <w:vertAlign w:val="baseline"/>
                      <w:lang w:val="en-US" w:eastAsia="zh-CN"/>
                    </w:rPr>
                  </w:pPr>
                  <w:r>
                    <w:rPr>
                      <w:rFonts w:hint="eastAsia" w:cs="Times New Roman"/>
                      <w:color w:val="auto"/>
                      <w:sz w:val="18"/>
                      <w:szCs w:val="18"/>
                      <w:highlight w:val="none"/>
                      <w:lang w:val="en-US" w:eastAsia="zh-CN"/>
                    </w:rPr>
                    <w:t>厂区内不设置办公室，企业办公及休息室依托厂区外居民房屋。</w:t>
                  </w:r>
                </w:p>
              </w:tc>
              <w:tc>
                <w:tcPr>
                  <w:tcW w:w="670" w:type="pct"/>
                  <w:noWrap w:val="0"/>
                  <w:vAlign w:val="center"/>
                </w:tcPr>
                <w:p w14:paraId="249CE9C5">
                  <w:pPr>
                    <w:keepNext w:val="0"/>
                    <w:keepLines w:val="0"/>
                    <w:pageBreakBefore w:val="0"/>
                    <w:widowControl w:val="0"/>
                    <w:suppressLineNumbers w:val="0"/>
                    <w:tabs>
                      <w:tab w:val="left" w:pos="399"/>
                      <w:tab w:val="center" w:pos="494"/>
                    </w:tabs>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依托</w:t>
                  </w:r>
                </w:p>
              </w:tc>
            </w:tr>
            <w:tr w14:paraId="64CDCE3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restart"/>
                  <w:noWrap w:val="0"/>
                  <w:vAlign w:val="center"/>
                </w:tcPr>
                <w:p w14:paraId="7DC800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储运工程</w:t>
                  </w:r>
                </w:p>
              </w:tc>
              <w:tc>
                <w:tcPr>
                  <w:tcW w:w="716" w:type="pct"/>
                  <w:noWrap w:val="0"/>
                  <w:vAlign w:val="center"/>
                </w:tcPr>
                <w:p w14:paraId="3E60B7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olor w:val="FF0000"/>
                      <w:sz w:val="18"/>
                      <w:szCs w:val="18"/>
                      <w:highlight w:val="none"/>
                      <w:lang w:val="en-US" w:eastAsia="zh-CN"/>
                    </w:rPr>
                  </w:pPr>
                  <w:r>
                    <w:rPr>
                      <w:rFonts w:hint="eastAsia"/>
                      <w:color w:val="FF0000"/>
                      <w:sz w:val="18"/>
                      <w:szCs w:val="18"/>
                      <w:highlight w:val="none"/>
                      <w:lang w:val="en-US" w:eastAsia="zh-CN"/>
                    </w:rPr>
                    <w:t>潮粮仓</w:t>
                  </w:r>
                </w:p>
              </w:tc>
              <w:tc>
                <w:tcPr>
                  <w:tcW w:w="3204" w:type="pct"/>
                  <w:noWrap w:val="0"/>
                  <w:vAlign w:val="center"/>
                </w:tcPr>
                <w:p w14:paraId="54C62218">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eastAsia="宋体" w:cs="Times New Roman"/>
                      <w:color w:val="FF0000"/>
                      <w:sz w:val="18"/>
                      <w:szCs w:val="18"/>
                      <w:highlight w:val="none"/>
                      <w:lang w:val="en-US" w:eastAsia="zh-CN"/>
                    </w:rPr>
                  </w:pPr>
                  <w:r>
                    <w:rPr>
                      <w:rFonts w:hint="eastAsia"/>
                      <w:color w:val="FF0000"/>
                      <w:sz w:val="18"/>
                      <w:szCs w:val="18"/>
                      <w:highlight w:val="none"/>
                      <w:lang w:val="en-US" w:eastAsia="zh-CN"/>
                    </w:rPr>
                    <w:t>1</w:t>
                  </w:r>
                  <w:r>
                    <w:rPr>
                      <w:rFonts w:hint="eastAsia" w:ascii="Times New Roman" w:hAnsi="Times New Roman" w:eastAsia="宋体"/>
                      <w:color w:val="FF0000"/>
                      <w:sz w:val="18"/>
                      <w:szCs w:val="18"/>
                      <w:highlight w:val="none"/>
                      <w:lang w:val="en-US" w:eastAsia="zh-CN"/>
                    </w:rPr>
                    <w:t>座，圆形钢结构，</w:t>
                  </w:r>
                  <w:r>
                    <w:rPr>
                      <w:rFonts w:hint="eastAsia"/>
                      <w:color w:val="FF0000"/>
                      <w:sz w:val="18"/>
                      <w:szCs w:val="18"/>
                      <w:highlight w:val="none"/>
                      <w:lang w:val="en-US" w:eastAsia="zh-CN"/>
                    </w:rPr>
                    <w:t>直径8m，高9m，</w:t>
                  </w:r>
                  <w:r>
                    <w:rPr>
                      <w:rFonts w:hint="eastAsia" w:ascii="Times New Roman" w:hAnsi="Times New Roman" w:eastAsia="宋体"/>
                      <w:color w:val="FF0000"/>
                      <w:sz w:val="18"/>
                      <w:szCs w:val="18"/>
                      <w:highlight w:val="none"/>
                      <w:lang w:val="en-US" w:eastAsia="zh-CN"/>
                    </w:rPr>
                    <w:t>有效容积</w:t>
                  </w:r>
                  <w:r>
                    <w:rPr>
                      <w:rFonts w:hint="eastAsia"/>
                      <w:color w:val="FF0000"/>
                      <w:sz w:val="18"/>
                      <w:szCs w:val="18"/>
                      <w:highlight w:val="none"/>
                      <w:lang w:val="en-US" w:eastAsia="zh-CN"/>
                    </w:rPr>
                    <w:t>约200</w:t>
                  </w:r>
                  <w:r>
                    <w:rPr>
                      <w:rFonts w:hint="eastAsia" w:ascii="Times New Roman" w:hAnsi="Times New Roman" w:eastAsia="宋体"/>
                      <w:color w:val="FF0000"/>
                      <w:sz w:val="18"/>
                      <w:szCs w:val="18"/>
                      <w:highlight w:val="none"/>
                      <w:lang w:val="en-US" w:eastAsia="zh-CN"/>
                    </w:rPr>
                    <w:t>t，主要用于</w:t>
                  </w:r>
                  <w:r>
                    <w:rPr>
                      <w:rFonts w:hint="eastAsia"/>
                      <w:color w:val="FF0000"/>
                      <w:sz w:val="18"/>
                      <w:szCs w:val="18"/>
                      <w:highlight w:val="none"/>
                      <w:lang w:val="en-US" w:eastAsia="zh-CN"/>
                    </w:rPr>
                    <w:t>原料烘干前暂存，每天转运不长期贮存。</w:t>
                  </w:r>
                </w:p>
              </w:tc>
              <w:tc>
                <w:tcPr>
                  <w:tcW w:w="670" w:type="pct"/>
                  <w:noWrap w:val="0"/>
                  <w:vAlign w:val="center"/>
                </w:tcPr>
                <w:p w14:paraId="1F3B17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FF0000"/>
                      <w:sz w:val="18"/>
                      <w:szCs w:val="18"/>
                      <w:highlight w:val="none"/>
                      <w:lang w:val="en-US" w:eastAsia="zh-CN"/>
                    </w:rPr>
                  </w:pPr>
                  <w:r>
                    <w:rPr>
                      <w:rFonts w:hint="eastAsia"/>
                      <w:color w:val="auto"/>
                      <w:sz w:val="18"/>
                      <w:szCs w:val="18"/>
                      <w:highlight w:val="none"/>
                      <w:lang w:val="en-US" w:eastAsia="zh-CN"/>
                    </w:rPr>
                    <w:t>新建</w:t>
                  </w:r>
                </w:p>
              </w:tc>
            </w:tr>
            <w:tr w14:paraId="5BF3F05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continue"/>
                  <w:noWrap w:val="0"/>
                  <w:vAlign w:val="center"/>
                </w:tcPr>
                <w:p w14:paraId="14EB08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60A116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FF0000"/>
                      <w:sz w:val="18"/>
                      <w:szCs w:val="18"/>
                      <w:highlight w:val="none"/>
                      <w:lang w:val="en-US" w:eastAsia="zh-CN"/>
                    </w:rPr>
                  </w:pPr>
                  <w:r>
                    <w:rPr>
                      <w:rFonts w:hint="eastAsia"/>
                      <w:color w:val="FF0000"/>
                      <w:sz w:val="18"/>
                      <w:szCs w:val="18"/>
                      <w:highlight w:val="none"/>
                      <w:lang w:val="en-US" w:eastAsia="zh-CN"/>
                    </w:rPr>
                    <w:t>平房仓</w:t>
                  </w:r>
                </w:p>
              </w:tc>
              <w:tc>
                <w:tcPr>
                  <w:tcW w:w="3204" w:type="pct"/>
                  <w:noWrap w:val="0"/>
                  <w:vAlign w:val="center"/>
                </w:tcPr>
                <w:p w14:paraId="4A32495E">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color w:val="FF0000"/>
                      <w:lang w:val="en-US" w:eastAsia="zh-CN"/>
                    </w:rPr>
                  </w:pPr>
                  <w:r>
                    <w:rPr>
                      <w:rFonts w:hint="eastAsia"/>
                      <w:color w:val="FF0000"/>
                      <w:sz w:val="18"/>
                      <w:szCs w:val="18"/>
                      <w:highlight w:val="none"/>
                      <w:lang w:val="en-US" w:eastAsia="zh-CN"/>
                    </w:rPr>
                    <w:t>1号平房仓位于热风炉房西北侧，单层钢结构，占地面积485.9m</w:t>
                  </w:r>
                  <w:r>
                    <w:rPr>
                      <w:rFonts w:hint="eastAsia"/>
                      <w:color w:val="FF0000"/>
                      <w:sz w:val="18"/>
                      <w:szCs w:val="18"/>
                      <w:highlight w:val="none"/>
                      <w:vertAlign w:val="superscript"/>
                      <w:lang w:val="en-US" w:eastAsia="zh-CN"/>
                    </w:rPr>
                    <w:t>2</w:t>
                  </w:r>
                  <w:r>
                    <w:rPr>
                      <w:rFonts w:hint="eastAsia"/>
                      <w:color w:val="FF0000"/>
                      <w:sz w:val="18"/>
                      <w:szCs w:val="18"/>
                      <w:highlight w:val="none"/>
                      <w:lang w:val="en-US" w:eastAsia="zh-CN"/>
                    </w:rPr>
                    <w:t>，高9m，最大储存量1600t，2号平房仓位于厂区东北侧，单层钢结构，占地面积748.4m</w:t>
                  </w:r>
                  <w:r>
                    <w:rPr>
                      <w:rFonts w:hint="eastAsia"/>
                      <w:color w:val="FF0000"/>
                      <w:sz w:val="18"/>
                      <w:szCs w:val="18"/>
                      <w:highlight w:val="none"/>
                      <w:vertAlign w:val="superscript"/>
                      <w:lang w:val="en-US" w:eastAsia="zh-CN"/>
                    </w:rPr>
                    <w:t>2</w:t>
                  </w:r>
                  <w:r>
                    <w:rPr>
                      <w:rFonts w:hint="eastAsia"/>
                      <w:color w:val="FF0000"/>
                      <w:sz w:val="18"/>
                      <w:szCs w:val="18"/>
                      <w:highlight w:val="none"/>
                      <w:lang w:val="en-US" w:eastAsia="zh-CN"/>
                    </w:rPr>
                    <w:t>，高8m，最大储存量3000t，平房仓用于暂存烘干后的玉米，转运周期约100d，不长期储存。</w:t>
                  </w:r>
                </w:p>
              </w:tc>
              <w:tc>
                <w:tcPr>
                  <w:tcW w:w="670" w:type="pct"/>
                  <w:noWrap w:val="0"/>
                  <w:vAlign w:val="center"/>
                </w:tcPr>
                <w:p w14:paraId="219495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新建</w:t>
                  </w:r>
                </w:p>
              </w:tc>
            </w:tr>
            <w:tr w14:paraId="2D7EC01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continue"/>
                  <w:noWrap w:val="0"/>
                  <w:vAlign w:val="center"/>
                </w:tcPr>
                <w:p w14:paraId="7E86AE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6511D3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库房</w:t>
                  </w:r>
                </w:p>
              </w:tc>
              <w:tc>
                <w:tcPr>
                  <w:tcW w:w="3204" w:type="pct"/>
                  <w:noWrap w:val="0"/>
                  <w:vAlign w:val="center"/>
                </w:tcPr>
                <w:p w14:paraId="4FB988E4">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color w:val="auto"/>
                      <w:sz w:val="18"/>
                      <w:szCs w:val="18"/>
                      <w:highlight w:val="none"/>
                      <w:lang w:val="en-US" w:eastAsia="zh-CN"/>
                    </w:rPr>
                  </w:pPr>
                  <w:r>
                    <w:rPr>
                      <w:rFonts w:hint="eastAsia"/>
                      <w:color w:val="auto"/>
                      <w:sz w:val="18"/>
                      <w:szCs w:val="18"/>
                      <w:highlight w:val="none"/>
                      <w:lang w:val="en-US" w:eastAsia="zh-CN"/>
                    </w:rPr>
                    <w:t>1座，单层钢结构，位于1号平房仓东南角，占地面积49.94m</w:t>
                  </w:r>
                  <w:r>
                    <w:rPr>
                      <w:rFonts w:hint="eastAsia"/>
                      <w:color w:val="auto"/>
                      <w:sz w:val="18"/>
                      <w:szCs w:val="18"/>
                      <w:highlight w:val="none"/>
                      <w:vertAlign w:val="superscript"/>
                      <w:lang w:val="en-US" w:eastAsia="zh-CN"/>
                    </w:rPr>
                    <w:t>2</w:t>
                  </w:r>
                  <w:r>
                    <w:rPr>
                      <w:rFonts w:hint="eastAsia"/>
                      <w:color w:val="auto"/>
                      <w:sz w:val="18"/>
                      <w:szCs w:val="18"/>
                      <w:highlight w:val="none"/>
                      <w:lang w:val="en-US" w:eastAsia="zh-CN"/>
                    </w:rPr>
                    <w:t>，高3m，用于存放杂物。</w:t>
                  </w:r>
                </w:p>
              </w:tc>
              <w:tc>
                <w:tcPr>
                  <w:tcW w:w="670" w:type="pct"/>
                  <w:noWrap w:val="0"/>
                  <w:vAlign w:val="center"/>
                </w:tcPr>
                <w:p w14:paraId="146D31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新建</w:t>
                  </w:r>
                </w:p>
              </w:tc>
            </w:tr>
            <w:tr w14:paraId="06EA515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continue"/>
                  <w:noWrap w:val="0"/>
                  <w:vAlign w:val="center"/>
                </w:tcPr>
                <w:p w14:paraId="6C05A7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17812A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FF0000"/>
                      <w:sz w:val="18"/>
                      <w:szCs w:val="18"/>
                      <w:highlight w:val="none"/>
                      <w:lang w:val="en-US" w:eastAsia="zh-CN"/>
                    </w:rPr>
                  </w:pPr>
                  <w:r>
                    <w:rPr>
                      <w:rFonts w:hint="eastAsia"/>
                      <w:color w:val="FF0000"/>
                      <w:sz w:val="18"/>
                      <w:szCs w:val="18"/>
                      <w:highlight w:val="none"/>
                      <w:lang w:val="en-US" w:eastAsia="zh-CN"/>
                    </w:rPr>
                    <w:t>危废贮存点</w:t>
                  </w:r>
                </w:p>
              </w:tc>
              <w:tc>
                <w:tcPr>
                  <w:tcW w:w="3204" w:type="pct"/>
                  <w:noWrap w:val="0"/>
                  <w:vAlign w:val="center"/>
                </w:tcPr>
                <w:p w14:paraId="6D6B5131">
                  <w:pPr>
                    <w:pStyle w:val="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eastAsia"/>
                      <w:color w:val="FF0000"/>
                      <w:sz w:val="18"/>
                      <w:szCs w:val="18"/>
                      <w:highlight w:val="none"/>
                      <w:lang w:val="en-US" w:eastAsia="zh-CN"/>
                    </w:rPr>
                  </w:pPr>
                  <w:r>
                    <w:rPr>
                      <w:rFonts w:hint="eastAsia" w:cs="Times New Roman"/>
                      <w:color w:val="FF0000"/>
                      <w:sz w:val="18"/>
                      <w:szCs w:val="18"/>
                      <w:highlight w:val="none"/>
                      <w:lang w:val="en-US" w:eastAsia="zh-CN"/>
                    </w:rPr>
                    <w:t>在库房内设置一处危险废物贮存点，占地面积4m</w:t>
                  </w:r>
                  <w:r>
                    <w:rPr>
                      <w:rFonts w:hint="eastAsia" w:cs="Times New Roman"/>
                      <w:color w:val="FF0000"/>
                      <w:sz w:val="18"/>
                      <w:szCs w:val="18"/>
                      <w:highlight w:val="none"/>
                      <w:vertAlign w:val="superscript"/>
                      <w:lang w:val="en-US" w:eastAsia="zh-CN"/>
                    </w:rPr>
                    <w:t>2</w:t>
                  </w:r>
                  <w:r>
                    <w:rPr>
                      <w:rFonts w:hint="eastAsia" w:cs="Times New Roman"/>
                      <w:color w:val="FF0000"/>
                      <w:sz w:val="18"/>
                      <w:szCs w:val="18"/>
                      <w:highlight w:val="none"/>
                      <w:lang w:val="en-US" w:eastAsia="zh-CN"/>
                    </w:rPr>
                    <w:t>，</w:t>
                  </w:r>
                  <w:r>
                    <w:rPr>
                      <w:rFonts w:hint="eastAsia" w:ascii="Times New Roman" w:hAnsi="Times New Roman" w:eastAsia="宋体" w:cs="Times New Roman"/>
                      <w:color w:val="FF0000"/>
                      <w:sz w:val="18"/>
                      <w:szCs w:val="18"/>
                      <w:highlight w:val="none"/>
                      <w:lang w:val="en-US" w:eastAsia="zh-CN"/>
                    </w:rPr>
                    <w:t>地面与裙脚采取重点防渗</w:t>
                  </w:r>
                  <w:r>
                    <w:rPr>
                      <w:rFonts w:hint="eastAsia" w:cs="Times New Roman"/>
                      <w:color w:val="FF0000"/>
                      <w:sz w:val="18"/>
                      <w:szCs w:val="18"/>
                      <w:highlight w:val="none"/>
                      <w:lang w:val="en-US" w:eastAsia="zh-CN"/>
                    </w:rPr>
                    <w:t>，采用至少2mm厚的防渗人工材料，防渗系数≤10</w:t>
                  </w:r>
                  <w:r>
                    <w:rPr>
                      <w:rFonts w:hint="eastAsia" w:cs="Times New Roman"/>
                      <w:color w:val="FF0000"/>
                      <w:sz w:val="18"/>
                      <w:szCs w:val="18"/>
                      <w:highlight w:val="none"/>
                      <w:vertAlign w:val="superscript"/>
                      <w:lang w:val="en-US" w:eastAsia="zh-CN"/>
                    </w:rPr>
                    <w:t>-10</w:t>
                  </w:r>
                  <w:r>
                    <w:rPr>
                      <w:rFonts w:hint="eastAsia" w:cs="Times New Roman"/>
                      <w:color w:val="FF0000"/>
                      <w:sz w:val="18"/>
                      <w:szCs w:val="18"/>
                      <w:highlight w:val="none"/>
                      <w:lang w:val="en-US" w:eastAsia="zh-CN"/>
                    </w:rPr>
                    <w:t>cm/s，贮存点内设置密闭容器，用于暂存废机油、废机油桶、含油抹布手套等危险废物，最大贮存能力约70kg，定期委托有资质单位处置，贮存周期约100d，每年转运1次。</w:t>
                  </w:r>
                </w:p>
              </w:tc>
              <w:tc>
                <w:tcPr>
                  <w:tcW w:w="670" w:type="pct"/>
                  <w:noWrap w:val="0"/>
                  <w:vAlign w:val="center"/>
                </w:tcPr>
                <w:p w14:paraId="507AA1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新建</w:t>
                  </w:r>
                </w:p>
              </w:tc>
            </w:tr>
            <w:tr w14:paraId="2E2A04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continue"/>
                  <w:noWrap w:val="0"/>
                  <w:vAlign w:val="center"/>
                </w:tcPr>
                <w:p w14:paraId="08BF09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708043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olor w:val="auto"/>
                      <w:sz w:val="18"/>
                      <w:szCs w:val="18"/>
                      <w:highlight w:val="none"/>
                      <w:lang w:val="en-US" w:eastAsia="zh-CN"/>
                    </w:rPr>
                  </w:pPr>
                  <w:r>
                    <w:rPr>
                      <w:rFonts w:hint="eastAsia" w:ascii="Times New Roman" w:hAnsi="Times New Roman" w:eastAsia="宋体"/>
                      <w:color w:val="auto"/>
                      <w:sz w:val="18"/>
                      <w:szCs w:val="18"/>
                      <w:highlight w:val="none"/>
                    </w:rPr>
                    <w:t>燃料</w:t>
                  </w:r>
                  <w:r>
                    <w:rPr>
                      <w:rFonts w:hint="eastAsia"/>
                      <w:color w:val="auto"/>
                      <w:sz w:val="18"/>
                      <w:szCs w:val="18"/>
                      <w:highlight w:val="none"/>
                      <w:lang w:eastAsia="zh-CN"/>
                    </w:rPr>
                    <w:t>间</w:t>
                  </w:r>
                </w:p>
              </w:tc>
              <w:tc>
                <w:tcPr>
                  <w:tcW w:w="3204" w:type="pct"/>
                  <w:noWrap w:val="0"/>
                  <w:vAlign w:val="center"/>
                </w:tcPr>
                <w:p w14:paraId="3DDBB78C">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val="en-US" w:eastAsia="zh-CN"/>
                    </w:rPr>
                    <w:t>位于</w:t>
                  </w:r>
                  <w:r>
                    <w:rPr>
                      <w:rFonts w:hint="eastAsia" w:cs="Times New Roman"/>
                      <w:bCs/>
                      <w:color w:val="auto"/>
                      <w:kern w:val="0"/>
                      <w:sz w:val="18"/>
                      <w:szCs w:val="18"/>
                      <w:highlight w:val="none"/>
                      <w:lang w:val="en-US" w:eastAsia="zh-CN"/>
                    </w:rPr>
                    <w:t>热风炉房</w:t>
                  </w:r>
                  <w:r>
                    <w:rPr>
                      <w:rFonts w:hint="eastAsia"/>
                      <w:color w:val="auto"/>
                      <w:sz w:val="18"/>
                      <w:szCs w:val="18"/>
                      <w:highlight w:val="none"/>
                      <w:lang w:val="en-US" w:eastAsia="zh-CN"/>
                    </w:rPr>
                    <w:t>内，用于贮存生物质燃料，</w:t>
                  </w:r>
                  <w:r>
                    <w:rPr>
                      <w:rFonts w:hint="eastAsia" w:ascii="Times New Roman" w:hAnsi="Times New Roman" w:eastAsia="宋体"/>
                      <w:color w:val="auto"/>
                      <w:sz w:val="18"/>
                      <w:szCs w:val="18"/>
                      <w:highlight w:val="none"/>
                    </w:rPr>
                    <w:t>最大存储</w:t>
                  </w:r>
                  <w:r>
                    <w:rPr>
                      <w:rFonts w:hint="eastAsia" w:ascii="Times New Roman" w:hAnsi="Times New Roman" w:eastAsia="宋体"/>
                      <w:color w:val="auto"/>
                      <w:sz w:val="18"/>
                      <w:szCs w:val="18"/>
                      <w:highlight w:val="none"/>
                      <w:lang w:val="en-US" w:eastAsia="zh-CN"/>
                    </w:rPr>
                    <w:t>5</w:t>
                  </w:r>
                  <w:r>
                    <w:rPr>
                      <w:rFonts w:hint="default" w:ascii="Times New Roman" w:hAnsi="Times New Roman" w:eastAsia="宋体"/>
                      <w:color w:val="auto"/>
                      <w:sz w:val="18"/>
                      <w:szCs w:val="18"/>
                      <w:highlight w:val="none"/>
                    </w:rPr>
                    <w:t>0</w:t>
                  </w:r>
                  <w:r>
                    <w:rPr>
                      <w:rFonts w:hint="eastAsia" w:ascii="Times New Roman" w:hAnsi="Times New Roman" w:eastAsia="宋体"/>
                      <w:color w:val="auto"/>
                      <w:sz w:val="18"/>
                      <w:szCs w:val="18"/>
                      <w:highlight w:val="none"/>
                    </w:rPr>
                    <w:t>t</w:t>
                  </w:r>
                  <w:r>
                    <w:rPr>
                      <w:rFonts w:hint="eastAsia"/>
                      <w:color w:val="auto"/>
                      <w:sz w:val="18"/>
                      <w:szCs w:val="18"/>
                      <w:highlight w:val="none"/>
                      <w:lang w:eastAsia="zh-CN"/>
                    </w:rPr>
                    <w:t>。</w:t>
                  </w:r>
                </w:p>
              </w:tc>
              <w:tc>
                <w:tcPr>
                  <w:tcW w:w="670" w:type="pct"/>
                  <w:noWrap w:val="0"/>
                  <w:vAlign w:val="center"/>
                </w:tcPr>
                <w:p w14:paraId="23DAF4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新建</w:t>
                  </w:r>
                </w:p>
              </w:tc>
            </w:tr>
            <w:tr w14:paraId="7F749CB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vMerge w:val="continue"/>
                  <w:noWrap w:val="0"/>
                  <w:vAlign w:val="center"/>
                </w:tcPr>
                <w:p w14:paraId="6CBA5E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18"/>
                      <w:szCs w:val="18"/>
                      <w:highlight w:val="none"/>
                      <w:lang w:val="en-US" w:eastAsia="zh-CN"/>
                    </w:rPr>
                  </w:pPr>
                </w:p>
              </w:tc>
              <w:tc>
                <w:tcPr>
                  <w:tcW w:w="716" w:type="pct"/>
                  <w:noWrap w:val="0"/>
                  <w:vAlign w:val="center"/>
                </w:tcPr>
                <w:p w14:paraId="54511F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olor w:val="auto"/>
                      <w:sz w:val="18"/>
                      <w:szCs w:val="18"/>
                      <w:highlight w:val="none"/>
                      <w:lang w:val="en-US" w:eastAsia="zh-CN"/>
                    </w:rPr>
                  </w:pPr>
                  <w:r>
                    <w:rPr>
                      <w:rFonts w:hint="eastAsia" w:ascii="Times New Roman" w:hAnsi="Times New Roman" w:eastAsia="宋体"/>
                      <w:snapToGrid w:val="0"/>
                      <w:color w:val="auto"/>
                      <w:kern w:val="0"/>
                      <w:sz w:val="18"/>
                      <w:szCs w:val="18"/>
                      <w:highlight w:val="none"/>
                      <w:lang w:eastAsia="zh-CN"/>
                    </w:rPr>
                    <w:t>灰</w:t>
                  </w:r>
                  <w:r>
                    <w:rPr>
                      <w:rFonts w:hint="eastAsia" w:ascii="Times New Roman" w:hAnsi="Times New Roman" w:eastAsia="宋体"/>
                      <w:snapToGrid w:val="0"/>
                      <w:color w:val="auto"/>
                      <w:kern w:val="0"/>
                      <w:sz w:val="18"/>
                      <w:szCs w:val="18"/>
                      <w:highlight w:val="none"/>
                    </w:rPr>
                    <w:t>渣</w:t>
                  </w:r>
                  <w:r>
                    <w:rPr>
                      <w:rFonts w:hint="eastAsia"/>
                      <w:snapToGrid w:val="0"/>
                      <w:color w:val="auto"/>
                      <w:kern w:val="0"/>
                      <w:sz w:val="18"/>
                      <w:szCs w:val="18"/>
                      <w:highlight w:val="none"/>
                      <w:lang w:val="en-US" w:eastAsia="zh-CN"/>
                    </w:rPr>
                    <w:t>间</w:t>
                  </w:r>
                </w:p>
              </w:tc>
              <w:tc>
                <w:tcPr>
                  <w:tcW w:w="3204" w:type="pct"/>
                  <w:noWrap w:val="0"/>
                  <w:vAlign w:val="center"/>
                </w:tcPr>
                <w:p w14:paraId="41F52A92">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cs="Times New Roman"/>
                      <w:color w:val="auto"/>
                      <w:sz w:val="18"/>
                      <w:szCs w:val="18"/>
                      <w:highlight w:val="none"/>
                      <w:lang w:val="en-US" w:eastAsia="zh-CN"/>
                    </w:rPr>
                  </w:pPr>
                  <w:r>
                    <w:rPr>
                      <w:rFonts w:hint="eastAsia" w:cs="Times New Roman"/>
                      <w:bCs/>
                      <w:color w:val="auto"/>
                      <w:kern w:val="0"/>
                      <w:sz w:val="18"/>
                      <w:szCs w:val="18"/>
                      <w:highlight w:val="none"/>
                      <w:lang w:val="en-US" w:eastAsia="zh-CN"/>
                    </w:rPr>
                    <w:t>热风炉房</w:t>
                  </w:r>
                  <w:r>
                    <w:rPr>
                      <w:rFonts w:hint="eastAsia" w:cs="Times New Roman"/>
                      <w:color w:val="auto"/>
                      <w:sz w:val="18"/>
                      <w:szCs w:val="18"/>
                      <w:highlight w:val="none"/>
                      <w:lang w:val="en-US" w:eastAsia="zh-CN"/>
                    </w:rPr>
                    <w:t>内设一个密闭灰渣间，</w:t>
                  </w:r>
                  <w:r>
                    <w:rPr>
                      <w:rFonts w:hint="eastAsia" w:ascii="Times New Roman" w:hAnsi="Times New Roman" w:eastAsia="宋体" w:cs="Times New Roman"/>
                      <w:snapToGrid w:val="0"/>
                      <w:color w:val="auto"/>
                      <w:kern w:val="0"/>
                      <w:sz w:val="18"/>
                      <w:szCs w:val="18"/>
                      <w:highlight w:val="none"/>
                      <w:lang w:eastAsia="zh-CN"/>
                    </w:rPr>
                    <w:t>储存能力</w:t>
                  </w:r>
                  <w:r>
                    <w:rPr>
                      <w:rFonts w:hint="eastAsia" w:ascii="Times New Roman" w:hAnsi="Times New Roman" w:eastAsia="宋体" w:cs="Times New Roman"/>
                      <w:snapToGrid w:val="0"/>
                      <w:color w:val="auto"/>
                      <w:kern w:val="0"/>
                      <w:sz w:val="18"/>
                      <w:szCs w:val="18"/>
                      <w:highlight w:val="none"/>
                      <w:lang w:val="en-US" w:eastAsia="zh-CN"/>
                    </w:rPr>
                    <w:t>20t，</w:t>
                  </w:r>
                  <w:r>
                    <w:rPr>
                      <w:rFonts w:hint="eastAsia" w:cs="Times New Roman"/>
                      <w:color w:val="auto"/>
                      <w:sz w:val="18"/>
                      <w:szCs w:val="18"/>
                      <w:highlight w:val="none"/>
                      <w:lang w:val="en-US" w:eastAsia="zh-CN"/>
                    </w:rPr>
                    <w:t>热风炉灰渣存储于封闭灰渣间，定期清运，不在厂区长期储存，外售综合利用</w:t>
                  </w:r>
                  <w:r>
                    <w:rPr>
                      <w:rFonts w:hint="eastAsia" w:ascii="Times New Roman" w:hAnsi="Times New Roman" w:eastAsia="宋体" w:cs="Times New Roman"/>
                      <w:snapToGrid w:val="0"/>
                      <w:color w:val="auto"/>
                      <w:kern w:val="0"/>
                      <w:sz w:val="18"/>
                      <w:szCs w:val="18"/>
                      <w:highlight w:val="none"/>
                      <w:lang w:val="en-US" w:eastAsia="zh-CN"/>
                    </w:rPr>
                    <w:t>。</w:t>
                  </w:r>
                </w:p>
              </w:tc>
              <w:tc>
                <w:tcPr>
                  <w:tcW w:w="670" w:type="pct"/>
                  <w:noWrap w:val="0"/>
                  <w:vAlign w:val="center"/>
                </w:tcPr>
                <w:p w14:paraId="3BF6A2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新建</w:t>
                  </w:r>
                </w:p>
              </w:tc>
            </w:tr>
            <w:tr w14:paraId="0061888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vMerge w:val="restart"/>
                  <w:noWrap w:val="0"/>
                  <w:vAlign w:val="center"/>
                </w:tcPr>
                <w:p w14:paraId="0EB7E0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公用工程</w:t>
                  </w:r>
                </w:p>
              </w:tc>
              <w:tc>
                <w:tcPr>
                  <w:tcW w:w="716" w:type="pct"/>
                  <w:noWrap w:val="0"/>
                  <w:vAlign w:val="center"/>
                </w:tcPr>
                <w:p w14:paraId="3DD812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default"/>
                      <w:color w:val="auto"/>
                      <w:sz w:val="18"/>
                      <w:szCs w:val="18"/>
                      <w:highlight w:val="none"/>
                    </w:rPr>
                    <w:t>供</w:t>
                  </w:r>
                  <w:r>
                    <w:rPr>
                      <w:rFonts w:hint="eastAsia"/>
                      <w:color w:val="auto"/>
                      <w:sz w:val="18"/>
                      <w:szCs w:val="18"/>
                      <w:highlight w:val="none"/>
                      <w:lang w:val="en-US" w:eastAsia="zh-CN"/>
                    </w:rPr>
                    <w:t>水</w:t>
                  </w:r>
                </w:p>
              </w:tc>
              <w:tc>
                <w:tcPr>
                  <w:tcW w:w="3204" w:type="pct"/>
                  <w:noWrap w:val="0"/>
                  <w:vAlign w:val="center"/>
                </w:tcPr>
                <w:p w14:paraId="459CC862">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left"/>
                    <w:textAlignment w:val="auto"/>
                    <w:rPr>
                      <w:rFonts w:hint="eastAsia" w:eastAsia="宋体"/>
                      <w:color w:val="auto"/>
                      <w:sz w:val="18"/>
                      <w:szCs w:val="18"/>
                      <w:highlight w:val="none"/>
                      <w:lang w:val="en-US" w:eastAsia="zh-CN"/>
                    </w:rPr>
                  </w:pPr>
                  <w:r>
                    <w:rPr>
                      <w:rFonts w:hint="eastAsia" w:cs="Times New Roman"/>
                      <w:color w:val="auto"/>
                      <w:sz w:val="18"/>
                      <w:szCs w:val="18"/>
                      <w:highlight w:val="none"/>
                      <w:lang w:val="en-US" w:eastAsia="zh-CN"/>
                    </w:rPr>
                    <w:t>本项目生产过程不用水，</w:t>
                  </w:r>
                  <w:r>
                    <w:rPr>
                      <w:rFonts w:hint="default" w:ascii="Times New Roman" w:hAnsi="Times New Roman" w:cs="Times New Roman"/>
                      <w:color w:val="auto"/>
                      <w:sz w:val="18"/>
                      <w:szCs w:val="18"/>
                      <w:highlight w:val="none"/>
                      <w:lang w:eastAsia="zh-CN"/>
                    </w:rPr>
                    <w:t>主要为生活用水</w:t>
                  </w:r>
                  <w:r>
                    <w:rPr>
                      <w:rFonts w:hint="eastAsia" w:cs="Times New Roman"/>
                      <w:color w:val="auto"/>
                      <w:sz w:val="18"/>
                      <w:szCs w:val="18"/>
                      <w:highlight w:val="none"/>
                      <w:lang w:eastAsia="zh-CN"/>
                    </w:rPr>
                    <w:t>，为发展村五组自来水供应。</w:t>
                  </w:r>
                </w:p>
              </w:tc>
              <w:tc>
                <w:tcPr>
                  <w:tcW w:w="670" w:type="pct"/>
                  <w:noWrap w:val="0"/>
                  <w:vAlign w:val="center"/>
                </w:tcPr>
                <w:p w14:paraId="3BBFD2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新建</w:t>
                  </w:r>
                </w:p>
              </w:tc>
            </w:tr>
            <w:tr w14:paraId="360FF05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continue"/>
                  <w:noWrap w:val="0"/>
                  <w:vAlign w:val="center"/>
                </w:tcPr>
                <w:p w14:paraId="17597C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7A8046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eastAsia"/>
                      <w:color w:val="auto"/>
                      <w:sz w:val="18"/>
                      <w:szCs w:val="18"/>
                      <w:highlight w:val="none"/>
                      <w:lang w:val="en-US" w:eastAsia="zh-CN"/>
                    </w:rPr>
                    <w:t>排</w:t>
                  </w:r>
                  <w:r>
                    <w:rPr>
                      <w:rFonts w:hint="default"/>
                      <w:color w:val="auto"/>
                      <w:sz w:val="18"/>
                      <w:szCs w:val="18"/>
                      <w:highlight w:val="none"/>
                    </w:rPr>
                    <w:t>水</w:t>
                  </w:r>
                </w:p>
              </w:tc>
              <w:tc>
                <w:tcPr>
                  <w:tcW w:w="3204" w:type="pct"/>
                  <w:noWrap w:val="0"/>
                  <w:vAlign w:val="center"/>
                </w:tcPr>
                <w:p w14:paraId="10CE9F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eastAsia" w:eastAsia="宋体"/>
                      <w:color w:val="auto"/>
                      <w:sz w:val="18"/>
                      <w:szCs w:val="18"/>
                      <w:highlight w:val="none"/>
                      <w:lang w:val="en-US" w:eastAsia="zh-CN"/>
                    </w:rPr>
                  </w:pPr>
                  <w:r>
                    <w:rPr>
                      <w:rFonts w:hint="eastAsia"/>
                      <w:bCs/>
                      <w:color w:val="auto"/>
                      <w:sz w:val="18"/>
                      <w:szCs w:val="18"/>
                    </w:rPr>
                    <w:t>本项目生产过程中无废水产生，</w:t>
                  </w:r>
                  <w:r>
                    <w:rPr>
                      <w:rFonts w:hint="eastAsia"/>
                      <w:bCs/>
                      <w:color w:val="auto"/>
                      <w:sz w:val="18"/>
                      <w:szCs w:val="18"/>
                      <w:lang w:eastAsia="zh-CN"/>
                    </w:rPr>
                    <w:t>员工生活污水排入防渗旱厕，定期清掏外运堆肥，不外排。</w:t>
                  </w:r>
                </w:p>
              </w:tc>
              <w:tc>
                <w:tcPr>
                  <w:tcW w:w="670" w:type="pct"/>
                  <w:noWrap w:val="0"/>
                  <w:vAlign w:val="center"/>
                </w:tcPr>
                <w:p w14:paraId="588541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新建</w:t>
                  </w:r>
                </w:p>
              </w:tc>
            </w:tr>
            <w:tr w14:paraId="42A7E0C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continue"/>
                  <w:noWrap w:val="0"/>
                  <w:vAlign w:val="center"/>
                </w:tcPr>
                <w:p w14:paraId="017B1C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0017E290">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供电</w:t>
                  </w:r>
                </w:p>
              </w:tc>
              <w:tc>
                <w:tcPr>
                  <w:tcW w:w="3204" w:type="pct"/>
                  <w:noWrap w:val="0"/>
                  <w:vAlign w:val="center"/>
                </w:tcPr>
                <w:p w14:paraId="58F8EF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eastAsia="宋体"/>
                      <w:color w:val="auto"/>
                      <w:sz w:val="18"/>
                      <w:szCs w:val="18"/>
                      <w:highlight w:val="none"/>
                      <w:lang w:val="en-US" w:eastAsia="zh-CN"/>
                    </w:rPr>
                  </w:pPr>
                  <w:r>
                    <w:rPr>
                      <w:rFonts w:hint="default" w:ascii="Times New Roman" w:hAnsi="Times New Roman" w:cs="Times New Roman"/>
                      <w:bCs/>
                      <w:color w:val="auto"/>
                      <w:sz w:val="18"/>
                      <w:szCs w:val="18"/>
                      <w:highlight w:val="none"/>
                    </w:rPr>
                    <w:t>由</w:t>
                  </w:r>
                  <w:r>
                    <w:rPr>
                      <w:rFonts w:hint="default" w:ascii="Times New Roman" w:hAnsi="Times New Roman" w:cs="Times New Roman"/>
                      <w:color w:val="auto"/>
                      <w:sz w:val="18"/>
                      <w:szCs w:val="18"/>
                      <w:highlight w:val="none"/>
                    </w:rPr>
                    <w:t>当地电业局供给</w:t>
                  </w:r>
                </w:p>
              </w:tc>
              <w:tc>
                <w:tcPr>
                  <w:tcW w:w="670" w:type="pct"/>
                  <w:noWrap w:val="0"/>
                  <w:vAlign w:val="center"/>
                </w:tcPr>
                <w:p w14:paraId="3E1EF3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新建</w:t>
                  </w:r>
                </w:p>
              </w:tc>
            </w:tr>
            <w:tr w14:paraId="0D909E5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continue"/>
                  <w:noWrap w:val="0"/>
                  <w:vAlign w:val="center"/>
                </w:tcPr>
                <w:p w14:paraId="6D5C93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77EC2587">
                  <w:pPr>
                    <w:pStyle w:val="13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rPr>
                    <w:t>供热</w:t>
                  </w:r>
                  <w:r>
                    <w:rPr>
                      <w:rFonts w:hint="eastAsia"/>
                      <w:color w:val="auto"/>
                      <w:sz w:val="18"/>
                      <w:szCs w:val="18"/>
                      <w:highlight w:val="none"/>
                      <w:lang w:val="en-US" w:eastAsia="zh-CN"/>
                    </w:rPr>
                    <w:t>供暖</w:t>
                  </w:r>
                </w:p>
              </w:tc>
              <w:tc>
                <w:tcPr>
                  <w:tcW w:w="3204" w:type="pct"/>
                  <w:noWrap w:val="0"/>
                  <w:vAlign w:val="center"/>
                </w:tcPr>
                <w:p w14:paraId="12A88873">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项目生产用热由热风炉提供，</w:t>
                  </w:r>
                  <w:r>
                    <w:rPr>
                      <w:rFonts w:hint="default" w:ascii="Times New Roman" w:hAnsi="Times New Roman" w:cs="Times New Roman"/>
                      <w:color w:val="auto"/>
                      <w:sz w:val="18"/>
                      <w:szCs w:val="18"/>
                      <w:highlight w:val="none"/>
                      <w:lang w:val="en-US" w:eastAsia="zh-CN"/>
                    </w:rPr>
                    <w:t>供暖为电取暖。</w:t>
                  </w:r>
                </w:p>
              </w:tc>
              <w:tc>
                <w:tcPr>
                  <w:tcW w:w="670" w:type="pct"/>
                  <w:noWrap w:val="0"/>
                  <w:vAlign w:val="center"/>
                </w:tcPr>
                <w:p w14:paraId="3F5869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新建</w:t>
                  </w:r>
                </w:p>
              </w:tc>
            </w:tr>
            <w:tr w14:paraId="19B6603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restart"/>
                  <w:noWrap w:val="0"/>
                  <w:vAlign w:val="center"/>
                </w:tcPr>
                <w:p w14:paraId="48549B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r>
                    <w:rPr>
                      <w:rFonts w:hint="default"/>
                      <w:color w:val="auto"/>
                      <w:sz w:val="18"/>
                      <w:szCs w:val="18"/>
                      <w:highlight w:val="none"/>
                    </w:rPr>
                    <w:t>环保工程</w:t>
                  </w:r>
                </w:p>
              </w:tc>
              <w:tc>
                <w:tcPr>
                  <w:tcW w:w="716" w:type="pct"/>
                  <w:vMerge w:val="restart"/>
                  <w:noWrap w:val="0"/>
                  <w:vAlign w:val="center"/>
                </w:tcPr>
                <w:p w14:paraId="08D1B9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default"/>
                      <w:color w:val="auto"/>
                      <w:sz w:val="18"/>
                      <w:szCs w:val="18"/>
                      <w:highlight w:val="none"/>
                    </w:rPr>
                    <w:t>废</w:t>
                  </w:r>
                  <w:r>
                    <w:rPr>
                      <w:rFonts w:hint="eastAsia"/>
                      <w:color w:val="auto"/>
                      <w:sz w:val="18"/>
                      <w:szCs w:val="18"/>
                      <w:highlight w:val="none"/>
                      <w:lang w:val="en-US" w:eastAsia="zh-CN"/>
                    </w:rPr>
                    <w:t>气</w:t>
                  </w:r>
                </w:p>
              </w:tc>
              <w:tc>
                <w:tcPr>
                  <w:tcW w:w="3204" w:type="pct"/>
                  <w:noWrap w:val="0"/>
                  <w:vAlign w:val="center"/>
                </w:tcPr>
                <w:p w14:paraId="2971D1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eastAsia="zh-CN"/>
                    </w:rPr>
                    <w:t>热风炉烟气：本项目</w:t>
                  </w:r>
                  <w:r>
                    <w:rPr>
                      <w:rFonts w:hint="default" w:ascii="Times New Roman" w:hAnsi="Times New Roman" w:cs="Times New Roman"/>
                      <w:color w:val="auto"/>
                      <w:sz w:val="18"/>
                      <w:szCs w:val="18"/>
                      <w:highlight w:val="none"/>
                    </w:rPr>
                    <w:t>热风炉</w:t>
                  </w:r>
                  <w:r>
                    <w:rPr>
                      <w:rFonts w:hint="default" w:ascii="Times New Roman" w:hAnsi="Times New Roman" w:cs="Times New Roman"/>
                      <w:color w:val="auto"/>
                      <w:sz w:val="18"/>
                      <w:szCs w:val="18"/>
                      <w:highlight w:val="none"/>
                      <w:lang w:eastAsia="zh-CN"/>
                    </w:rPr>
                    <w:t>烟</w:t>
                  </w:r>
                  <w:r>
                    <w:rPr>
                      <w:rFonts w:hint="default" w:ascii="Times New Roman" w:hAnsi="Times New Roman" w:cs="Times New Roman"/>
                      <w:color w:val="auto"/>
                      <w:sz w:val="18"/>
                      <w:szCs w:val="18"/>
                      <w:highlight w:val="none"/>
                    </w:rPr>
                    <w:t>气</w:t>
                  </w:r>
                  <w:r>
                    <w:rPr>
                      <w:rFonts w:hint="default" w:ascii="Times New Roman" w:hAnsi="Times New Roman" w:cs="Times New Roman"/>
                      <w:color w:val="auto"/>
                      <w:sz w:val="18"/>
                      <w:szCs w:val="18"/>
                      <w:highlight w:val="none"/>
                      <w:lang w:eastAsia="zh-CN"/>
                    </w:rPr>
                    <w:t>通过布袋除尘器</w:t>
                  </w:r>
                  <w:r>
                    <w:rPr>
                      <w:rFonts w:hint="default" w:ascii="Times New Roman" w:hAnsi="Times New Roman" w:cs="Times New Roman"/>
                      <w:color w:val="auto"/>
                      <w:sz w:val="18"/>
                      <w:szCs w:val="18"/>
                      <w:highlight w:val="none"/>
                      <w:lang w:val="en-US" w:eastAsia="zh-CN"/>
                    </w:rPr>
                    <w:t>处理</w:t>
                  </w:r>
                  <w:r>
                    <w:rPr>
                      <w:rFonts w:hint="default" w:ascii="Times New Roman" w:hAnsi="Times New Roman" w:cs="Times New Roman"/>
                      <w:color w:val="auto"/>
                      <w:sz w:val="18"/>
                      <w:szCs w:val="18"/>
                      <w:highlight w:val="none"/>
                      <w:lang w:eastAsia="zh-CN"/>
                    </w:rPr>
                    <w:t>后经</w:t>
                  </w:r>
                  <w:r>
                    <w:rPr>
                      <w:rFonts w:hint="default" w:ascii="Times New Roman" w:hAnsi="Times New Roman" w:cs="Times New Roman"/>
                      <w:color w:val="auto"/>
                      <w:sz w:val="18"/>
                      <w:szCs w:val="18"/>
                      <w:highlight w:val="none"/>
                      <w:lang w:val="en-US" w:eastAsia="zh-CN"/>
                    </w:rPr>
                    <w:t>15m</w:t>
                  </w:r>
                  <w:r>
                    <w:rPr>
                      <w:rFonts w:hint="default" w:ascii="Times New Roman" w:hAnsi="Times New Roman" w:cs="Times New Roman"/>
                      <w:color w:val="auto"/>
                      <w:sz w:val="18"/>
                      <w:szCs w:val="18"/>
                      <w:highlight w:val="none"/>
                      <w:lang w:eastAsia="zh-CN"/>
                    </w:rPr>
                    <w:t>烟囱（</w:t>
                  </w:r>
                  <w:r>
                    <w:rPr>
                      <w:rFonts w:hint="default" w:ascii="Times New Roman" w:hAnsi="Times New Roman" w:eastAsia="宋体" w:cs="Times New Roman"/>
                      <w:color w:val="auto"/>
                      <w:sz w:val="18"/>
                      <w:szCs w:val="18"/>
                      <w:highlight w:val="none"/>
                      <w:lang w:val="en-US" w:eastAsia="zh-CN"/>
                    </w:rPr>
                    <w:t>DA00</w:t>
                  </w:r>
                  <w:r>
                    <w:rPr>
                      <w:rFonts w:hint="eastAsia"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eastAsia="zh-CN"/>
                    </w:rPr>
                    <w:t>排放，SO</w:t>
                  </w:r>
                  <w:r>
                    <w:rPr>
                      <w:rFonts w:hint="default" w:ascii="Times New Roman" w:hAnsi="Times New Roman" w:cs="Times New Roman"/>
                      <w:color w:val="auto"/>
                      <w:sz w:val="18"/>
                      <w:szCs w:val="18"/>
                      <w:highlight w:val="none"/>
                      <w:vertAlign w:val="subscript"/>
                      <w:lang w:eastAsia="zh-CN"/>
                    </w:rPr>
                    <w:t>2</w:t>
                  </w:r>
                  <w:r>
                    <w:rPr>
                      <w:rFonts w:hint="default" w:ascii="Times New Roman" w:hAnsi="Times New Roman" w:cs="Times New Roman"/>
                      <w:color w:val="auto"/>
                      <w:sz w:val="18"/>
                      <w:szCs w:val="18"/>
                      <w:highlight w:val="none"/>
                      <w:lang w:eastAsia="zh-CN"/>
                    </w:rPr>
                    <w:t>排放浓度</w:t>
                  </w:r>
                  <w:r>
                    <w:rPr>
                      <w:rFonts w:hint="default" w:ascii="Times New Roman" w:hAnsi="Times New Roman" w:cs="Times New Roman"/>
                      <w:color w:val="auto"/>
                      <w:sz w:val="18"/>
                      <w:szCs w:val="18"/>
                      <w:highlight w:val="none"/>
                      <w:lang w:val="en-US" w:eastAsia="zh-CN"/>
                    </w:rPr>
                    <w:t>符合</w:t>
                  </w:r>
                  <w:r>
                    <w:rPr>
                      <w:rFonts w:hint="default" w:ascii="Times New Roman" w:hAnsi="Times New Roman" w:cs="Times New Roman"/>
                      <w:color w:val="auto"/>
                      <w:sz w:val="18"/>
                      <w:szCs w:val="18"/>
                      <w:highlight w:val="none"/>
                      <w:lang w:eastAsia="zh-CN"/>
                    </w:rPr>
                    <w:t>《工业炉窑大气污染物排放标准》（GB9078-1996）中的表4中的二级标准，颗粒物排放浓度及烟气黑度符合《工业炉窑大气污染物排放标准》（GB9078-1996）中的表2中的二级标准。</w:t>
                  </w:r>
                </w:p>
              </w:tc>
              <w:tc>
                <w:tcPr>
                  <w:tcW w:w="670" w:type="pct"/>
                  <w:noWrap w:val="0"/>
                  <w:vAlign w:val="center"/>
                </w:tcPr>
                <w:p w14:paraId="73B2DB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新建</w:t>
                  </w:r>
                </w:p>
              </w:tc>
            </w:tr>
            <w:tr w14:paraId="5DE8360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continue"/>
                  <w:noWrap w:val="0"/>
                  <w:vAlign w:val="center"/>
                </w:tcPr>
                <w:p w14:paraId="537541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vMerge w:val="continue"/>
                  <w:noWrap w:val="0"/>
                  <w:vAlign w:val="center"/>
                </w:tcPr>
                <w:p w14:paraId="6DF616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p>
              </w:tc>
              <w:tc>
                <w:tcPr>
                  <w:tcW w:w="3204" w:type="pct"/>
                  <w:noWrap w:val="0"/>
                  <w:vAlign w:val="center"/>
                </w:tcPr>
                <w:p w14:paraId="3B0BEF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eastAsia="zh-CN"/>
                    </w:rPr>
                    <w:t>本项目原料进厂均为脱粒后的玉米粒，无玉米须产生，厂区不设置露天堆场及晾晒场，不涉及药剂熏蒸，原料进厂后通过密闭式滚筒初清筛处理后进入潮粮仓暂存。</w:t>
                  </w:r>
                  <w:r>
                    <w:rPr>
                      <w:rFonts w:hint="default" w:ascii="Times New Roman" w:hAnsi="Times New Roman" w:cs="Times New Roman"/>
                      <w:color w:val="auto"/>
                      <w:sz w:val="18"/>
                      <w:szCs w:val="18"/>
                      <w:highlight w:val="none"/>
                    </w:rPr>
                    <w:t>原料烘干</w:t>
                  </w:r>
                  <w:r>
                    <w:rPr>
                      <w:rFonts w:hint="default" w:ascii="Times New Roman" w:hAnsi="Times New Roman" w:cs="Times New Roman"/>
                      <w:color w:val="auto"/>
                      <w:sz w:val="18"/>
                      <w:szCs w:val="18"/>
                      <w:highlight w:val="none"/>
                      <w:lang w:eastAsia="zh-CN"/>
                    </w:rPr>
                    <w:t>、运输</w:t>
                  </w:r>
                  <w:r>
                    <w:rPr>
                      <w:rFonts w:hint="default" w:ascii="Times New Roman" w:hAnsi="Times New Roman" w:cs="Times New Roman"/>
                      <w:color w:val="auto"/>
                      <w:sz w:val="18"/>
                      <w:szCs w:val="18"/>
                      <w:highlight w:val="none"/>
                      <w:lang w:val="en-US" w:eastAsia="zh-CN"/>
                    </w:rPr>
                    <w:t>及筛分</w:t>
                  </w:r>
                  <w:r>
                    <w:rPr>
                      <w:rFonts w:hint="default" w:ascii="Times New Roman" w:hAnsi="Times New Roman" w:cs="Times New Roman"/>
                      <w:color w:val="auto"/>
                      <w:sz w:val="18"/>
                      <w:szCs w:val="18"/>
                      <w:highlight w:val="none"/>
                    </w:rPr>
                    <w:t>过程会有</w:t>
                  </w:r>
                  <w:r>
                    <w:rPr>
                      <w:rFonts w:hint="default" w:ascii="Times New Roman" w:hAnsi="Times New Roman" w:cs="Times New Roman"/>
                      <w:color w:val="auto"/>
                      <w:sz w:val="18"/>
                      <w:szCs w:val="18"/>
                      <w:highlight w:val="none"/>
                      <w:lang w:eastAsia="zh-CN"/>
                    </w:rPr>
                    <w:t>粉尘</w:t>
                  </w:r>
                  <w:r>
                    <w:rPr>
                      <w:rFonts w:hint="default" w:ascii="Times New Roman" w:hAnsi="Times New Roman" w:cs="Times New Roman"/>
                      <w:color w:val="auto"/>
                      <w:sz w:val="18"/>
                      <w:szCs w:val="18"/>
                      <w:highlight w:val="none"/>
                    </w:rPr>
                    <w:t>产生，此部分</w:t>
                  </w:r>
                  <w:r>
                    <w:rPr>
                      <w:rFonts w:hint="default" w:ascii="Times New Roman" w:hAnsi="Times New Roman" w:cs="Times New Roman"/>
                      <w:color w:val="auto"/>
                      <w:sz w:val="18"/>
                      <w:szCs w:val="18"/>
                      <w:highlight w:val="none"/>
                      <w:lang w:eastAsia="zh-CN"/>
                    </w:rPr>
                    <w:t>粉尘</w:t>
                  </w:r>
                  <w:r>
                    <w:rPr>
                      <w:rFonts w:hint="default" w:ascii="Times New Roman" w:hAnsi="Times New Roman" w:cs="Times New Roman"/>
                      <w:color w:val="auto"/>
                      <w:sz w:val="18"/>
                      <w:szCs w:val="18"/>
                      <w:highlight w:val="none"/>
                    </w:rPr>
                    <w:t>以无组织的形式排放。装卸工段</w:t>
                  </w:r>
                  <w:r>
                    <w:rPr>
                      <w:rFonts w:hint="default" w:ascii="Times New Roman" w:hAnsi="Times New Roman" w:eastAsia="宋体" w:cs="Times New Roman"/>
                      <w:color w:val="auto"/>
                      <w:spacing w:val="0"/>
                      <w:kern w:val="0"/>
                      <w:sz w:val="18"/>
                      <w:szCs w:val="18"/>
                      <w:highlight w:val="none"/>
                      <w:lang w:val="en-US" w:eastAsia="zh-CN" w:bidi="ar"/>
                    </w:rPr>
                    <w:t>采用密闭性良好的设备，全封闭输送机、原粮入</w:t>
                  </w:r>
                  <w:r>
                    <w:rPr>
                      <w:rFonts w:hint="default" w:ascii="Times New Roman" w:hAnsi="Times New Roman" w:cs="Times New Roman"/>
                      <w:color w:val="auto"/>
                      <w:spacing w:val="0"/>
                      <w:kern w:val="0"/>
                      <w:sz w:val="18"/>
                      <w:szCs w:val="18"/>
                      <w:highlight w:val="none"/>
                      <w:lang w:val="en-US" w:eastAsia="zh-CN" w:bidi="ar"/>
                    </w:rPr>
                    <w:t>仓</w:t>
                  </w:r>
                  <w:r>
                    <w:rPr>
                      <w:rFonts w:hint="default" w:ascii="Times New Roman" w:hAnsi="Times New Roman" w:eastAsia="宋体" w:cs="Times New Roman"/>
                      <w:color w:val="auto"/>
                      <w:spacing w:val="0"/>
                      <w:kern w:val="0"/>
                      <w:sz w:val="18"/>
                      <w:szCs w:val="18"/>
                      <w:highlight w:val="none"/>
                      <w:lang w:val="en-US" w:eastAsia="zh-CN" w:bidi="ar"/>
                    </w:rPr>
                    <w:t>采取封闭和减小装卸高度</w:t>
                  </w:r>
                  <w:r>
                    <w:rPr>
                      <w:rFonts w:hint="default" w:ascii="Times New Roman" w:hAnsi="Times New Roman" w:cs="Times New Roman"/>
                      <w:color w:val="auto"/>
                      <w:sz w:val="18"/>
                      <w:szCs w:val="18"/>
                      <w:highlight w:val="none"/>
                    </w:rPr>
                    <w:t>等降尘措施，运输过程中采用封闭输送</w:t>
                  </w:r>
                  <w:r>
                    <w:rPr>
                      <w:rFonts w:hint="default" w:ascii="Times New Roman" w:hAnsi="Times New Roman" w:cs="Times New Roman"/>
                      <w:color w:val="auto"/>
                      <w:sz w:val="18"/>
                      <w:szCs w:val="18"/>
                      <w:highlight w:val="none"/>
                      <w:lang w:eastAsia="zh-CN"/>
                    </w:rPr>
                    <w:t>；清粮采用全密闭</w:t>
                  </w:r>
                  <w:r>
                    <w:rPr>
                      <w:rFonts w:hint="default" w:ascii="Times New Roman" w:hAnsi="Times New Roman" w:cs="Times New Roman"/>
                      <w:color w:val="auto"/>
                      <w:sz w:val="18"/>
                      <w:szCs w:val="18"/>
                      <w:highlight w:val="none"/>
                      <w:lang w:val="en-US" w:eastAsia="zh-CN"/>
                    </w:rPr>
                    <w:t>筛分机</w:t>
                  </w:r>
                  <w:r>
                    <w:rPr>
                      <w:rFonts w:hint="default" w:ascii="Times New Roman" w:hAnsi="Times New Roman" w:cs="Times New Roman"/>
                      <w:color w:val="auto"/>
                      <w:sz w:val="18"/>
                      <w:szCs w:val="18"/>
                      <w:highlight w:val="none"/>
                      <w:lang w:eastAsia="zh-CN"/>
                    </w:rPr>
                    <w:t>，产生的粉尘经设备</w:t>
                  </w:r>
                  <w:r>
                    <w:rPr>
                      <w:rFonts w:hint="eastAsia" w:cs="Times New Roman"/>
                      <w:color w:val="auto"/>
                      <w:sz w:val="18"/>
                      <w:szCs w:val="18"/>
                      <w:highlight w:val="none"/>
                      <w:lang w:eastAsia="zh-CN"/>
                    </w:rPr>
                    <w:t>自带滤袋</w:t>
                  </w:r>
                  <w:r>
                    <w:rPr>
                      <w:rFonts w:hint="default" w:ascii="Times New Roman" w:hAnsi="Times New Roman" w:cs="Times New Roman"/>
                      <w:color w:val="auto"/>
                      <w:sz w:val="18"/>
                      <w:szCs w:val="18"/>
                      <w:highlight w:val="none"/>
                      <w:lang w:eastAsia="zh-CN"/>
                    </w:rPr>
                    <w:t>处理</w:t>
                  </w:r>
                  <w:r>
                    <w:rPr>
                      <w:rFonts w:hint="eastAsia" w:cs="Times New Roman"/>
                      <w:color w:val="auto"/>
                      <w:sz w:val="18"/>
                      <w:szCs w:val="18"/>
                      <w:highlight w:val="none"/>
                      <w:lang w:eastAsia="zh-CN"/>
                    </w:rPr>
                    <w:t>后无组织</w:t>
                  </w:r>
                  <w:r>
                    <w:rPr>
                      <w:rFonts w:hint="default" w:ascii="Times New Roman" w:hAnsi="Times New Roman" w:cs="Times New Roman"/>
                      <w:color w:val="auto"/>
                      <w:sz w:val="18"/>
                      <w:szCs w:val="18"/>
                      <w:highlight w:val="none"/>
                      <w:lang w:eastAsia="zh-CN"/>
                    </w:rPr>
                    <w:t>排放；烘干塔内部自带重力沉降室，烘干塔底部四周设置防尘挡板，粉尘受挡板隔挡后受重力作用回落到烘干塔底部收尘设施中。</w:t>
                  </w:r>
                  <w:r>
                    <w:rPr>
                      <w:rFonts w:hint="eastAsia" w:cs="Times New Roman"/>
                      <w:color w:val="auto"/>
                      <w:sz w:val="18"/>
                      <w:szCs w:val="18"/>
                      <w:highlight w:val="none"/>
                      <w:lang w:eastAsia="zh-CN"/>
                    </w:rPr>
                    <w:t>灰渣</w:t>
                  </w:r>
                  <w:r>
                    <w:rPr>
                      <w:rFonts w:hint="default" w:ascii="Times New Roman" w:hAnsi="Times New Roman" w:cs="Times New Roman"/>
                      <w:color w:val="auto"/>
                      <w:sz w:val="18"/>
                      <w:szCs w:val="18"/>
                      <w:highlight w:val="none"/>
                      <w:lang w:eastAsia="zh-CN"/>
                    </w:rPr>
                    <w:t>间、</w:t>
                  </w:r>
                  <w:r>
                    <w:rPr>
                      <w:rFonts w:hint="default" w:ascii="Times New Roman" w:hAnsi="Times New Roman" w:cs="Times New Roman"/>
                      <w:bCs/>
                      <w:color w:val="auto"/>
                      <w:kern w:val="0"/>
                      <w:sz w:val="18"/>
                      <w:szCs w:val="18"/>
                      <w:highlight w:val="none"/>
                      <w:lang w:val="en-US" w:eastAsia="zh-CN"/>
                    </w:rPr>
                    <w:t>热风炉房</w:t>
                  </w:r>
                  <w:r>
                    <w:rPr>
                      <w:rFonts w:hint="default" w:ascii="Times New Roman" w:hAnsi="Times New Roman" w:cs="Times New Roman"/>
                      <w:color w:val="auto"/>
                      <w:sz w:val="18"/>
                      <w:szCs w:val="18"/>
                      <w:highlight w:val="none"/>
                      <w:lang w:eastAsia="zh-CN"/>
                    </w:rPr>
                    <w:t>密闭并定期洒水抑尘，减少粉尘扩散，</w:t>
                  </w:r>
                  <w:r>
                    <w:rPr>
                      <w:rFonts w:hint="eastAsia" w:ascii="Times New Roman" w:hAnsi="Times New Roman" w:eastAsia="宋体" w:cs="Times New Roman"/>
                      <w:color w:val="auto"/>
                      <w:sz w:val="18"/>
                      <w:szCs w:val="18"/>
                      <w:highlight w:val="none"/>
                      <w:lang w:val="en-US" w:eastAsia="zh-CN"/>
                    </w:rPr>
                    <w:t>热风炉周边无组织排放颗粒物浓度执行</w:t>
                  </w:r>
                  <w:r>
                    <w:rPr>
                      <w:rFonts w:hint="default" w:ascii="Times New Roman" w:hAnsi="Times New Roman" w:eastAsia="宋体" w:cs="Times New Roman"/>
                      <w:color w:val="auto"/>
                      <w:sz w:val="18"/>
                      <w:szCs w:val="18"/>
                      <w:highlight w:val="none"/>
                      <w:lang w:eastAsia="zh-CN"/>
                    </w:rPr>
                    <w:t>《工业炉窑大气污染物排放标准》（GB9078-1996）中的表</w:t>
                  </w:r>
                  <w:r>
                    <w:rPr>
                      <w:rFonts w:hint="eastAsia" w:ascii="Times New Roman" w:hAnsi="Times New Roman" w:eastAsia="宋体" w:cs="Times New Roman"/>
                      <w:color w:val="auto"/>
                      <w:sz w:val="18"/>
                      <w:szCs w:val="18"/>
                      <w:highlight w:val="none"/>
                      <w:lang w:val="en-US" w:eastAsia="zh-CN"/>
                    </w:rPr>
                    <w:t>3</w:t>
                  </w:r>
                  <w:r>
                    <w:rPr>
                      <w:rFonts w:hint="default" w:ascii="Times New Roman" w:hAnsi="Times New Roman" w:eastAsia="宋体" w:cs="Times New Roman"/>
                      <w:color w:val="auto"/>
                      <w:sz w:val="18"/>
                      <w:szCs w:val="18"/>
                      <w:highlight w:val="none"/>
                      <w:lang w:eastAsia="zh-CN"/>
                    </w:rPr>
                    <w:t>标准</w:t>
                  </w:r>
                  <w:r>
                    <w:rPr>
                      <w:rFonts w:hint="eastAsia" w:ascii="Times New Roman" w:hAnsi="Times New Roman" w:eastAsia="宋体" w:cs="Times New Roman"/>
                      <w:color w:val="auto"/>
                      <w:sz w:val="18"/>
                      <w:szCs w:val="18"/>
                      <w:highlight w:val="none"/>
                      <w:lang w:eastAsia="zh-CN"/>
                    </w:rPr>
                    <w:t>，</w:t>
                  </w:r>
                  <w:r>
                    <w:rPr>
                      <w:rFonts w:hint="default" w:ascii="Times New Roman" w:hAnsi="Times New Roman" w:cs="Times New Roman"/>
                      <w:color w:val="auto"/>
                      <w:sz w:val="18"/>
                      <w:szCs w:val="18"/>
                      <w:highlight w:val="none"/>
                    </w:rPr>
                    <w:t>厂界颗粒物排放浓度符合《大气污染物综合排放标准》（GB16297-1996）表2无组织排放浓度限值要求</w:t>
                  </w:r>
                  <w:r>
                    <w:rPr>
                      <w:rFonts w:hint="default" w:ascii="Times New Roman" w:hAnsi="Times New Roman" w:cs="Times New Roman"/>
                      <w:color w:val="auto"/>
                      <w:sz w:val="18"/>
                      <w:szCs w:val="18"/>
                      <w:highlight w:val="none"/>
                      <w:lang w:eastAsia="zh-CN"/>
                    </w:rPr>
                    <w:t>。</w:t>
                  </w:r>
                </w:p>
              </w:tc>
              <w:tc>
                <w:tcPr>
                  <w:tcW w:w="670" w:type="pct"/>
                  <w:noWrap w:val="0"/>
                  <w:vAlign w:val="center"/>
                </w:tcPr>
                <w:p w14:paraId="309103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eastAsia="zh-CN"/>
                    </w:rPr>
                  </w:pPr>
                  <w:r>
                    <w:rPr>
                      <w:rFonts w:hint="eastAsia"/>
                      <w:color w:val="auto"/>
                      <w:sz w:val="18"/>
                      <w:szCs w:val="18"/>
                      <w:highlight w:val="none"/>
                      <w:lang w:val="en-US" w:eastAsia="zh-CN"/>
                    </w:rPr>
                    <w:t>新建</w:t>
                  </w:r>
                </w:p>
              </w:tc>
            </w:tr>
            <w:tr w14:paraId="145336F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continue"/>
                  <w:noWrap w:val="0"/>
                  <w:vAlign w:val="center"/>
                </w:tcPr>
                <w:p w14:paraId="553317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0A0942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auto"/>
                      <w:sz w:val="18"/>
                      <w:szCs w:val="18"/>
                      <w:highlight w:val="none"/>
                    </w:rPr>
                  </w:pPr>
                  <w:r>
                    <w:rPr>
                      <w:rFonts w:hint="eastAsia"/>
                      <w:color w:val="auto"/>
                      <w:sz w:val="18"/>
                      <w:szCs w:val="18"/>
                      <w:highlight w:val="none"/>
                    </w:rPr>
                    <w:t>废</w:t>
                  </w:r>
                  <w:r>
                    <w:rPr>
                      <w:rFonts w:hint="eastAsia"/>
                      <w:color w:val="auto"/>
                      <w:sz w:val="18"/>
                      <w:szCs w:val="18"/>
                      <w:highlight w:val="none"/>
                      <w:lang w:val="en-US" w:eastAsia="zh-CN"/>
                    </w:rPr>
                    <w:t>水</w:t>
                  </w:r>
                </w:p>
              </w:tc>
              <w:tc>
                <w:tcPr>
                  <w:tcW w:w="3204" w:type="pct"/>
                  <w:noWrap w:val="0"/>
                  <w:vAlign w:val="center"/>
                </w:tcPr>
                <w:p w14:paraId="393E0F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eastAsia="宋体"/>
                      <w:color w:val="auto"/>
                      <w:sz w:val="18"/>
                      <w:szCs w:val="18"/>
                      <w:highlight w:val="none"/>
                      <w:lang w:val="en-US" w:eastAsia="zh-CN"/>
                    </w:rPr>
                  </w:pPr>
                  <w:r>
                    <w:rPr>
                      <w:rFonts w:hint="eastAsia"/>
                      <w:bCs/>
                      <w:color w:val="auto"/>
                      <w:sz w:val="18"/>
                      <w:szCs w:val="18"/>
                    </w:rPr>
                    <w:t>本项目生产过程中无废水产生，</w:t>
                  </w:r>
                  <w:r>
                    <w:rPr>
                      <w:rFonts w:hint="eastAsia"/>
                      <w:bCs/>
                      <w:color w:val="auto"/>
                      <w:sz w:val="18"/>
                      <w:szCs w:val="18"/>
                      <w:lang w:val="en-US" w:eastAsia="zh-CN"/>
                    </w:rPr>
                    <w:t>员工生活污水排入防渗旱厕、定期清掏外运堆肥，洒水降尘用水、灰渣调湿用水全部自然蒸发，不外排。</w:t>
                  </w:r>
                </w:p>
              </w:tc>
              <w:tc>
                <w:tcPr>
                  <w:tcW w:w="670" w:type="pct"/>
                  <w:noWrap w:val="0"/>
                  <w:vAlign w:val="center"/>
                </w:tcPr>
                <w:p w14:paraId="4635DF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FF0000"/>
                      <w:sz w:val="18"/>
                      <w:szCs w:val="18"/>
                      <w:highlight w:val="none"/>
                      <w:lang w:eastAsia="zh-CN"/>
                    </w:rPr>
                  </w:pPr>
                  <w:r>
                    <w:rPr>
                      <w:rFonts w:hint="eastAsia"/>
                      <w:color w:val="auto"/>
                      <w:sz w:val="18"/>
                      <w:szCs w:val="18"/>
                      <w:highlight w:val="none"/>
                      <w:lang w:val="en-US" w:eastAsia="zh-CN"/>
                    </w:rPr>
                    <w:t>新建</w:t>
                  </w:r>
                </w:p>
              </w:tc>
            </w:tr>
            <w:tr w14:paraId="2FF14EE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continue"/>
                  <w:noWrap w:val="0"/>
                  <w:vAlign w:val="center"/>
                </w:tcPr>
                <w:p w14:paraId="38A8B1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093D34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auto"/>
                      <w:sz w:val="18"/>
                      <w:szCs w:val="18"/>
                      <w:highlight w:val="none"/>
                    </w:rPr>
                  </w:pPr>
                  <w:r>
                    <w:rPr>
                      <w:rFonts w:hint="default"/>
                      <w:color w:val="auto"/>
                      <w:sz w:val="18"/>
                      <w:szCs w:val="18"/>
                      <w:highlight w:val="none"/>
                    </w:rPr>
                    <w:t>噪声</w:t>
                  </w:r>
                </w:p>
              </w:tc>
              <w:tc>
                <w:tcPr>
                  <w:tcW w:w="3204" w:type="pct"/>
                  <w:noWrap w:val="0"/>
                  <w:vAlign w:val="center"/>
                </w:tcPr>
                <w:p w14:paraId="723E3222">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both"/>
                    <w:textAlignment w:val="auto"/>
                    <w:rPr>
                      <w:rFonts w:hint="eastAsia" w:eastAsia="宋体"/>
                      <w:color w:val="auto"/>
                      <w:sz w:val="18"/>
                      <w:szCs w:val="18"/>
                      <w:highlight w:val="none"/>
                      <w:lang w:val="en-US" w:eastAsia="zh-CN"/>
                    </w:rPr>
                  </w:pPr>
                  <w:r>
                    <w:rPr>
                      <w:rFonts w:hint="default" w:ascii="Times New Roman" w:hAnsi="Times New Roman" w:cs="Times New Roman"/>
                      <w:color w:val="auto"/>
                      <w:sz w:val="18"/>
                      <w:szCs w:val="18"/>
                      <w:highlight w:val="none"/>
                    </w:rPr>
                    <w:t>加工设备及设施运行</w:t>
                  </w:r>
                  <w:r>
                    <w:rPr>
                      <w:rFonts w:hint="default" w:ascii="Times New Roman" w:hAnsi="Times New Roman" w:cs="Times New Roman"/>
                      <w:color w:val="auto"/>
                      <w:sz w:val="18"/>
                      <w:szCs w:val="18"/>
                      <w:highlight w:val="none"/>
                      <w:lang w:eastAsia="zh-CN"/>
                    </w:rPr>
                    <w:t>产生的噪声</w:t>
                  </w:r>
                  <w:r>
                    <w:rPr>
                      <w:rFonts w:hint="default" w:ascii="Times New Roman" w:hAnsi="Times New Roman" w:cs="Times New Roman"/>
                      <w:color w:val="auto"/>
                      <w:sz w:val="18"/>
                      <w:szCs w:val="18"/>
                      <w:highlight w:val="none"/>
                    </w:rPr>
                    <w:t>经</w:t>
                  </w:r>
                  <w:r>
                    <w:rPr>
                      <w:rFonts w:hint="default" w:ascii="Times New Roman" w:hAnsi="Times New Roman" w:eastAsia="宋体" w:cs="Times New Roman"/>
                      <w:color w:val="auto"/>
                      <w:sz w:val="18"/>
                      <w:szCs w:val="18"/>
                      <w:highlight w:val="none"/>
                    </w:rPr>
                    <w:t>选取低噪声设备，采取减振、隔声</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安装消声器</w:t>
                  </w:r>
                  <w:r>
                    <w:rPr>
                      <w:rFonts w:hint="default" w:ascii="Times New Roman" w:hAnsi="Times New Roman" w:cs="Times New Roman"/>
                      <w:color w:val="auto"/>
                      <w:sz w:val="18"/>
                      <w:szCs w:val="18"/>
                      <w:highlight w:val="none"/>
                      <w:lang w:eastAsia="zh-CN"/>
                    </w:rPr>
                    <w:t>等措施处理</w:t>
                  </w:r>
                  <w:r>
                    <w:rPr>
                      <w:rFonts w:hint="default" w:ascii="Times New Roman" w:hAnsi="Times New Roman" w:cs="Times New Roman"/>
                      <w:color w:val="auto"/>
                      <w:sz w:val="18"/>
                      <w:szCs w:val="18"/>
                      <w:highlight w:val="none"/>
                    </w:rPr>
                    <w:t>后</w:t>
                  </w:r>
                  <w:r>
                    <w:rPr>
                      <w:rFonts w:hint="eastAsia" w:ascii="Times New Roman" w:hAnsi="Times New Roman" w:cs="Times New Roman"/>
                      <w:color w:val="auto"/>
                      <w:sz w:val="18"/>
                      <w:szCs w:val="18"/>
                      <w:highlight w:val="none"/>
                      <w:lang w:eastAsia="zh-CN"/>
                    </w:rPr>
                    <w:t>，厂界满足</w:t>
                  </w:r>
                  <w:r>
                    <w:rPr>
                      <w:rFonts w:hint="default" w:ascii="Times New Roman" w:hAnsi="Times New Roman" w:cs="Times New Roman"/>
                      <w:color w:val="auto"/>
                      <w:sz w:val="18"/>
                      <w:szCs w:val="18"/>
                      <w:highlight w:val="none"/>
                    </w:rPr>
                    <w:t>《工业企业厂界环境噪声排放标准》（GB12348-2008）中</w:t>
                  </w:r>
                  <w:r>
                    <w:rPr>
                      <w:rFonts w:hint="eastAsia" w:cs="Times New Roman"/>
                      <w:color w:val="auto"/>
                      <w:sz w:val="18"/>
                      <w:szCs w:val="18"/>
                      <w:highlight w:val="none"/>
                      <w:lang w:val="en-US" w:eastAsia="zh-CN"/>
                    </w:rPr>
                    <w:t>2类</w:t>
                  </w:r>
                  <w:r>
                    <w:rPr>
                      <w:rFonts w:hint="default" w:ascii="Times New Roman" w:hAnsi="Times New Roman" w:cs="Times New Roman"/>
                      <w:color w:val="auto"/>
                      <w:sz w:val="18"/>
                      <w:szCs w:val="18"/>
                      <w:highlight w:val="none"/>
                    </w:rPr>
                    <w:t>标准</w:t>
                  </w:r>
                  <w:r>
                    <w:rPr>
                      <w:rFonts w:hint="eastAsia" w:cs="Times New Roman"/>
                      <w:color w:val="auto"/>
                      <w:sz w:val="18"/>
                      <w:szCs w:val="18"/>
                      <w:highlight w:val="none"/>
                      <w:lang w:eastAsia="zh-CN"/>
                    </w:rPr>
                    <w:t>。</w:t>
                  </w:r>
                </w:p>
              </w:tc>
              <w:tc>
                <w:tcPr>
                  <w:tcW w:w="670" w:type="pct"/>
                  <w:noWrap w:val="0"/>
                  <w:vAlign w:val="center"/>
                </w:tcPr>
                <w:p w14:paraId="2CFBCF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新建</w:t>
                  </w:r>
                </w:p>
              </w:tc>
            </w:tr>
            <w:tr w14:paraId="6D4DBD7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continue"/>
                  <w:noWrap w:val="0"/>
                  <w:vAlign w:val="center"/>
                </w:tcPr>
                <w:p w14:paraId="6DB881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noWrap w:val="0"/>
                  <w:vAlign w:val="center"/>
                </w:tcPr>
                <w:p w14:paraId="2F541D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auto"/>
                      <w:sz w:val="18"/>
                      <w:szCs w:val="18"/>
                      <w:highlight w:val="none"/>
                    </w:rPr>
                  </w:pPr>
                  <w:r>
                    <w:rPr>
                      <w:rFonts w:hint="eastAsia"/>
                      <w:color w:val="auto"/>
                      <w:sz w:val="18"/>
                      <w:szCs w:val="18"/>
                      <w:highlight w:val="none"/>
                    </w:rPr>
                    <w:t>固体废物</w:t>
                  </w:r>
                </w:p>
              </w:tc>
              <w:tc>
                <w:tcPr>
                  <w:tcW w:w="3204" w:type="pct"/>
                  <w:noWrap w:val="0"/>
                  <w:vAlign w:val="center"/>
                </w:tcPr>
                <w:p w14:paraId="5177D7D2">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sz w:val="18"/>
                      <w:szCs w:val="18"/>
                      <w:highlight w:val="none"/>
                    </w:rPr>
                  </w:pPr>
                  <w:r>
                    <w:rPr>
                      <w:rFonts w:hint="default" w:cs="Times New Roman"/>
                      <w:color w:val="auto"/>
                      <w:sz w:val="18"/>
                      <w:szCs w:val="18"/>
                      <w:highlight w:val="none"/>
                      <w:lang w:val="en-US" w:eastAsia="zh-CN"/>
                    </w:rPr>
                    <w:t>本项目</w:t>
                  </w:r>
                  <w:r>
                    <w:rPr>
                      <w:rFonts w:hint="eastAsia" w:cs="Times New Roman"/>
                      <w:color w:val="auto"/>
                      <w:sz w:val="18"/>
                      <w:szCs w:val="18"/>
                      <w:highlight w:val="none"/>
                      <w:lang w:val="en-US" w:eastAsia="zh-CN"/>
                    </w:rPr>
                    <w:t>生活垃圾集中收集委托环卫部门处理，热风炉灰渣暂存密闭灰渣间，定期清运，不在厂区长期储存，外售综合利用，初清杂质及输送装卸过程产生的砂石杂质外售建材企业综合利用，烘干粉尘外售农户作为牲畜饲料综合利用，除尘器废布袋由除尘器厂家更换后回收。废机油、废机油桶、含油抹布手套等危险废物暂存危险废物贮存点，定期委托有资质单位处置。</w:t>
                  </w:r>
                </w:p>
              </w:tc>
              <w:tc>
                <w:tcPr>
                  <w:tcW w:w="670" w:type="pct"/>
                  <w:noWrap w:val="0"/>
                  <w:vAlign w:val="center"/>
                </w:tcPr>
                <w:p w14:paraId="3AACC1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新建</w:t>
                  </w:r>
                </w:p>
              </w:tc>
            </w:tr>
            <w:tr w14:paraId="73EDAEE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9" w:type="pct"/>
                  <w:vMerge w:val="continue"/>
                  <w:tcBorders>
                    <w:bottom w:val="single" w:color="auto" w:sz="12" w:space="0"/>
                  </w:tcBorders>
                  <w:noWrap w:val="0"/>
                  <w:vAlign w:val="center"/>
                </w:tcPr>
                <w:p w14:paraId="43B002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rPr>
                  </w:pPr>
                </w:p>
              </w:tc>
              <w:tc>
                <w:tcPr>
                  <w:tcW w:w="716" w:type="pct"/>
                  <w:tcBorders>
                    <w:bottom w:val="single" w:color="auto" w:sz="12" w:space="0"/>
                  </w:tcBorders>
                  <w:noWrap w:val="0"/>
                  <w:vAlign w:val="center"/>
                </w:tcPr>
                <w:p w14:paraId="78E355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分区防渗</w:t>
                  </w:r>
                </w:p>
              </w:tc>
              <w:tc>
                <w:tcPr>
                  <w:tcW w:w="3204" w:type="pct"/>
                  <w:tcBorders>
                    <w:bottom w:val="single" w:color="auto" w:sz="12" w:space="0"/>
                  </w:tcBorders>
                  <w:noWrap w:val="0"/>
                  <w:vAlign w:val="center"/>
                </w:tcPr>
                <w:p w14:paraId="4B9858D7">
                  <w:pPr>
                    <w:pStyle w:val="9"/>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right="0" w:firstLine="0" w:firstLineChars="0"/>
                    <w:jc w:val="both"/>
                    <w:textAlignment w:val="auto"/>
                    <w:rPr>
                      <w:rFonts w:hint="default"/>
                      <w:color w:val="auto"/>
                      <w:sz w:val="18"/>
                      <w:szCs w:val="18"/>
                      <w:highlight w:val="none"/>
                      <w:lang w:val="en-US"/>
                    </w:rPr>
                  </w:pPr>
                  <w:r>
                    <w:rPr>
                      <w:rFonts w:hint="eastAsia" w:cs="Times New Roman"/>
                      <w:color w:val="auto"/>
                      <w:sz w:val="18"/>
                      <w:szCs w:val="18"/>
                      <w:highlight w:val="none"/>
                      <w:lang w:val="en-US" w:eastAsia="zh-CN"/>
                    </w:rPr>
                    <w:t>危险</w:t>
                  </w:r>
                  <w:r>
                    <w:rPr>
                      <w:rFonts w:hint="eastAsia" w:ascii="Times New Roman" w:hAnsi="Times New Roman" w:eastAsia="宋体" w:cs="Times New Roman"/>
                      <w:color w:val="auto"/>
                      <w:sz w:val="18"/>
                      <w:szCs w:val="18"/>
                      <w:highlight w:val="none"/>
                      <w:lang w:val="en-US" w:eastAsia="zh-CN"/>
                    </w:rPr>
                    <w:t>废物贮存点地面与裙脚采取重点防渗</w:t>
                  </w:r>
                  <w:r>
                    <w:rPr>
                      <w:rFonts w:hint="eastAsia" w:cs="Times New Roman"/>
                      <w:color w:val="auto"/>
                      <w:sz w:val="18"/>
                      <w:szCs w:val="18"/>
                      <w:highlight w:val="none"/>
                      <w:lang w:val="en-US" w:eastAsia="zh-CN"/>
                    </w:rPr>
                    <w:t>，采用</w:t>
                  </w:r>
                  <w:r>
                    <w:rPr>
                      <w:rFonts w:hint="eastAsia" w:ascii="Times New Roman" w:hAnsi="Times New Roman" w:eastAsia="宋体" w:cs="Times New Roman"/>
                      <w:bCs/>
                      <w:color w:val="auto"/>
                      <w:sz w:val="18"/>
                      <w:szCs w:val="18"/>
                      <w:highlight w:val="none"/>
                      <w:lang w:val="en-US" w:eastAsia="zh-CN"/>
                    </w:rPr>
                    <w:t>至少2mm厚的防渗人工材料，防渗系数≤10</w:t>
                  </w:r>
                  <w:r>
                    <w:rPr>
                      <w:rFonts w:hint="eastAsia" w:ascii="Times New Roman" w:hAnsi="Times New Roman" w:eastAsia="宋体" w:cs="Times New Roman"/>
                      <w:bCs/>
                      <w:color w:val="auto"/>
                      <w:sz w:val="18"/>
                      <w:szCs w:val="18"/>
                      <w:highlight w:val="none"/>
                      <w:vertAlign w:val="superscript"/>
                      <w:lang w:val="en-US" w:eastAsia="zh-CN"/>
                    </w:rPr>
                    <w:t>-</w:t>
                  </w:r>
                  <w:r>
                    <w:rPr>
                      <w:rFonts w:hint="eastAsia" w:cs="Times New Roman"/>
                      <w:bCs/>
                      <w:color w:val="auto"/>
                      <w:sz w:val="18"/>
                      <w:szCs w:val="18"/>
                      <w:highlight w:val="none"/>
                      <w:vertAlign w:val="superscript"/>
                      <w:lang w:val="en-US" w:eastAsia="zh-CN"/>
                    </w:rPr>
                    <w:t>10</w:t>
                  </w:r>
                  <w:r>
                    <w:rPr>
                      <w:rFonts w:hint="eastAsia" w:ascii="Times New Roman" w:hAnsi="Times New Roman" w:eastAsia="宋体" w:cs="Times New Roman"/>
                      <w:bCs/>
                      <w:color w:val="auto"/>
                      <w:sz w:val="18"/>
                      <w:szCs w:val="18"/>
                      <w:highlight w:val="none"/>
                      <w:lang w:val="en-US" w:eastAsia="zh-CN"/>
                    </w:rPr>
                    <w:t>cm/s，</w:t>
                  </w:r>
                  <w:r>
                    <w:rPr>
                      <w:rFonts w:hint="eastAsia" w:cs="Times New Roman"/>
                      <w:bCs/>
                      <w:color w:val="auto"/>
                      <w:sz w:val="18"/>
                      <w:szCs w:val="18"/>
                      <w:highlight w:val="none"/>
                      <w:lang w:val="en-US" w:eastAsia="zh-CN"/>
                    </w:rPr>
                    <w:t>厂区内其他区域采取简单防渗，采用水泥硬化。</w:t>
                  </w:r>
                </w:p>
              </w:tc>
              <w:tc>
                <w:tcPr>
                  <w:tcW w:w="670" w:type="pct"/>
                  <w:tcBorders>
                    <w:bottom w:val="single" w:color="auto" w:sz="12" w:space="0"/>
                  </w:tcBorders>
                  <w:noWrap w:val="0"/>
                  <w:vAlign w:val="center"/>
                </w:tcPr>
                <w:p w14:paraId="265A8B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新建</w:t>
                  </w:r>
                </w:p>
              </w:tc>
            </w:tr>
          </w:tbl>
          <w:p w14:paraId="44C65356">
            <w:pPr>
              <w:keepNext w:val="0"/>
              <w:keepLines w:val="0"/>
              <w:suppressLineNumbers w:val="0"/>
              <w:adjustRightInd w:val="0"/>
              <w:snapToGrid w:val="0"/>
              <w:spacing w:before="0" w:beforeAutospacing="0" w:after="0" w:afterAutospacing="0" w:line="360" w:lineRule="auto"/>
              <w:ind w:left="0" w:right="0" w:firstLine="422" w:firstLineChars="200"/>
              <w:rPr>
                <w:rFonts w:hint="default"/>
                <w:b/>
                <w:color w:val="auto"/>
                <w:szCs w:val="21"/>
                <w:highlight w:val="none"/>
              </w:rPr>
            </w:pPr>
            <w:r>
              <w:rPr>
                <w:rFonts w:hint="default" w:ascii="Times New Roman" w:hAnsi="Times New Roman" w:cs="Times New Roman"/>
                <w:b/>
                <w:bCs/>
                <w:color w:val="auto"/>
                <w:kern w:val="0"/>
                <w:szCs w:val="21"/>
                <w:highlight w:val="none"/>
              </w:rPr>
              <w:t>2、</w:t>
            </w:r>
            <w:r>
              <w:rPr>
                <w:rFonts w:hint="default"/>
                <w:b/>
                <w:color w:val="auto"/>
                <w:szCs w:val="21"/>
                <w:highlight w:val="none"/>
              </w:rPr>
              <w:t>主要产品及产能</w:t>
            </w:r>
          </w:p>
          <w:p w14:paraId="2471AEE5">
            <w:pPr>
              <w:keepNext w:val="0"/>
              <w:keepLines w:val="0"/>
              <w:suppressLineNumbers w:val="0"/>
              <w:adjustRightInd w:val="0"/>
              <w:snapToGrid w:val="0"/>
              <w:spacing w:before="0" w:beforeAutospacing="0" w:after="0" w:afterAutospacing="0" w:line="360" w:lineRule="auto"/>
              <w:ind w:left="0" w:right="0" w:firstLine="420" w:firstLineChars="200"/>
              <w:rPr>
                <w:rFonts w:hint="default"/>
                <w:bCs/>
                <w:color w:val="auto"/>
                <w:szCs w:val="21"/>
                <w:highlight w:val="none"/>
              </w:rPr>
            </w:pPr>
            <w:r>
              <w:rPr>
                <w:rFonts w:hint="default"/>
                <w:bCs/>
                <w:color w:val="auto"/>
                <w:szCs w:val="21"/>
                <w:highlight w:val="none"/>
              </w:rPr>
              <w:t>本项目产品方案详见表2-2。</w:t>
            </w:r>
          </w:p>
          <w:p w14:paraId="188A8C04">
            <w:pPr>
              <w:keepNext w:val="0"/>
              <w:keepLines w:val="0"/>
              <w:suppressLineNumbers w:val="0"/>
              <w:adjustRightInd w:val="0"/>
              <w:snapToGrid w:val="0"/>
              <w:spacing w:before="0" w:beforeAutospacing="0" w:after="0" w:afterAutospacing="0"/>
              <w:ind w:left="0" w:right="0"/>
              <w:jc w:val="center"/>
              <w:rPr>
                <w:rFonts w:hint="eastAsia" w:eastAsia="宋体"/>
                <w:b/>
                <w:color w:val="auto"/>
                <w:szCs w:val="21"/>
                <w:highlight w:val="none"/>
                <w:lang w:eastAsia="zh-CN"/>
              </w:rPr>
            </w:pPr>
            <w:r>
              <w:rPr>
                <w:rFonts w:hint="default"/>
                <w:b/>
                <w:color w:val="auto"/>
                <w:szCs w:val="21"/>
                <w:highlight w:val="none"/>
              </w:rPr>
              <w:t>表2-2主要产品及产能</w:t>
            </w:r>
          </w:p>
          <w:tbl>
            <w:tblPr>
              <w:tblStyle w:val="37"/>
              <w:tblW w:w="4973"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35"/>
              <w:gridCol w:w="1939"/>
              <w:gridCol w:w="1997"/>
              <w:gridCol w:w="1040"/>
              <w:gridCol w:w="2042"/>
            </w:tblGrid>
            <w:tr w14:paraId="671549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031" w:type="dxa"/>
                  <w:tcBorders>
                    <w:top w:val="single" w:color="auto" w:sz="12" w:space="0"/>
                  </w:tcBorders>
                  <w:vAlign w:val="center"/>
                </w:tcPr>
                <w:p w14:paraId="37F1D70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序号</w:t>
                  </w:r>
                </w:p>
              </w:tc>
              <w:tc>
                <w:tcPr>
                  <w:tcW w:w="1930" w:type="dxa"/>
                  <w:tcBorders>
                    <w:top w:val="single" w:color="auto" w:sz="12" w:space="0"/>
                  </w:tcBorders>
                  <w:vAlign w:val="center"/>
                </w:tcPr>
                <w:p w14:paraId="1EA02E42">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产品名称</w:t>
                  </w:r>
                </w:p>
              </w:tc>
              <w:tc>
                <w:tcPr>
                  <w:tcW w:w="1988" w:type="dxa"/>
                  <w:tcBorders>
                    <w:top w:val="single" w:color="auto" w:sz="12" w:space="0"/>
                  </w:tcBorders>
                  <w:vAlign w:val="center"/>
                </w:tcPr>
                <w:p w14:paraId="241F2BCB">
                  <w:pPr>
                    <w:keepNext w:val="0"/>
                    <w:keepLines w:val="0"/>
                    <w:suppressLineNumbers w:val="0"/>
                    <w:spacing w:before="0" w:beforeAutospacing="0" w:after="0" w:afterAutospacing="0"/>
                    <w:ind w:left="0" w:right="0"/>
                    <w:jc w:val="center"/>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年产量</w:t>
                  </w:r>
                </w:p>
              </w:tc>
              <w:tc>
                <w:tcPr>
                  <w:tcW w:w="1035" w:type="dxa"/>
                  <w:tcBorders>
                    <w:top w:val="single" w:color="auto" w:sz="12" w:space="0"/>
                  </w:tcBorders>
                  <w:vAlign w:val="center"/>
                </w:tcPr>
                <w:p w14:paraId="506CC34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rPr>
                    <w:t>单位</w:t>
                  </w:r>
                </w:p>
              </w:tc>
              <w:tc>
                <w:tcPr>
                  <w:tcW w:w="2033" w:type="dxa"/>
                  <w:tcBorders>
                    <w:top w:val="single" w:color="auto" w:sz="12" w:space="0"/>
                  </w:tcBorders>
                  <w:vAlign w:val="center"/>
                </w:tcPr>
                <w:p w14:paraId="7F61C03D">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rPr>
                    <w:t>备注</w:t>
                  </w:r>
                </w:p>
              </w:tc>
            </w:tr>
            <w:tr w14:paraId="3925C6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1031" w:type="dxa"/>
                  <w:tcBorders>
                    <w:bottom w:val="single" w:color="auto" w:sz="12" w:space="0"/>
                  </w:tcBorders>
                  <w:vAlign w:val="center"/>
                </w:tcPr>
                <w:p w14:paraId="1C442CB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1</w:t>
                  </w:r>
                </w:p>
              </w:tc>
              <w:tc>
                <w:tcPr>
                  <w:tcW w:w="1930" w:type="dxa"/>
                  <w:tcBorders>
                    <w:bottom w:val="single" w:color="auto" w:sz="12" w:space="0"/>
                  </w:tcBorders>
                  <w:vAlign w:val="center"/>
                </w:tcPr>
                <w:p w14:paraId="4E4E717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lang w:val="en-US" w:eastAsia="zh-CN"/>
                    </w:rPr>
                    <w:t>干玉米</w:t>
                  </w:r>
                </w:p>
              </w:tc>
              <w:tc>
                <w:tcPr>
                  <w:tcW w:w="1988" w:type="dxa"/>
                  <w:tcBorders>
                    <w:bottom w:val="single" w:color="auto" w:sz="12" w:space="0"/>
                  </w:tcBorders>
                  <w:vAlign w:val="center"/>
                </w:tcPr>
                <w:p w14:paraId="01F1DAB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15873.518</w:t>
                  </w:r>
                </w:p>
              </w:tc>
              <w:tc>
                <w:tcPr>
                  <w:tcW w:w="1035" w:type="dxa"/>
                  <w:tcBorders>
                    <w:bottom w:val="single" w:color="auto" w:sz="12" w:space="0"/>
                  </w:tcBorders>
                  <w:vAlign w:val="center"/>
                </w:tcPr>
                <w:p w14:paraId="6A5FB96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rPr>
                    <w:t>t/a</w:t>
                  </w:r>
                </w:p>
              </w:tc>
              <w:tc>
                <w:tcPr>
                  <w:tcW w:w="2033" w:type="dxa"/>
                  <w:tcBorders>
                    <w:bottom w:val="single" w:color="auto" w:sz="12" w:space="0"/>
                  </w:tcBorders>
                  <w:vAlign w:val="center"/>
                </w:tcPr>
                <w:p w14:paraId="2CE8C62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lang w:val="en-US" w:eastAsia="zh-CN"/>
                    </w:rPr>
                    <w:t>含水率12%</w:t>
                  </w:r>
                </w:p>
              </w:tc>
            </w:tr>
          </w:tbl>
          <w:p w14:paraId="54F973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kern w:val="0"/>
                <w:szCs w:val="21"/>
                <w:highlight w:val="none"/>
              </w:rPr>
            </w:pPr>
            <w:r>
              <w:rPr>
                <w:rFonts w:hint="eastAsia" w:cs="Times New Roman"/>
                <w:b/>
                <w:bCs/>
                <w:color w:val="auto"/>
                <w:kern w:val="0"/>
                <w:szCs w:val="21"/>
                <w:highlight w:val="none"/>
                <w:lang w:val="en-US" w:eastAsia="zh-CN"/>
              </w:rPr>
              <w:t>3、</w:t>
            </w:r>
            <w:r>
              <w:rPr>
                <w:rFonts w:hint="default" w:ascii="Times New Roman" w:hAnsi="Times New Roman" w:cs="Times New Roman"/>
                <w:b/>
                <w:bCs/>
                <w:color w:val="auto"/>
                <w:kern w:val="0"/>
                <w:szCs w:val="21"/>
                <w:highlight w:val="none"/>
              </w:rPr>
              <w:t>主要设备</w:t>
            </w:r>
          </w:p>
          <w:p w14:paraId="32181D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bCs/>
                <w:snapToGrid w:val="0"/>
                <w:color w:val="auto"/>
                <w:szCs w:val="21"/>
                <w:highlight w:val="none"/>
              </w:rPr>
            </w:pPr>
            <w:r>
              <w:rPr>
                <w:rFonts w:hint="default" w:ascii="Times New Roman" w:hAnsi="Times New Roman" w:cs="Times New Roman"/>
                <w:color w:val="auto"/>
                <w:kern w:val="0"/>
                <w:szCs w:val="21"/>
                <w:highlight w:val="none"/>
              </w:rPr>
              <w:t>主要设备见表2-</w:t>
            </w:r>
            <w:r>
              <w:rPr>
                <w:rFonts w:hint="eastAsia" w:cs="Times New Roman"/>
                <w:color w:val="auto"/>
                <w:kern w:val="0"/>
                <w:szCs w:val="21"/>
                <w:highlight w:val="none"/>
                <w:lang w:val="en-US" w:eastAsia="zh-CN"/>
              </w:rPr>
              <w:t>3</w:t>
            </w:r>
            <w:r>
              <w:rPr>
                <w:rFonts w:hint="default" w:ascii="Times New Roman" w:hAnsi="Times New Roman" w:cs="Times New Roman"/>
                <w:color w:val="auto"/>
                <w:kern w:val="0"/>
                <w:szCs w:val="21"/>
                <w:highlight w:val="none"/>
              </w:rPr>
              <w:t>。</w:t>
            </w:r>
          </w:p>
          <w:p w14:paraId="76503C9F">
            <w:pPr>
              <w:keepNext w:val="0"/>
              <w:keepLines w:val="0"/>
              <w:suppressLineNumbers w:val="0"/>
              <w:spacing w:before="0" w:beforeAutospacing="0" w:after="0" w:afterAutospacing="0"/>
              <w:ind w:left="0" w:right="0"/>
              <w:jc w:val="center"/>
              <w:rPr>
                <w:rFonts w:hint="eastAsia" w:ascii="Times New Roman" w:hAnsi="Times New Roman" w:eastAsia="宋体" w:cs="Times New Roman"/>
                <w:snapToGrid w:val="0"/>
                <w:color w:val="auto"/>
                <w:sz w:val="24"/>
                <w:highlight w:val="none"/>
                <w:lang w:eastAsia="zh-CN"/>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3</w:t>
            </w:r>
            <w:r>
              <w:rPr>
                <w:rFonts w:hint="default" w:ascii="Times New Roman" w:hAnsi="Times New Roman" w:eastAsia="宋体" w:cs="Times New Roman"/>
                <w:b/>
                <w:bCs/>
                <w:snapToGrid w:val="0"/>
                <w:color w:val="auto"/>
                <w:szCs w:val="21"/>
                <w:highlight w:val="none"/>
              </w:rPr>
              <w:t>主要设备一览表</w:t>
            </w:r>
          </w:p>
          <w:tbl>
            <w:tblPr>
              <w:tblStyle w:val="37"/>
              <w:tblW w:w="8058" w:type="dxa"/>
              <w:tblInd w:w="-1"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89"/>
              <w:gridCol w:w="1848"/>
              <w:gridCol w:w="2431"/>
              <w:gridCol w:w="1595"/>
              <w:gridCol w:w="1595"/>
            </w:tblGrid>
            <w:tr w14:paraId="609EBA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589" w:type="dxa"/>
                  <w:tcBorders>
                    <w:top w:val="single" w:color="auto" w:sz="12" w:space="0"/>
                  </w:tcBorders>
                  <w:vAlign w:val="center"/>
                </w:tcPr>
                <w:p w14:paraId="76C173DA">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序号</w:t>
                  </w:r>
                </w:p>
              </w:tc>
              <w:tc>
                <w:tcPr>
                  <w:tcW w:w="1848" w:type="dxa"/>
                  <w:tcBorders>
                    <w:top w:val="single" w:color="auto" w:sz="12" w:space="0"/>
                  </w:tcBorders>
                  <w:vAlign w:val="center"/>
                </w:tcPr>
                <w:p w14:paraId="2C732C9E">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设备名称</w:t>
                  </w:r>
                </w:p>
              </w:tc>
              <w:tc>
                <w:tcPr>
                  <w:tcW w:w="2431" w:type="dxa"/>
                  <w:tcBorders>
                    <w:top w:val="single" w:color="auto" w:sz="12" w:space="0"/>
                  </w:tcBorders>
                  <w:vAlign w:val="center"/>
                </w:tcPr>
                <w:p w14:paraId="2007B2AD">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型号</w:t>
                  </w:r>
                </w:p>
              </w:tc>
              <w:tc>
                <w:tcPr>
                  <w:tcW w:w="1595" w:type="dxa"/>
                  <w:tcBorders>
                    <w:top w:val="single" w:color="auto" w:sz="12" w:space="0"/>
                  </w:tcBorders>
                  <w:vAlign w:val="center"/>
                </w:tcPr>
                <w:p w14:paraId="7332C5AE">
                  <w:pPr>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数量</w:t>
                  </w:r>
                </w:p>
              </w:tc>
              <w:tc>
                <w:tcPr>
                  <w:tcW w:w="1595" w:type="dxa"/>
                  <w:tcBorders>
                    <w:top w:val="single" w:color="auto" w:sz="12" w:space="0"/>
                  </w:tcBorders>
                  <w:vAlign w:val="center"/>
                </w:tcPr>
                <w:p w14:paraId="1AA3C8F8">
                  <w:pPr>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备注</w:t>
                  </w:r>
                </w:p>
              </w:tc>
            </w:tr>
            <w:tr w14:paraId="092FE0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589" w:type="dxa"/>
                  <w:vAlign w:val="center"/>
                </w:tcPr>
                <w:p w14:paraId="00379864">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1848" w:type="dxa"/>
                  <w:vAlign w:val="center"/>
                </w:tcPr>
                <w:p w14:paraId="2D8ACC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rPr>
                    <w:t>烘干塔</w:t>
                  </w:r>
                </w:p>
              </w:tc>
              <w:tc>
                <w:tcPr>
                  <w:tcW w:w="2431" w:type="dxa"/>
                  <w:vAlign w:val="center"/>
                </w:tcPr>
                <w:p w14:paraId="52F2F5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200t/d</w:t>
                  </w:r>
                </w:p>
              </w:tc>
              <w:tc>
                <w:tcPr>
                  <w:tcW w:w="1595" w:type="dxa"/>
                  <w:vAlign w:val="center"/>
                </w:tcPr>
                <w:p w14:paraId="7C296C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1</w:t>
                  </w:r>
                </w:p>
              </w:tc>
              <w:tc>
                <w:tcPr>
                  <w:tcW w:w="1595" w:type="dxa"/>
                  <w:vAlign w:val="center"/>
                </w:tcPr>
                <w:p w14:paraId="06C290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cs="Times New Roman" w:eastAsiaTheme="minorEastAsia"/>
                      <w:color w:val="auto"/>
                      <w:sz w:val="18"/>
                      <w:szCs w:val="18"/>
                      <w:highlight w:val="none"/>
                      <w:vertAlign w:val="baseline"/>
                      <w:lang w:val="en-US" w:eastAsia="zh-CN"/>
                    </w:rPr>
                  </w:pPr>
                  <w:r>
                    <w:rPr>
                      <w:rFonts w:hint="eastAsia"/>
                      <w:color w:val="auto"/>
                      <w:sz w:val="18"/>
                      <w:szCs w:val="18"/>
                      <w:highlight w:val="none"/>
                      <w:lang w:val="en-US" w:eastAsia="zh-CN"/>
                    </w:rPr>
                    <w:t>/</w:t>
                  </w:r>
                </w:p>
              </w:tc>
            </w:tr>
            <w:tr w14:paraId="3D532D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589" w:type="dxa"/>
                  <w:vAlign w:val="center"/>
                </w:tcPr>
                <w:p w14:paraId="0A87120D">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w:t>
                  </w:r>
                </w:p>
              </w:tc>
              <w:tc>
                <w:tcPr>
                  <w:tcW w:w="1848" w:type="dxa"/>
                  <w:vAlign w:val="center"/>
                </w:tcPr>
                <w:p w14:paraId="359052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eastAsiaTheme="minorEastAsia"/>
                      <w:color w:val="auto"/>
                      <w:sz w:val="18"/>
                      <w:szCs w:val="18"/>
                      <w:highlight w:val="none"/>
                      <w:vertAlign w:val="baseline"/>
                      <w:lang w:val="en-US" w:eastAsia="zh-CN"/>
                    </w:rPr>
                  </w:pPr>
                  <w:r>
                    <w:rPr>
                      <w:rFonts w:hint="eastAsia" w:cs="Times New Roman"/>
                      <w:color w:val="auto"/>
                      <w:sz w:val="18"/>
                      <w:szCs w:val="18"/>
                      <w:highlight w:val="none"/>
                      <w:lang w:val="en-US" w:eastAsia="zh-CN"/>
                    </w:rPr>
                    <w:t>燃生物质</w:t>
                  </w:r>
                  <w:r>
                    <w:rPr>
                      <w:rFonts w:hint="default" w:ascii="Times New Roman" w:hAnsi="Times New Roman" w:cs="Times New Roman"/>
                      <w:color w:val="auto"/>
                      <w:sz w:val="18"/>
                      <w:szCs w:val="18"/>
                      <w:highlight w:val="none"/>
                    </w:rPr>
                    <w:t>热风炉</w:t>
                  </w:r>
                </w:p>
              </w:tc>
              <w:tc>
                <w:tcPr>
                  <w:tcW w:w="2431" w:type="dxa"/>
                  <w:vAlign w:val="center"/>
                </w:tcPr>
                <w:p w14:paraId="2A52BD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bCs/>
                      <w:color w:val="auto"/>
                      <w:kern w:val="0"/>
                      <w:sz w:val="18"/>
                      <w:szCs w:val="18"/>
                      <w:highlight w:val="none"/>
                      <w:lang w:val="en-US" w:eastAsia="zh-CN"/>
                    </w:rPr>
                    <w:t>5t/h</w:t>
                  </w:r>
                </w:p>
              </w:tc>
              <w:tc>
                <w:tcPr>
                  <w:tcW w:w="1595" w:type="dxa"/>
                  <w:vAlign w:val="center"/>
                </w:tcPr>
                <w:p w14:paraId="020E0F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1595" w:type="dxa"/>
                  <w:vAlign w:val="center"/>
                </w:tcPr>
                <w:p w14:paraId="186E7F5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default" w:cs="Times New Roman"/>
                      <w:color w:val="auto"/>
                      <w:sz w:val="18"/>
                      <w:szCs w:val="18"/>
                      <w:highlight w:val="none"/>
                      <w:lang w:val="en-US" w:eastAsia="zh-CN"/>
                    </w:rPr>
                  </w:pPr>
                  <w:r>
                    <w:rPr>
                      <w:rFonts w:hint="eastAsia"/>
                      <w:color w:val="auto"/>
                      <w:sz w:val="18"/>
                      <w:szCs w:val="18"/>
                      <w:highlight w:val="none"/>
                      <w:lang w:val="en-US" w:eastAsia="zh-CN"/>
                    </w:rPr>
                    <w:t>/</w:t>
                  </w:r>
                </w:p>
              </w:tc>
            </w:tr>
            <w:tr w14:paraId="40D03E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589" w:type="dxa"/>
                  <w:vAlign w:val="center"/>
                </w:tcPr>
                <w:p w14:paraId="17265262">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3</w:t>
                  </w:r>
                </w:p>
              </w:tc>
              <w:tc>
                <w:tcPr>
                  <w:tcW w:w="1848" w:type="dxa"/>
                  <w:vAlign w:val="center"/>
                </w:tcPr>
                <w:p w14:paraId="5BEB4F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除渣机</w:t>
                  </w:r>
                </w:p>
              </w:tc>
              <w:tc>
                <w:tcPr>
                  <w:tcW w:w="2431" w:type="dxa"/>
                  <w:vAlign w:val="center"/>
                </w:tcPr>
                <w:p w14:paraId="5B8FA1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w:t>
                  </w:r>
                </w:p>
              </w:tc>
              <w:tc>
                <w:tcPr>
                  <w:tcW w:w="1595" w:type="dxa"/>
                  <w:vAlign w:val="center"/>
                </w:tcPr>
                <w:p w14:paraId="025FBC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1595" w:type="dxa"/>
                  <w:shd w:val="clear" w:color="auto" w:fill="auto"/>
                  <w:vAlign w:val="center"/>
                </w:tcPr>
                <w:p w14:paraId="2C2493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olor w:val="auto"/>
                      <w:sz w:val="18"/>
                      <w:szCs w:val="18"/>
                      <w:highlight w:val="none"/>
                      <w:lang w:val="en-US" w:eastAsia="zh-CN"/>
                    </w:rPr>
                    <w:t>/</w:t>
                  </w:r>
                </w:p>
              </w:tc>
            </w:tr>
            <w:tr w14:paraId="678CBB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589" w:type="dxa"/>
                  <w:vAlign w:val="center"/>
                </w:tcPr>
                <w:p w14:paraId="6E00B919">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4</w:t>
                  </w:r>
                </w:p>
              </w:tc>
              <w:tc>
                <w:tcPr>
                  <w:tcW w:w="1848" w:type="dxa"/>
                  <w:vAlign w:val="center"/>
                </w:tcPr>
                <w:p w14:paraId="0C4E13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Theme="minorEastAsia"/>
                      <w:color w:val="auto"/>
                      <w:sz w:val="18"/>
                      <w:szCs w:val="18"/>
                      <w:highlight w:val="none"/>
                      <w:vertAlign w:val="baseline"/>
                      <w:lang w:val="en-US" w:eastAsia="zh-CN"/>
                    </w:rPr>
                  </w:pPr>
                  <w:r>
                    <w:rPr>
                      <w:rFonts w:hint="eastAsia" w:eastAsia="宋体"/>
                      <w:color w:val="auto"/>
                      <w:sz w:val="18"/>
                      <w:szCs w:val="18"/>
                      <w:lang w:val="en-US" w:eastAsia="zh-CN"/>
                    </w:rPr>
                    <w:t>布袋除尘器</w:t>
                  </w:r>
                </w:p>
              </w:tc>
              <w:tc>
                <w:tcPr>
                  <w:tcW w:w="2431" w:type="dxa"/>
                  <w:vAlign w:val="center"/>
                </w:tcPr>
                <w:p w14:paraId="23ABB0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w:t>
                  </w:r>
                </w:p>
              </w:tc>
              <w:tc>
                <w:tcPr>
                  <w:tcW w:w="1595" w:type="dxa"/>
                  <w:vAlign w:val="center"/>
                </w:tcPr>
                <w:p w14:paraId="58E962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1595" w:type="dxa"/>
                  <w:shd w:val="clear" w:color="auto" w:fill="auto"/>
                  <w:vAlign w:val="center"/>
                </w:tcPr>
                <w:p w14:paraId="24162B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olor w:val="auto"/>
                      <w:sz w:val="18"/>
                      <w:szCs w:val="18"/>
                      <w:highlight w:val="none"/>
                      <w:lang w:val="en-US" w:eastAsia="zh-CN"/>
                    </w:rPr>
                    <w:t>/</w:t>
                  </w:r>
                </w:p>
              </w:tc>
            </w:tr>
            <w:tr w14:paraId="14F464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589" w:type="dxa"/>
                  <w:shd w:val="clear" w:color="auto" w:fill="auto"/>
                  <w:vAlign w:val="center"/>
                </w:tcPr>
                <w:p w14:paraId="06B95D61">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cs="Times New Roman"/>
                      <w:color w:val="auto"/>
                      <w:sz w:val="18"/>
                      <w:szCs w:val="18"/>
                      <w:highlight w:val="none"/>
                      <w:vertAlign w:val="baseline"/>
                      <w:lang w:val="en-US" w:eastAsia="zh-CN"/>
                    </w:rPr>
                    <w:t>5</w:t>
                  </w:r>
                </w:p>
              </w:tc>
              <w:tc>
                <w:tcPr>
                  <w:tcW w:w="1848" w:type="dxa"/>
                  <w:vAlign w:val="center"/>
                </w:tcPr>
                <w:p w14:paraId="5F694D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auto"/>
                      <w:sz w:val="18"/>
                      <w:szCs w:val="18"/>
                      <w:lang w:val="en-US" w:eastAsia="zh-CN"/>
                    </w:rPr>
                  </w:pPr>
                  <w:r>
                    <w:rPr>
                      <w:rFonts w:hint="eastAsia"/>
                      <w:color w:val="auto"/>
                      <w:sz w:val="18"/>
                      <w:szCs w:val="18"/>
                      <w:lang w:val="en-US" w:eastAsia="zh-CN"/>
                    </w:rPr>
                    <w:t>烟囱</w:t>
                  </w:r>
                </w:p>
              </w:tc>
              <w:tc>
                <w:tcPr>
                  <w:tcW w:w="2431" w:type="dxa"/>
                  <w:vAlign w:val="center"/>
                </w:tcPr>
                <w:p w14:paraId="11A3AA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15米</w:t>
                  </w:r>
                </w:p>
              </w:tc>
              <w:tc>
                <w:tcPr>
                  <w:tcW w:w="1595" w:type="dxa"/>
                  <w:vAlign w:val="center"/>
                </w:tcPr>
                <w:p w14:paraId="09D5AE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1595" w:type="dxa"/>
                  <w:shd w:val="clear" w:color="auto" w:fill="auto"/>
                  <w:vAlign w:val="center"/>
                </w:tcPr>
                <w:p w14:paraId="1F1ECC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vertAlign w:val="baseline"/>
                      <w:lang w:val="en-US" w:eastAsia="zh-CN"/>
                    </w:rPr>
                  </w:pPr>
                  <w:r>
                    <w:rPr>
                      <w:rFonts w:hint="eastAsia"/>
                      <w:color w:val="auto"/>
                      <w:sz w:val="18"/>
                      <w:szCs w:val="18"/>
                      <w:highlight w:val="none"/>
                      <w:lang w:val="en-US" w:eastAsia="zh-CN"/>
                    </w:rPr>
                    <w:t>/</w:t>
                  </w:r>
                </w:p>
              </w:tc>
            </w:tr>
            <w:tr w14:paraId="380454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589" w:type="dxa"/>
                  <w:shd w:val="clear" w:color="auto" w:fill="auto"/>
                  <w:vAlign w:val="center"/>
                </w:tcPr>
                <w:p w14:paraId="44A2602C">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vertAlign w:val="baseline"/>
                      <w:lang w:val="en-US" w:eastAsia="zh-CN"/>
                    </w:rPr>
                    <w:t>6</w:t>
                  </w:r>
                </w:p>
              </w:tc>
              <w:tc>
                <w:tcPr>
                  <w:tcW w:w="1848" w:type="dxa"/>
                  <w:vAlign w:val="center"/>
                </w:tcPr>
                <w:p w14:paraId="665C51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0"/>
                      <w:sz w:val="18"/>
                      <w:szCs w:val="18"/>
                      <w:highlight w:val="none"/>
                      <w:lang w:val="en-US" w:eastAsia="zh-CN"/>
                    </w:rPr>
                  </w:pPr>
                  <w:r>
                    <w:rPr>
                      <w:rFonts w:hint="eastAsia" w:eastAsia="宋体"/>
                      <w:color w:val="auto"/>
                      <w:sz w:val="18"/>
                      <w:szCs w:val="18"/>
                      <w:lang w:val="en-US" w:eastAsia="zh-CN"/>
                    </w:rPr>
                    <w:t>提升机</w:t>
                  </w:r>
                </w:p>
              </w:tc>
              <w:tc>
                <w:tcPr>
                  <w:tcW w:w="2431" w:type="dxa"/>
                  <w:vAlign w:val="center"/>
                </w:tcPr>
                <w:p w14:paraId="071B63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1595" w:type="dxa"/>
                  <w:vAlign w:val="center"/>
                </w:tcPr>
                <w:p w14:paraId="0982F2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1595" w:type="dxa"/>
                  <w:shd w:val="clear" w:color="auto" w:fill="auto"/>
                  <w:vAlign w:val="center"/>
                </w:tcPr>
                <w:p w14:paraId="3033C4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olor w:val="auto"/>
                      <w:sz w:val="18"/>
                      <w:szCs w:val="18"/>
                      <w:highlight w:val="none"/>
                      <w:lang w:val="en-US" w:eastAsia="zh-CN"/>
                    </w:rPr>
                    <w:t>/</w:t>
                  </w:r>
                </w:p>
              </w:tc>
            </w:tr>
            <w:tr w14:paraId="3A6CEF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589" w:type="dxa"/>
                  <w:shd w:val="clear" w:color="auto" w:fill="auto"/>
                  <w:vAlign w:val="center"/>
                </w:tcPr>
                <w:p w14:paraId="7B31CA17">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color w:val="auto"/>
                      <w:sz w:val="18"/>
                      <w:szCs w:val="18"/>
                      <w:highlight w:val="none"/>
                      <w:vertAlign w:val="baseline"/>
                      <w:lang w:val="en-US" w:eastAsia="zh-CN"/>
                    </w:rPr>
                    <w:t>7</w:t>
                  </w:r>
                </w:p>
              </w:tc>
              <w:tc>
                <w:tcPr>
                  <w:tcW w:w="1848" w:type="dxa"/>
                  <w:vAlign w:val="center"/>
                </w:tcPr>
                <w:p w14:paraId="0284BA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Theme="minorEastAsia"/>
                      <w:color w:val="auto"/>
                      <w:sz w:val="18"/>
                      <w:szCs w:val="18"/>
                      <w:highlight w:val="none"/>
                      <w:vertAlign w:val="baseline"/>
                      <w:lang w:val="en-US" w:eastAsia="zh-CN"/>
                    </w:rPr>
                  </w:pPr>
                  <w:r>
                    <w:rPr>
                      <w:rFonts w:hint="eastAsia" w:eastAsiaTheme="minorEastAsia"/>
                      <w:color w:val="auto"/>
                      <w:sz w:val="18"/>
                      <w:szCs w:val="18"/>
                      <w:highlight w:val="none"/>
                      <w:vertAlign w:val="baseline"/>
                      <w:lang w:val="en-US" w:eastAsia="zh-CN"/>
                    </w:rPr>
                    <w:t>输送机</w:t>
                  </w:r>
                </w:p>
              </w:tc>
              <w:tc>
                <w:tcPr>
                  <w:tcW w:w="2431" w:type="dxa"/>
                  <w:vAlign w:val="center"/>
                </w:tcPr>
                <w:p w14:paraId="7A7E89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w:t>
                  </w:r>
                </w:p>
              </w:tc>
              <w:tc>
                <w:tcPr>
                  <w:tcW w:w="1595" w:type="dxa"/>
                  <w:vAlign w:val="center"/>
                </w:tcPr>
                <w:p w14:paraId="71F427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w:t>
                  </w:r>
                </w:p>
              </w:tc>
              <w:tc>
                <w:tcPr>
                  <w:tcW w:w="1595" w:type="dxa"/>
                  <w:shd w:val="clear" w:color="auto" w:fill="auto"/>
                  <w:vAlign w:val="center"/>
                </w:tcPr>
                <w:p w14:paraId="0D87E4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olor w:val="auto"/>
                      <w:sz w:val="18"/>
                      <w:szCs w:val="18"/>
                      <w:highlight w:val="none"/>
                      <w:lang w:val="en-US" w:eastAsia="zh-CN"/>
                    </w:rPr>
                    <w:t>/</w:t>
                  </w:r>
                </w:p>
              </w:tc>
            </w:tr>
            <w:tr w14:paraId="1B0204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589" w:type="dxa"/>
                  <w:shd w:val="clear" w:color="auto" w:fill="auto"/>
                  <w:vAlign w:val="center"/>
                </w:tcPr>
                <w:p w14:paraId="33EA6771">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vertAlign w:val="baseline"/>
                      <w:lang w:val="en-US" w:eastAsia="zh-CN" w:bidi="ar-SA"/>
                    </w:rPr>
                  </w:pPr>
                  <w:r>
                    <w:rPr>
                      <w:rFonts w:hint="eastAsia" w:cs="Times New Roman"/>
                      <w:color w:val="auto"/>
                      <w:sz w:val="18"/>
                      <w:szCs w:val="18"/>
                      <w:highlight w:val="none"/>
                      <w:vertAlign w:val="baseline"/>
                      <w:lang w:val="en-US" w:eastAsia="zh-CN"/>
                    </w:rPr>
                    <w:t>8</w:t>
                  </w:r>
                </w:p>
              </w:tc>
              <w:tc>
                <w:tcPr>
                  <w:tcW w:w="1848" w:type="dxa"/>
                  <w:shd w:val="clear" w:color="auto" w:fill="auto"/>
                  <w:vAlign w:val="center"/>
                </w:tcPr>
                <w:p w14:paraId="73607E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eastAsia="宋体"/>
                      <w:color w:val="auto"/>
                      <w:sz w:val="18"/>
                      <w:szCs w:val="18"/>
                      <w:lang w:val="en-US" w:eastAsia="zh-CN"/>
                    </w:rPr>
                    <w:t>潮粮初清筛</w:t>
                  </w:r>
                </w:p>
              </w:tc>
              <w:tc>
                <w:tcPr>
                  <w:tcW w:w="2431" w:type="dxa"/>
                  <w:shd w:val="clear" w:color="auto" w:fill="auto"/>
                  <w:vAlign w:val="center"/>
                </w:tcPr>
                <w:p w14:paraId="0078D1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sz w:val="18"/>
                      <w:szCs w:val="18"/>
                      <w:highlight w:val="none"/>
                      <w:lang w:val="en-US" w:eastAsia="zh-CN"/>
                    </w:rPr>
                    <w:t>/</w:t>
                  </w:r>
                </w:p>
              </w:tc>
              <w:tc>
                <w:tcPr>
                  <w:tcW w:w="1595" w:type="dxa"/>
                  <w:shd w:val="clear" w:color="auto" w:fill="auto"/>
                  <w:vAlign w:val="center"/>
                </w:tcPr>
                <w:p w14:paraId="6290A7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w:t>
                  </w:r>
                </w:p>
              </w:tc>
              <w:tc>
                <w:tcPr>
                  <w:tcW w:w="1595" w:type="dxa"/>
                  <w:shd w:val="clear" w:color="auto" w:fill="auto"/>
                  <w:vAlign w:val="center"/>
                </w:tcPr>
                <w:p w14:paraId="1C6EF4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olor w:val="auto"/>
                      <w:sz w:val="18"/>
                      <w:szCs w:val="18"/>
                      <w:highlight w:val="none"/>
                      <w:lang w:val="en-US" w:eastAsia="zh-CN"/>
                    </w:rPr>
                    <w:t>/</w:t>
                  </w:r>
                </w:p>
              </w:tc>
            </w:tr>
            <w:tr w14:paraId="03D9A7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589" w:type="dxa"/>
                  <w:shd w:val="clear" w:color="auto" w:fill="auto"/>
                  <w:vAlign w:val="center"/>
                </w:tcPr>
                <w:p w14:paraId="1293685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cs="Times New Roman"/>
                      <w:color w:val="auto"/>
                      <w:sz w:val="18"/>
                      <w:szCs w:val="18"/>
                      <w:highlight w:val="none"/>
                      <w:vertAlign w:val="baseline"/>
                      <w:lang w:val="en-US" w:eastAsia="zh-CN"/>
                    </w:rPr>
                    <w:t>9</w:t>
                  </w:r>
                </w:p>
              </w:tc>
              <w:tc>
                <w:tcPr>
                  <w:tcW w:w="1848" w:type="dxa"/>
                  <w:shd w:val="clear" w:color="auto" w:fill="auto"/>
                  <w:vAlign w:val="center"/>
                </w:tcPr>
                <w:p w14:paraId="2E4FAD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color w:val="auto"/>
                      <w:sz w:val="18"/>
                      <w:szCs w:val="18"/>
                      <w:lang w:val="en-US" w:eastAsia="zh-CN"/>
                    </w:rPr>
                  </w:pPr>
                  <w:r>
                    <w:rPr>
                      <w:rFonts w:hint="eastAsia"/>
                      <w:color w:val="auto"/>
                      <w:sz w:val="18"/>
                      <w:szCs w:val="18"/>
                      <w:lang w:val="en-US" w:eastAsia="zh-CN"/>
                    </w:rPr>
                    <w:t>热风机</w:t>
                  </w:r>
                </w:p>
              </w:tc>
              <w:tc>
                <w:tcPr>
                  <w:tcW w:w="2431" w:type="dxa"/>
                  <w:shd w:val="clear" w:color="auto" w:fill="auto"/>
                  <w:vAlign w:val="center"/>
                </w:tcPr>
                <w:p w14:paraId="37F167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1595" w:type="dxa"/>
                  <w:shd w:val="clear" w:color="auto" w:fill="auto"/>
                  <w:vAlign w:val="center"/>
                </w:tcPr>
                <w:p w14:paraId="58E78C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1595" w:type="dxa"/>
                  <w:shd w:val="clear" w:color="auto" w:fill="auto"/>
                  <w:vAlign w:val="center"/>
                </w:tcPr>
                <w:p w14:paraId="3B9D23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vertAlign w:val="baseline"/>
                      <w:lang w:val="en-US" w:eastAsia="zh-CN"/>
                    </w:rPr>
                  </w:pPr>
                  <w:r>
                    <w:rPr>
                      <w:rFonts w:hint="eastAsia"/>
                      <w:color w:val="auto"/>
                      <w:sz w:val="18"/>
                      <w:szCs w:val="18"/>
                      <w:highlight w:val="none"/>
                      <w:lang w:val="en-US" w:eastAsia="zh-CN"/>
                    </w:rPr>
                    <w:t>/</w:t>
                  </w:r>
                </w:p>
              </w:tc>
            </w:tr>
            <w:tr w14:paraId="6D7FC2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589" w:type="dxa"/>
                  <w:shd w:val="clear" w:color="auto" w:fill="auto"/>
                  <w:vAlign w:val="center"/>
                </w:tcPr>
                <w:p w14:paraId="070B126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cs="Times New Roman"/>
                      <w:color w:val="auto"/>
                      <w:sz w:val="18"/>
                      <w:szCs w:val="18"/>
                      <w:highlight w:val="none"/>
                      <w:vertAlign w:val="baseline"/>
                      <w:lang w:val="en-US" w:eastAsia="zh-CN"/>
                    </w:rPr>
                    <w:t>10</w:t>
                  </w:r>
                </w:p>
              </w:tc>
              <w:tc>
                <w:tcPr>
                  <w:tcW w:w="1848" w:type="dxa"/>
                  <w:shd w:val="clear" w:color="auto" w:fill="auto"/>
                  <w:vAlign w:val="center"/>
                </w:tcPr>
                <w:p w14:paraId="150532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lang w:val="en-US" w:eastAsia="zh-CN"/>
                    </w:rPr>
                  </w:pPr>
                  <w:r>
                    <w:rPr>
                      <w:rFonts w:hint="eastAsia"/>
                      <w:color w:val="auto"/>
                      <w:sz w:val="18"/>
                      <w:szCs w:val="18"/>
                      <w:lang w:val="en-US" w:eastAsia="zh-CN"/>
                    </w:rPr>
                    <w:t>冷风机</w:t>
                  </w:r>
                </w:p>
              </w:tc>
              <w:tc>
                <w:tcPr>
                  <w:tcW w:w="2431" w:type="dxa"/>
                  <w:shd w:val="clear" w:color="auto" w:fill="auto"/>
                  <w:vAlign w:val="center"/>
                </w:tcPr>
                <w:p w14:paraId="322B2C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1595" w:type="dxa"/>
                  <w:shd w:val="clear" w:color="auto" w:fill="auto"/>
                  <w:vAlign w:val="center"/>
                </w:tcPr>
                <w:p w14:paraId="1724C3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1595" w:type="dxa"/>
                  <w:shd w:val="clear" w:color="auto" w:fill="auto"/>
                  <w:vAlign w:val="center"/>
                </w:tcPr>
                <w:p w14:paraId="1FAE3F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vertAlign w:val="baseline"/>
                      <w:lang w:val="en-US" w:eastAsia="zh-CN"/>
                    </w:rPr>
                  </w:pPr>
                  <w:r>
                    <w:rPr>
                      <w:rFonts w:hint="eastAsia"/>
                      <w:color w:val="auto"/>
                      <w:sz w:val="18"/>
                      <w:szCs w:val="18"/>
                      <w:highlight w:val="none"/>
                      <w:lang w:val="en-US" w:eastAsia="zh-CN"/>
                    </w:rPr>
                    <w:t>/</w:t>
                  </w:r>
                </w:p>
              </w:tc>
            </w:tr>
            <w:tr w14:paraId="4D09B5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589" w:type="dxa"/>
                  <w:shd w:val="clear" w:color="auto" w:fill="auto"/>
                  <w:vAlign w:val="center"/>
                </w:tcPr>
                <w:p w14:paraId="0F9DD6D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cs="Times New Roman"/>
                      <w:color w:val="auto"/>
                      <w:sz w:val="18"/>
                      <w:szCs w:val="18"/>
                      <w:highlight w:val="none"/>
                      <w:vertAlign w:val="baseline"/>
                      <w:lang w:val="en-US" w:eastAsia="zh-CN"/>
                    </w:rPr>
                    <w:t>11</w:t>
                  </w:r>
                </w:p>
              </w:tc>
              <w:tc>
                <w:tcPr>
                  <w:tcW w:w="1848" w:type="dxa"/>
                  <w:shd w:val="clear" w:color="auto" w:fill="auto"/>
                  <w:vAlign w:val="center"/>
                </w:tcPr>
                <w:p w14:paraId="7D2E9D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lang w:val="en-US" w:eastAsia="zh-CN"/>
                    </w:rPr>
                  </w:pPr>
                  <w:r>
                    <w:rPr>
                      <w:rFonts w:hint="eastAsia"/>
                      <w:color w:val="auto"/>
                      <w:sz w:val="18"/>
                      <w:szCs w:val="18"/>
                      <w:lang w:val="en-US" w:eastAsia="zh-CN"/>
                    </w:rPr>
                    <w:t>鼓风机</w:t>
                  </w:r>
                </w:p>
              </w:tc>
              <w:tc>
                <w:tcPr>
                  <w:tcW w:w="2431" w:type="dxa"/>
                  <w:shd w:val="clear" w:color="auto" w:fill="auto"/>
                  <w:vAlign w:val="center"/>
                </w:tcPr>
                <w:p w14:paraId="7EC46D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1595" w:type="dxa"/>
                  <w:shd w:val="clear" w:color="auto" w:fill="auto"/>
                  <w:vAlign w:val="center"/>
                </w:tcPr>
                <w:p w14:paraId="308917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1595" w:type="dxa"/>
                  <w:shd w:val="clear" w:color="auto" w:fill="auto"/>
                  <w:vAlign w:val="center"/>
                </w:tcPr>
                <w:p w14:paraId="7E54A6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vertAlign w:val="baseline"/>
                      <w:lang w:val="en-US" w:eastAsia="zh-CN"/>
                    </w:rPr>
                  </w:pPr>
                  <w:r>
                    <w:rPr>
                      <w:rFonts w:hint="eastAsia"/>
                      <w:color w:val="auto"/>
                      <w:sz w:val="18"/>
                      <w:szCs w:val="18"/>
                      <w:highlight w:val="none"/>
                      <w:lang w:val="en-US" w:eastAsia="zh-CN"/>
                    </w:rPr>
                    <w:t>/</w:t>
                  </w:r>
                </w:p>
              </w:tc>
            </w:tr>
            <w:tr w14:paraId="594586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589" w:type="dxa"/>
                  <w:tcBorders>
                    <w:bottom w:val="single" w:color="auto" w:sz="12" w:space="0"/>
                  </w:tcBorders>
                  <w:shd w:val="clear" w:color="auto" w:fill="auto"/>
                  <w:vAlign w:val="center"/>
                </w:tcPr>
                <w:p w14:paraId="3BF3E951">
                  <w:pPr>
                    <w:keepNext w:val="0"/>
                    <w:keepLines w:val="0"/>
                    <w:suppressLineNumbers w:val="0"/>
                    <w:spacing w:before="0" w:beforeAutospacing="0" w:after="0" w:afterAutospacing="0"/>
                    <w:ind w:left="0" w:leftChars="0" w:right="0" w:rightChars="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12</w:t>
                  </w:r>
                </w:p>
              </w:tc>
              <w:tc>
                <w:tcPr>
                  <w:tcW w:w="1848" w:type="dxa"/>
                  <w:tcBorders>
                    <w:bottom w:val="single" w:color="auto" w:sz="12" w:space="0"/>
                  </w:tcBorders>
                  <w:shd w:val="clear" w:color="auto" w:fill="auto"/>
                  <w:vAlign w:val="center"/>
                </w:tcPr>
                <w:p w14:paraId="4DC91C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lang w:val="en-US" w:eastAsia="zh-CN"/>
                    </w:rPr>
                  </w:pPr>
                  <w:r>
                    <w:rPr>
                      <w:rFonts w:hint="eastAsia"/>
                      <w:color w:val="auto"/>
                      <w:sz w:val="18"/>
                      <w:szCs w:val="18"/>
                      <w:lang w:val="en-US" w:eastAsia="zh-CN"/>
                    </w:rPr>
                    <w:t>引风机</w:t>
                  </w:r>
                </w:p>
              </w:tc>
              <w:tc>
                <w:tcPr>
                  <w:tcW w:w="2431" w:type="dxa"/>
                  <w:tcBorders>
                    <w:bottom w:val="single" w:color="auto" w:sz="12" w:space="0"/>
                  </w:tcBorders>
                  <w:shd w:val="clear" w:color="auto" w:fill="auto"/>
                  <w:vAlign w:val="center"/>
                </w:tcPr>
                <w:p w14:paraId="639B7A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1595" w:type="dxa"/>
                  <w:tcBorders>
                    <w:bottom w:val="single" w:color="auto" w:sz="12" w:space="0"/>
                  </w:tcBorders>
                  <w:shd w:val="clear" w:color="auto" w:fill="auto"/>
                  <w:vAlign w:val="center"/>
                </w:tcPr>
                <w:p w14:paraId="018530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1595" w:type="dxa"/>
                  <w:tcBorders>
                    <w:bottom w:val="single" w:color="auto" w:sz="12" w:space="0"/>
                  </w:tcBorders>
                  <w:shd w:val="clear" w:color="auto" w:fill="auto"/>
                  <w:vAlign w:val="center"/>
                </w:tcPr>
                <w:p w14:paraId="1B3AA2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eastAsia" w:cs="Times New Roman" w:eastAsiaTheme="minorEastAsia"/>
                      <w:color w:val="auto"/>
                      <w:sz w:val="18"/>
                      <w:szCs w:val="18"/>
                      <w:highlight w:val="none"/>
                      <w:vertAlign w:val="baseline"/>
                      <w:lang w:val="en-US" w:eastAsia="zh-CN"/>
                    </w:rPr>
                  </w:pPr>
                  <w:r>
                    <w:rPr>
                      <w:rFonts w:hint="eastAsia"/>
                      <w:color w:val="auto"/>
                      <w:sz w:val="18"/>
                      <w:szCs w:val="18"/>
                      <w:highlight w:val="none"/>
                      <w:lang w:val="en-US" w:eastAsia="zh-CN"/>
                    </w:rPr>
                    <w:t>/</w:t>
                  </w:r>
                </w:p>
              </w:tc>
            </w:tr>
          </w:tbl>
          <w:p w14:paraId="55222F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kern w:val="0"/>
                <w:sz w:val="21"/>
                <w:szCs w:val="21"/>
                <w:highlight w:val="none"/>
              </w:rPr>
            </w:pPr>
            <w:r>
              <w:rPr>
                <w:rFonts w:hint="eastAsia" w:cs="Times New Roman"/>
                <w:b/>
                <w:bCs/>
                <w:color w:val="auto"/>
                <w:kern w:val="0"/>
                <w:sz w:val="21"/>
                <w:szCs w:val="21"/>
                <w:highlight w:val="none"/>
                <w:lang w:val="en-US" w:eastAsia="zh-CN"/>
              </w:rPr>
              <w:t>4</w:t>
            </w:r>
            <w:r>
              <w:rPr>
                <w:rFonts w:hint="default" w:ascii="Times New Roman" w:hAnsi="Times New Roman" w:cs="Times New Roman"/>
                <w:b/>
                <w:bCs/>
                <w:color w:val="auto"/>
                <w:kern w:val="0"/>
                <w:sz w:val="21"/>
                <w:szCs w:val="21"/>
                <w:highlight w:val="none"/>
              </w:rPr>
              <w:t>、原辅材料</w:t>
            </w:r>
          </w:p>
          <w:p w14:paraId="4DE57515">
            <w:pPr>
              <w:keepNext w:val="0"/>
              <w:keepLines w:val="0"/>
              <w:suppressLineNumbers w:val="0"/>
              <w:spacing w:before="0" w:beforeAutospacing="0" w:after="0" w:afterAutospacing="0"/>
              <w:ind w:left="0" w:right="0"/>
              <w:jc w:val="center"/>
              <w:rPr>
                <w:rFonts w:hint="eastAsia" w:ascii="Times New Roman" w:hAnsi="Times New Roman" w:eastAsia="宋体" w:cs="Times New Roman"/>
                <w:snapToGrid w:val="0"/>
                <w:color w:val="auto"/>
                <w:sz w:val="24"/>
                <w:highlight w:val="none"/>
                <w:lang w:eastAsia="zh-CN"/>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4</w:t>
            </w:r>
            <w:r>
              <w:rPr>
                <w:rFonts w:hint="default" w:ascii="Times New Roman" w:hAnsi="Times New Roman" w:eastAsia="宋体" w:cs="Times New Roman"/>
                <w:b/>
                <w:bCs/>
                <w:snapToGrid w:val="0"/>
                <w:color w:val="auto"/>
                <w:szCs w:val="21"/>
                <w:highlight w:val="none"/>
              </w:rPr>
              <w:t>原辅材料消耗一览表</w:t>
            </w:r>
          </w:p>
          <w:tbl>
            <w:tblPr>
              <w:tblStyle w:val="37"/>
              <w:tblW w:w="8097"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2"/>
              <w:gridCol w:w="1954"/>
              <w:gridCol w:w="2180"/>
              <w:gridCol w:w="1027"/>
              <w:gridCol w:w="1944"/>
            </w:tblGrid>
            <w:tr w14:paraId="436093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992" w:type="dxa"/>
                  <w:tcBorders>
                    <w:top w:val="single" w:color="auto" w:sz="12" w:space="0"/>
                  </w:tcBorders>
                  <w:vAlign w:val="center"/>
                </w:tcPr>
                <w:p w14:paraId="4A819544">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序号</w:t>
                  </w:r>
                </w:p>
              </w:tc>
              <w:tc>
                <w:tcPr>
                  <w:tcW w:w="1954" w:type="dxa"/>
                  <w:tcBorders>
                    <w:top w:val="single" w:color="auto" w:sz="12" w:space="0"/>
                  </w:tcBorders>
                  <w:vAlign w:val="center"/>
                </w:tcPr>
                <w:p w14:paraId="6896CAB7">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原辅材料</w:t>
                  </w:r>
                </w:p>
              </w:tc>
              <w:tc>
                <w:tcPr>
                  <w:tcW w:w="2180" w:type="dxa"/>
                  <w:tcBorders>
                    <w:top w:val="single" w:color="auto" w:sz="12" w:space="0"/>
                  </w:tcBorders>
                  <w:vAlign w:val="center"/>
                </w:tcPr>
                <w:p w14:paraId="4718E611">
                  <w:pPr>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消耗量</w:t>
                  </w:r>
                </w:p>
              </w:tc>
              <w:tc>
                <w:tcPr>
                  <w:tcW w:w="1027" w:type="dxa"/>
                  <w:tcBorders>
                    <w:top w:val="single" w:color="auto" w:sz="12" w:space="0"/>
                  </w:tcBorders>
                  <w:vAlign w:val="center"/>
                </w:tcPr>
                <w:p w14:paraId="073A1FA3">
                  <w:pPr>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单位</w:t>
                  </w:r>
                </w:p>
              </w:tc>
              <w:tc>
                <w:tcPr>
                  <w:tcW w:w="1944" w:type="dxa"/>
                  <w:tcBorders>
                    <w:top w:val="single" w:color="auto" w:sz="12" w:space="0"/>
                  </w:tcBorders>
                  <w:vAlign w:val="center"/>
                </w:tcPr>
                <w:p w14:paraId="768A39D7">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来源</w:t>
                  </w:r>
                </w:p>
              </w:tc>
            </w:tr>
            <w:tr w14:paraId="3CF869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992" w:type="dxa"/>
                  <w:vAlign w:val="center"/>
                </w:tcPr>
                <w:p w14:paraId="486E61FD">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1954" w:type="dxa"/>
                  <w:vAlign w:val="center"/>
                </w:tcPr>
                <w:p w14:paraId="6F809978">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bCs/>
                      <w:color w:val="auto"/>
                      <w:sz w:val="18"/>
                      <w:szCs w:val="18"/>
                      <w:highlight w:val="none"/>
                      <w:lang w:val="en-US" w:eastAsia="zh-CN"/>
                    </w:rPr>
                    <w:t>玉米</w:t>
                  </w:r>
                </w:p>
              </w:tc>
              <w:tc>
                <w:tcPr>
                  <w:tcW w:w="2180" w:type="dxa"/>
                  <w:vAlign w:val="center"/>
                </w:tcPr>
                <w:p w14:paraId="1EE90D0D">
                  <w:pPr>
                    <w:keepNext w:val="0"/>
                    <w:keepLines w:val="0"/>
                    <w:widowControl/>
                    <w:suppressLineNumbers w:val="0"/>
                    <w:spacing w:before="0" w:beforeAutospacing="0" w:after="0" w:afterAutospacing="0"/>
                    <w:ind w:left="0" w:leftChars="0" w:right="0" w:rightChars="0"/>
                    <w:jc w:val="center"/>
                    <w:rPr>
                      <w:rFonts w:hint="default"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20000</w:t>
                  </w:r>
                </w:p>
              </w:tc>
              <w:tc>
                <w:tcPr>
                  <w:tcW w:w="1027" w:type="dxa"/>
                  <w:vAlign w:val="center"/>
                </w:tcPr>
                <w:p w14:paraId="25405115">
                  <w:pPr>
                    <w:keepNext w:val="0"/>
                    <w:keepLines w:val="0"/>
                    <w:widowControl/>
                    <w:suppressLineNumbers w:val="0"/>
                    <w:spacing w:before="0" w:beforeAutospacing="0" w:after="0" w:afterAutospacing="0"/>
                    <w:ind w:left="0" w:right="0"/>
                    <w:jc w:val="center"/>
                    <w:rPr>
                      <w:rFonts w:hint="eastAsia" w:cs="Times New Roman" w:eastAsiaTheme="minorEastAsia"/>
                      <w:bCs/>
                      <w:color w:val="auto"/>
                      <w:sz w:val="18"/>
                      <w:szCs w:val="18"/>
                      <w:highlight w:val="none"/>
                      <w:lang w:val="en-US" w:eastAsia="zh-CN"/>
                    </w:rPr>
                  </w:pPr>
                  <w:r>
                    <w:rPr>
                      <w:rFonts w:hint="default" w:ascii="Times New Roman" w:hAnsi="Times New Roman" w:cs="Times New Roman"/>
                      <w:bCs/>
                      <w:color w:val="auto"/>
                      <w:sz w:val="18"/>
                      <w:szCs w:val="18"/>
                      <w:highlight w:val="none"/>
                    </w:rPr>
                    <w:t>t/a</w:t>
                  </w:r>
                </w:p>
              </w:tc>
              <w:tc>
                <w:tcPr>
                  <w:tcW w:w="1944" w:type="dxa"/>
                  <w:vAlign w:val="center"/>
                </w:tcPr>
                <w:p w14:paraId="67E5EC43">
                  <w:pPr>
                    <w:keepNext w:val="0"/>
                    <w:keepLines w:val="0"/>
                    <w:widowControl/>
                    <w:suppressLineNumbers w:val="0"/>
                    <w:spacing w:before="0" w:beforeAutospacing="0" w:after="0" w:afterAutospacing="0"/>
                    <w:ind w:left="0" w:right="0"/>
                    <w:jc w:val="center"/>
                    <w:rPr>
                      <w:rFonts w:hint="eastAsia" w:ascii="Times New Roman" w:hAnsi="Times New Roman" w:cs="Times New Roman" w:eastAsiaTheme="minorEastAsia"/>
                      <w:color w:val="auto"/>
                      <w:sz w:val="18"/>
                      <w:szCs w:val="18"/>
                      <w:highlight w:val="none"/>
                      <w:vertAlign w:val="baseline"/>
                      <w:lang w:val="en-US" w:eastAsia="zh-CN"/>
                    </w:rPr>
                  </w:pPr>
                  <w:r>
                    <w:rPr>
                      <w:rFonts w:hint="eastAsia" w:cs="Times New Roman" w:eastAsiaTheme="minorEastAsia"/>
                      <w:bCs/>
                      <w:color w:val="auto"/>
                      <w:sz w:val="18"/>
                      <w:szCs w:val="18"/>
                      <w:highlight w:val="none"/>
                      <w:lang w:val="en-US" w:eastAsia="zh-CN"/>
                    </w:rPr>
                    <w:t>外购</w:t>
                  </w:r>
                </w:p>
              </w:tc>
            </w:tr>
            <w:tr w14:paraId="36A516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992" w:type="dxa"/>
                  <w:vAlign w:val="center"/>
                </w:tcPr>
                <w:p w14:paraId="1EEE8503">
                  <w:pPr>
                    <w:keepNext w:val="0"/>
                    <w:keepLines w:val="0"/>
                    <w:suppressLineNumbers w:val="0"/>
                    <w:spacing w:before="0" w:beforeAutospacing="0" w:after="0" w:afterAutospacing="0"/>
                    <w:ind w:left="0" w:right="0"/>
                    <w:jc w:val="center"/>
                    <w:rPr>
                      <w:rFonts w:hint="default" w:cs="Times New Roman"/>
                      <w:color w:val="FF0000"/>
                      <w:sz w:val="18"/>
                      <w:szCs w:val="18"/>
                      <w:highlight w:val="none"/>
                      <w:vertAlign w:val="baseline"/>
                      <w:lang w:val="en-US" w:eastAsia="zh-CN"/>
                    </w:rPr>
                  </w:pPr>
                  <w:r>
                    <w:rPr>
                      <w:rFonts w:hint="eastAsia" w:cs="Times New Roman"/>
                      <w:color w:val="FF0000"/>
                      <w:sz w:val="18"/>
                      <w:szCs w:val="18"/>
                      <w:highlight w:val="none"/>
                      <w:vertAlign w:val="baseline"/>
                      <w:lang w:val="en-US" w:eastAsia="zh-CN"/>
                    </w:rPr>
                    <w:t>2</w:t>
                  </w:r>
                </w:p>
              </w:tc>
              <w:tc>
                <w:tcPr>
                  <w:tcW w:w="1954" w:type="dxa"/>
                  <w:shd w:val="clear" w:color="auto" w:fill="auto"/>
                  <w:vAlign w:val="center"/>
                </w:tcPr>
                <w:p w14:paraId="7BDD623F">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Cs/>
                      <w:color w:val="FF0000"/>
                      <w:kern w:val="2"/>
                      <w:sz w:val="18"/>
                      <w:szCs w:val="18"/>
                      <w:highlight w:val="none"/>
                      <w:lang w:val="en-US" w:eastAsia="zh-CN" w:bidi="ar-SA"/>
                    </w:rPr>
                  </w:pPr>
                  <w:r>
                    <w:rPr>
                      <w:rFonts w:hint="eastAsia" w:cs="Times New Roman"/>
                      <w:bCs/>
                      <w:color w:val="FF0000"/>
                      <w:sz w:val="18"/>
                      <w:szCs w:val="18"/>
                      <w:highlight w:val="none"/>
                      <w:lang w:val="en-US" w:eastAsia="zh-CN"/>
                    </w:rPr>
                    <w:t>生物质颗粒</w:t>
                  </w:r>
                </w:p>
              </w:tc>
              <w:tc>
                <w:tcPr>
                  <w:tcW w:w="2180" w:type="dxa"/>
                  <w:shd w:val="clear" w:color="auto" w:fill="auto"/>
                  <w:vAlign w:val="center"/>
                </w:tcPr>
                <w:p w14:paraId="12E8E191">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bCs/>
                      <w:color w:val="FF0000"/>
                      <w:kern w:val="2"/>
                      <w:sz w:val="18"/>
                      <w:szCs w:val="18"/>
                      <w:highlight w:val="none"/>
                      <w:lang w:val="en-US" w:eastAsia="zh-CN" w:bidi="ar-SA"/>
                    </w:rPr>
                  </w:pPr>
                  <w:r>
                    <w:rPr>
                      <w:rFonts w:hint="eastAsia" w:cs="Times New Roman" w:eastAsiaTheme="minorEastAsia"/>
                      <w:bCs/>
                      <w:color w:val="FF0000"/>
                      <w:sz w:val="18"/>
                      <w:szCs w:val="18"/>
                      <w:highlight w:val="none"/>
                      <w:lang w:val="en-US" w:eastAsia="zh-CN"/>
                    </w:rPr>
                    <w:t>2882.4</w:t>
                  </w:r>
                </w:p>
              </w:tc>
              <w:tc>
                <w:tcPr>
                  <w:tcW w:w="1027" w:type="dxa"/>
                  <w:shd w:val="clear" w:color="auto" w:fill="auto"/>
                  <w:vAlign w:val="center"/>
                </w:tcPr>
                <w:p w14:paraId="19761181">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eastAsiaTheme="minorEastAsia"/>
                      <w:bCs/>
                      <w:color w:val="FF0000"/>
                      <w:kern w:val="2"/>
                      <w:sz w:val="18"/>
                      <w:szCs w:val="18"/>
                      <w:highlight w:val="none"/>
                      <w:lang w:val="en-US" w:eastAsia="zh-CN" w:bidi="ar-SA"/>
                    </w:rPr>
                  </w:pPr>
                  <w:r>
                    <w:rPr>
                      <w:rFonts w:hint="default" w:ascii="Times New Roman" w:hAnsi="Times New Roman" w:cs="Times New Roman"/>
                      <w:bCs/>
                      <w:color w:val="FF0000"/>
                      <w:sz w:val="18"/>
                      <w:szCs w:val="18"/>
                      <w:highlight w:val="none"/>
                    </w:rPr>
                    <w:t>t/a</w:t>
                  </w:r>
                </w:p>
              </w:tc>
              <w:tc>
                <w:tcPr>
                  <w:tcW w:w="1944" w:type="dxa"/>
                  <w:shd w:val="clear" w:color="auto" w:fill="auto"/>
                  <w:vAlign w:val="center"/>
                </w:tcPr>
                <w:p w14:paraId="0E165472">
                  <w:pPr>
                    <w:keepNext w:val="0"/>
                    <w:keepLines w:val="0"/>
                    <w:widowControl/>
                    <w:suppressLineNumbers w:val="0"/>
                    <w:spacing w:before="0" w:beforeAutospacing="0" w:after="0" w:afterAutospacing="0"/>
                    <w:ind w:left="0" w:leftChars="0" w:right="0" w:rightChars="0"/>
                    <w:jc w:val="center"/>
                    <w:rPr>
                      <w:rFonts w:hint="eastAsia" w:ascii="Times New Roman" w:hAnsi="Times New Roman" w:cs="Times New Roman" w:eastAsiaTheme="minorEastAsia"/>
                      <w:color w:val="FF0000"/>
                      <w:kern w:val="2"/>
                      <w:sz w:val="18"/>
                      <w:szCs w:val="18"/>
                      <w:highlight w:val="none"/>
                      <w:vertAlign w:val="baseline"/>
                      <w:lang w:val="en-US" w:eastAsia="zh-CN" w:bidi="ar-SA"/>
                    </w:rPr>
                  </w:pPr>
                  <w:r>
                    <w:rPr>
                      <w:rFonts w:hint="eastAsia" w:cs="Times New Roman" w:eastAsiaTheme="minorEastAsia"/>
                      <w:bCs/>
                      <w:color w:val="FF0000"/>
                      <w:sz w:val="18"/>
                      <w:szCs w:val="18"/>
                      <w:highlight w:val="none"/>
                      <w:lang w:val="en-US" w:eastAsia="zh-CN"/>
                    </w:rPr>
                    <w:t>外购</w:t>
                  </w:r>
                </w:p>
              </w:tc>
            </w:tr>
            <w:tr w14:paraId="3A861A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992" w:type="dxa"/>
                  <w:tcBorders>
                    <w:bottom w:val="single" w:color="auto" w:sz="12" w:space="0"/>
                  </w:tcBorders>
                  <w:vAlign w:val="center"/>
                </w:tcPr>
                <w:p w14:paraId="0D4A8362">
                  <w:pPr>
                    <w:keepNext w:val="0"/>
                    <w:keepLines w:val="0"/>
                    <w:suppressLineNumbers w:val="0"/>
                    <w:spacing w:before="0" w:beforeAutospacing="0" w:after="0" w:afterAutospacing="0"/>
                    <w:ind w:left="0" w:right="0"/>
                    <w:jc w:val="center"/>
                    <w:rPr>
                      <w:rFonts w:hint="default" w:cs="Times New Roman"/>
                      <w:color w:val="FF0000"/>
                      <w:sz w:val="18"/>
                      <w:szCs w:val="18"/>
                      <w:highlight w:val="none"/>
                      <w:vertAlign w:val="baseline"/>
                      <w:lang w:val="en-US" w:eastAsia="zh-CN"/>
                    </w:rPr>
                  </w:pPr>
                  <w:r>
                    <w:rPr>
                      <w:rFonts w:hint="eastAsia" w:cs="Times New Roman"/>
                      <w:color w:val="FF0000"/>
                      <w:sz w:val="18"/>
                      <w:szCs w:val="18"/>
                      <w:highlight w:val="none"/>
                      <w:vertAlign w:val="baseline"/>
                      <w:lang w:val="en-US" w:eastAsia="zh-CN"/>
                    </w:rPr>
                    <w:t>3</w:t>
                  </w:r>
                </w:p>
              </w:tc>
              <w:tc>
                <w:tcPr>
                  <w:tcW w:w="1954" w:type="dxa"/>
                  <w:tcBorders>
                    <w:bottom w:val="single" w:color="auto" w:sz="12" w:space="0"/>
                  </w:tcBorders>
                  <w:shd w:val="clear" w:color="auto" w:fill="auto"/>
                  <w:vAlign w:val="center"/>
                </w:tcPr>
                <w:p w14:paraId="5298E701">
                  <w:pPr>
                    <w:keepNext w:val="0"/>
                    <w:keepLines w:val="0"/>
                    <w:widowControl/>
                    <w:suppressLineNumbers w:val="0"/>
                    <w:spacing w:before="0" w:beforeAutospacing="0" w:after="0" w:afterAutospacing="0"/>
                    <w:ind w:left="0" w:leftChars="0" w:right="0" w:rightChars="0"/>
                    <w:jc w:val="center"/>
                    <w:rPr>
                      <w:rFonts w:hint="eastAsia" w:cs="Times New Roman"/>
                      <w:bCs/>
                      <w:color w:val="FF0000"/>
                      <w:sz w:val="18"/>
                      <w:szCs w:val="18"/>
                      <w:highlight w:val="none"/>
                      <w:lang w:val="en-US" w:eastAsia="zh-CN"/>
                    </w:rPr>
                  </w:pPr>
                  <w:r>
                    <w:rPr>
                      <w:rFonts w:hint="eastAsia" w:cs="Times New Roman"/>
                      <w:bCs/>
                      <w:color w:val="FF0000"/>
                      <w:sz w:val="18"/>
                      <w:szCs w:val="18"/>
                      <w:highlight w:val="none"/>
                      <w:lang w:val="en-US" w:eastAsia="zh-CN"/>
                    </w:rPr>
                    <w:t>水</w:t>
                  </w:r>
                </w:p>
              </w:tc>
              <w:tc>
                <w:tcPr>
                  <w:tcW w:w="2180" w:type="dxa"/>
                  <w:tcBorders>
                    <w:bottom w:val="single" w:color="auto" w:sz="12" w:space="0"/>
                  </w:tcBorders>
                  <w:shd w:val="clear" w:color="auto" w:fill="auto"/>
                  <w:vAlign w:val="center"/>
                </w:tcPr>
                <w:p w14:paraId="60F0446C">
                  <w:pPr>
                    <w:keepNext w:val="0"/>
                    <w:keepLines w:val="0"/>
                    <w:widowControl/>
                    <w:suppressLineNumbers w:val="0"/>
                    <w:spacing w:before="0" w:beforeAutospacing="0" w:after="0" w:afterAutospacing="0"/>
                    <w:ind w:left="0" w:leftChars="0" w:right="0" w:rightChars="0"/>
                    <w:jc w:val="center"/>
                    <w:rPr>
                      <w:rFonts w:hint="eastAsia" w:cs="Times New Roman" w:eastAsiaTheme="minorEastAsia"/>
                      <w:bCs/>
                      <w:color w:val="FF0000"/>
                      <w:sz w:val="18"/>
                      <w:szCs w:val="18"/>
                      <w:highlight w:val="none"/>
                      <w:lang w:val="en-US" w:eastAsia="zh-CN"/>
                    </w:rPr>
                  </w:pPr>
                  <w:r>
                    <w:rPr>
                      <w:rFonts w:hint="eastAsia" w:cs="Times New Roman" w:eastAsiaTheme="minorEastAsia"/>
                      <w:bCs/>
                      <w:color w:val="FF0000"/>
                      <w:sz w:val="18"/>
                      <w:szCs w:val="18"/>
                      <w:highlight w:val="none"/>
                      <w:lang w:val="en-US" w:eastAsia="zh-CN"/>
                    </w:rPr>
                    <w:t>96.889</w:t>
                  </w:r>
                </w:p>
              </w:tc>
              <w:tc>
                <w:tcPr>
                  <w:tcW w:w="1027" w:type="dxa"/>
                  <w:tcBorders>
                    <w:bottom w:val="single" w:color="auto" w:sz="12" w:space="0"/>
                  </w:tcBorders>
                  <w:shd w:val="clear" w:color="auto" w:fill="auto"/>
                  <w:vAlign w:val="center"/>
                </w:tcPr>
                <w:p w14:paraId="6C5A896F">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Cs/>
                      <w:color w:val="FF0000"/>
                      <w:sz w:val="18"/>
                      <w:szCs w:val="18"/>
                      <w:highlight w:val="none"/>
                      <w:lang w:val="en-US" w:eastAsia="zh-CN"/>
                    </w:rPr>
                  </w:pPr>
                  <w:r>
                    <w:rPr>
                      <w:rFonts w:hint="eastAsia" w:cs="Times New Roman"/>
                      <w:bCs/>
                      <w:color w:val="FF0000"/>
                      <w:sz w:val="18"/>
                      <w:szCs w:val="18"/>
                      <w:highlight w:val="none"/>
                      <w:lang w:val="en-US" w:eastAsia="zh-CN"/>
                    </w:rPr>
                    <w:t>t/a</w:t>
                  </w:r>
                </w:p>
              </w:tc>
              <w:tc>
                <w:tcPr>
                  <w:tcW w:w="1944" w:type="dxa"/>
                  <w:tcBorders>
                    <w:bottom w:val="single" w:color="auto" w:sz="12" w:space="0"/>
                  </w:tcBorders>
                  <w:shd w:val="clear" w:color="auto" w:fill="auto"/>
                  <w:vAlign w:val="center"/>
                </w:tcPr>
                <w:p w14:paraId="060FFAA4">
                  <w:pPr>
                    <w:keepNext w:val="0"/>
                    <w:keepLines w:val="0"/>
                    <w:widowControl/>
                    <w:suppressLineNumbers w:val="0"/>
                    <w:spacing w:before="0" w:beforeAutospacing="0" w:after="0" w:afterAutospacing="0"/>
                    <w:ind w:left="0" w:leftChars="0" w:right="0" w:rightChars="0"/>
                    <w:jc w:val="center"/>
                    <w:rPr>
                      <w:rFonts w:hint="default" w:cs="Times New Roman" w:eastAsiaTheme="minorEastAsia"/>
                      <w:bCs/>
                      <w:color w:val="FF0000"/>
                      <w:sz w:val="18"/>
                      <w:szCs w:val="18"/>
                      <w:highlight w:val="none"/>
                      <w:lang w:val="en-US" w:eastAsia="zh-CN"/>
                    </w:rPr>
                  </w:pPr>
                  <w:r>
                    <w:rPr>
                      <w:rFonts w:hint="eastAsia" w:cs="Times New Roman" w:eastAsiaTheme="minorEastAsia"/>
                      <w:bCs/>
                      <w:color w:val="FF0000"/>
                      <w:sz w:val="18"/>
                      <w:szCs w:val="18"/>
                      <w:highlight w:val="none"/>
                      <w:lang w:val="en-US" w:eastAsia="zh-CN"/>
                    </w:rPr>
                    <w:t>发展村五组管网</w:t>
                  </w:r>
                </w:p>
              </w:tc>
            </w:tr>
          </w:tbl>
          <w:p w14:paraId="1409F100">
            <w:pPr>
              <w:pStyle w:val="158"/>
              <w:keepNext w:val="0"/>
              <w:keepLines w:val="0"/>
              <w:suppressLineNumbers w:val="0"/>
              <w:spacing w:before="0" w:beforeAutospacing="0" w:after="0" w:afterAutospacing="0" w:line="240" w:lineRule="auto"/>
              <w:ind w:left="0" w:right="0"/>
              <w:rPr>
                <w:rFonts w:hint="default" w:eastAsia="宋体"/>
                <w:color w:val="FF0000"/>
                <w:highlight w:val="none"/>
                <w:lang w:val="en-US"/>
              </w:rPr>
            </w:pPr>
            <w:r>
              <w:rPr>
                <w:rFonts w:hint="eastAsia" w:eastAsia="宋体"/>
                <w:color w:val="FF0000"/>
                <w:highlight w:val="none"/>
              </w:rPr>
              <w:t>表2-</w:t>
            </w:r>
            <w:r>
              <w:rPr>
                <w:rFonts w:hint="eastAsia"/>
                <w:color w:val="FF0000"/>
                <w:highlight w:val="none"/>
                <w:lang w:val="en-US" w:eastAsia="zh-CN"/>
              </w:rPr>
              <w:t>5</w:t>
            </w:r>
            <w:r>
              <w:rPr>
                <w:rFonts w:hint="eastAsia" w:eastAsia="宋体"/>
                <w:color w:val="FF0000"/>
                <w:highlight w:val="none"/>
              </w:rPr>
              <w:t xml:space="preserve"> </w:t>
            </w:r>
            <w:r>
              <w:rPr>
                <w:rFonts w:hint="eastAsia"/>
                <w:color w:val="FF0000"/>
                <w:highlight w:val="none"/>
                <w:lang w:val="en-US" w:eastAsia="zh-CN"/>
              </w:rPr>
              <w:t>生物质成分分析一览表</w:t>
            </w:r>
          </w:p>
          <w:tbl>
            <w:tblPr>
              <w:tblStyle w:val="37"/>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99"/>
              <w:gridCol w:w="1325"/>
              <w:gridCol w:w="1615"/>
              <w:gridCol w:w="2410"/>
            </w:tblGrid>
            <w:tr w14:paraId="1807B8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top w:val="single" w:color="auto" w:sz="12" w:space="0"/>
                  </w:tcBorders>
                  <w:vAlign w:val="center"/>
                </w:tcPr>
                <w:p w14:paraId="7D29913F">
                  <w:pPr>
                    <w:pStyle w:val="158"/>
                    <w:keepNext w:val="0"/>
                    <w:keepLines w:val="0"/>
                    <w:suppressLineNumbers w:val="0"/>
                    <w:spacing w:before="0" w:beforeAutospacing="0" w:after="0" w:afterAutospacing="0" w:line="240" w:lineRule="auto"/>
                    <w:ind w:left="0" w:right="0"/>
                    <w:rPr>
                      <w:rFonts w:hint="eastAsia"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名称</w:t>
                  </w:r>
                </w:p>
              </w:tc>
              <w:tc>
                <w:tcPr>
                  <w:tcW w:w="1325" w:type="dxa"/>
                  <w:tcBorders>
                    <w:top w:val="single" w:color="auto" w:sz="12" w:space="0"/>
                  </w:tcBorders>
                  <w:vAlign w:val="center"/>
                </w:tcPr>
                <w:p w14:paraId="3A90DD82">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符号</w:t>
                  </w:r>
                </w:p>
              </w:tc>
              <w:tc>
                <w:tcPr>
                  <w:tcW w:w="1615" w:type="dxa"/>
                  <w:tcBorders>
                    <w:top w:val="single" w:color="auto" w:sz="12" w:space="0"/>
                  </w:tcBorders>
                  <w:vAlign w:val="center"/>
                </w:tcPr>
                <w:p w14:paraId="374A1943">
                  <w:pPr>
                    <w:pStyle w:val="158"/>
                    <w:keepNext w:val="0"/>
                    <w:keepLines w:val="0"/>
                    <w:suppressLineNumbers w:val="0"/>
                    <w:spacing w:before="0" w:beforeAutospacing="0" w:after="0" w:afterAutospacing="0" w:line="240" w:lineRule="auto"/>
                    <w:ind w:left="0" w:right="0"/>
                    <w:rPr>
                      <w:rFonts w:hint="eastAsia"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单位</w:t>
                  </w:r>
                </w:p>
              </w:tc>
              <w:tc>
                <w:tcPr>
                  <w:tcW w:w="2410" w:type="dxa"/>
                  <w:tcBorders>
                    <w:top w:val="single" w:color="auto" w:sz="12" w:space="0"/>
                  </w:tcBorders>
                  <w:vAlign w:val="center"/>
                </w:tcPr>
                <w:p w14:paraId="41699B63">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生物质颗粒燃料</w:t>
                  </w:r>
                </w:p>
              </w:tc>
            </w:tr>
            <w:tr w14:paraId="61A6BB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Align w:val="center"/>
                </w:tcPr>
                <w:p w14:paraId="6F579D2F">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全水分</w:t>
                  </w:r>
                </w:p>
              </w:tc>
              <w:tc>
                <w:tcPr>
                  <w:tcW w:w="1325" w:type="dxa"/>
                  <w:vAlign w:val="center"/>
                </w:tcPr>
                <w:p w14:paraId="55597674">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Mar</w:t>
                  </w:r>
                </w:p>
              </w:tc>
              <w:tc>
                <w:tcPr>
                  <w:tcW w:w="1615" w:type="dxa"/>
                  <w:vAlign w:val="center"/>
                </w:tcPr>
                <w:p w14:paraId="4665577C">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w:t>
                  </w:r>
                </w:p>
              </w:tc>
              <w:tc>
                <w:tcPr>
                  <w:tcW w:w="2410" w:type="dxa"/>
                  <w:vAlign w:val="center"/>
                </w:tcPr>
                <w:p w14:paraId="53224715">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37.23</w:t>
                  </w:r>
                </w:p>
              </w:tc>
            </w:tr>
            <w:tr w14:paraId="71BE3C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Align w:val="center"/>
                </w:tcPr>
                <w:p w14:paraId="02EDB368">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水分</w:t>
                  </w:r>
                </w:p>
              </w:tc>
              <w:tc>
                <w:tcPr>
                  <w:tcW w:w="1325" w:type="dxa"/>
                  <w:vAlign w:val="center"/>
                </w:tcPr>
                <w:p w14:paraId="52E74248">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Mad</w:t>
                  </w:r>
                </w:p>
              </w:tc>
              <w:tc>
                <w:tcPr>
                  <w:tcW w:w="1615" w:type="dxa"/>
                  <w:vAlign w:val="center"/>
                </w:tcPr>
                <w:p w14:paraId="4A51BE54">
                  <w:pPr>
                    <w:pStyle w:val="158"/>
                    <w:keepNext w:val="0"/>
                    <w:keepLines w:val="0"/>
                    <w:suppressLineNumbers w:val="0"/>
                    <w:spacing w:before="0" w:beforeAutospacing="0" w:after="0" w:afterAutospacing="0" w:line="240" w:lineRule="auto"/>
                    <w:ind w:left="0" w:right="0"/>
                    <w:rPr>
                      <w:rFonts w:hint="eastAsia"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w:t>
                  </w:r>
                </w:p>
              </w:tc>
              <w:tc>
                <w:tcPr>
                  <w:tcW w:w="2410" w:type="dxa"/>
                  <w:vAlign w:val="center"/>
                </w:tcPr>
                <w:p w14:paraId="34EB7615">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4.36</w:t>
                  </w:r>
                </w:p>
              </w:tc>
            </w:tr>
            <w:tr w14:paraId="023573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Align w:val="center"/>
                </w:tcPr>
                <w:p w14:paraId="14201BFE">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灰分</w:t>
                  </w:r>
                </w:p>
              </w:tc>
              <w:tc>
                <w:tcPr>
                  <w:tcW w:w="1325" w:type="dxa"/>
                  <w:vAlign w:val="center"/>
                </w:tcPr>
                <w:p w14:paraId="762B1F2B">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Aar</w:t>
                  </w:r>
                </w:p>
              </w:tc>
              <w:tc>
                <w:tcPr>
                  <w:tcW w:w="1615" w:type="dxa"/>
                  <w:vAlign w:val="center"/>
                </w:tcPr>
                <w:p w14:paraId="61982160">
                  <w:pPr>
                    <w:pStyle w:val="158"/>
                    <w:keepNext w:val="0"/>
                    <w:keepLines w:val="0"/>
                    <w:suppressLineNumbers w:val="0"/>
                    <w:spacing w:before="0" w:beforeAutospacing="0" w:after="0" w:afterAutospacing="0" w:line="240" w:lineRule="auto"/>
                    <w:ind w:left="0" w:right="0"/>
                    <w:rPr>
                      <w:rFonts w:hint="eastAsia"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w:t>
                  </w:r>
                </w:p>
              </w:tc>
              <w:tc>
                <w:tcPr>
                  <w:tcW w:w="2410" w:type="dxa"/>
                  <w:vAlign w:val="center"/>
                </w:tcPr>
                <w:p w14:paraId="1BF0F6F4">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3.06</w:t>
                  </w:r>
                </w:p>
              </w:tc>
            </w:tr>
            <w:tr w14:paraId="42E730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Align w:val="center"/>
                </w:tcPr>
                <w:p w14:paraId="016BA01B">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挥发分</w:t>
                  </w:r>
                </w:p>
              </w:tc>
              <w:tc>
                <w:tcPr>
                  <w:tcW w:w="1325" w:type="dxa"/>
                  <w:vAlign w:val="center"/>
                </w:tcPr>
                <w:p w14:paraId="318DC2E2">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Vdaf</w:t>
                  </w:r>
                </w:p>
              </w:tc>
              <w:tc>
                <w:tcPr>
                  <w:tcW w:w="1615" w:type="dxa"/>
                  <w:vAlign w:val="center"/>
                </w:tcPr>
                <w:p w14:paraId="6427CF0B">
                  <w:pPr>
                    <w:pStyle w:val="158"/>
                    <w:keepNext w:val="0"/>
                    <w:keepLines w:val="0"/>
                    <w:suppressLineNumbers w:val="0"/>
                    <w:spacing w:before="0" w:beforeAutospacing="0" w:after="0" w:afterAutospacing="0" w:line="240" w:lineRule="auto"/>
                    <w:ind w:left="0" w:right="0"/>
                    <w:rPr>
                      <w:rFonts w:hint="eastAsia"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w:t>
                  </w:r>
                </w:p>
              </w:tc>
              <w:tc>
                <w:tcPr>
                  <w:tcW w:w="2410" w:type="dxa"/>
                  <w:vAlign w:val="center"/>
                </w:tcPr>
                <w:p w14:paraId="3EFCCEE8">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84.35</w:t>
                  </w:r>
                </w:p>
              </w:tc>
            </w:tr>
            <w:tr w14:paraId="642E0E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Align w:val="center"/>
                </w:tcPr>
                <w:p w14:paraId="31E80BE4">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固定碳</w:t>
                  </w:r>
                </w:p>
              </w:tc>
              <w:tc>
                <w:tcPr>
                  <w:tcW w:w="1325" w:type="dxa"/>
                  <w:vAlign w:val="center"/>
                </w:tcPr>
                <w:p w14:paraId="7252DB86">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FCar</w:t>
                  </w:r>
                </w:p>
              </w:tc>
              <w:tc>
                <w:tcPr>
                  <w:tcW w:w="1615" w:type="dxa"/>
                  <w:vAlign w:val="center"/>
                </w:tcPr>
                <w:p w14:paraId="3C42073D">
                  <w:pPr>
                    <w:pStyle w:val="158"/>
                    <w:keepNext w:val="0"/>
                    <w:keepLines w:val="0"/>
                    <w:suppressLineNumbers w:val="0"/>
                    <w:spacing w:before="0" w:beforeAutospacing="0" w:after="0" w:afterAutospacing="0" w:line="240" w:lineRule="auto"/>
                    <w:ind w:left="0" w:right="0"/>
                    <w:rPr>
                      <w:rFonts w:hint="eastAsia"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w:t>
                  </w:r>
                </w:p>
              </w:tc>
              <w:tc>
                <w:tcPr>
                  <w:tcW w:w="2410" w:type="dxa"/>
                  <w:vAlign w:val="center"/>
                </w:tcPr>
                <w:p w14:paraId="718D621B">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9.35</w:t>
                  </w:r>
                </w:p>
              </w:tc>
            </w:tr>
            <w:tr w14:paraId="04009C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Align w:val="center"/>
                </w:tcPr>
                <w:p w14:paraId="4F79D693">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弹筒发热量</w:t>
                  </w:r>
                </w:p>
              </w:tc>
              <w:tc>
                <w:tcPr>
                  <w:tcW w:w="1325" w:type="dxa"/>
                  <w:vAlign w:val="center"/>
                </w:tcPr>
                <w:p w14:paraId="24DDF757">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Qb.ad</w:t>
                  </w:r>
                </w:p>
              </w:tc>
              <w:tc>
                <w:tcPr>
                  <w:tcW w:w="1615" w:type="dxa"/>
                  <w:vAlign w:val="center"/>
                </w:tcPr>
                <w:p w14:paraId="5342FA3E">
                  <w:pPr>
                    <w:pStyle w:val="158"/>
                    <w:keepNext w:val="0"/>
                    <w:keepLines w:val="0"/>
                    <w:suppressLineNumbers w:val="0"/>
                    <w:spacing w:before="0" w:beforeAutospacing="0" w:after="0" w:afterAutospacing="0" w:line="240" w:lineRule="auto"/>
                    <w:ind w:left="0" w:right="0"/>
                    <w:rPr>
                      <w:rFonts w:hint="eastAsia"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MJ/kg</w:t>
                  </w:r>
                </w:p>
              </w:tc>
              <w:tc>
                <w:tcPr>
                  <w:tcW w:w="2410" w:type="dxa"/>
                  <w:vAlign w:val="center"/>
                </w:tcPr>
                <w:p w14:paraId="04AED4DB">
                  <w:pPr>
                    <w:pStyle w:val="158"/>
                    <w:keepNext w:val="0"/>
                    <w:keepLines w:val="0"/>
                    <w:suppressLineNumbers w:val="0"/>
                    <w:spacing w:before="0" w:beforeAutospacing="0" w:after="0" w:afterAutospacing="0" w:line="240" w:lineRule="auto"/>
                    <w:ind w:left="0" w:right="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16.92</w:t>
                  </w:r>
                </w:p>
              </w:tc>
            </w:tr>
            <w:tr w14:paraId="33D1F3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Align w:val="center"/>
                </w:tcPr>
                <w:p w14:paraId="45AFA158">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收到基低位发热量</w:t>
                  </w:r>
                </w:p>
              </w:tc>
              <w:tc>
                <w:tcPr>
                  <w:tcW w:w="1325" w:type="dxa"/>
                  <w:vAlign w:val="center"/>
                </w:tcPr>
                <w:p w14:paraId="1FDD2028">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Qnet,ar</w:t>
                  </w:r>
                </w:p>
              </w:tc>
              <w:tc>
                <w:tcPr>
                  <w:tcW w:w="1615" w:type="dxa"/>
                  <w:vAlign w:val="center"/>
                </w:tcPr>
                <w:p w14:paraId="045C48A3">
                  <w:pPr>
                    <w:pStyle w:val="158"/>
                    <w:keepNext w:val="0"/>
                    <w:keepLines w:val="0"/>
                    <w:suppressLineNumbers w:val="0"/>
                    <w:spacing w:before="0" w:beforeAutospacing="0" w:after="0" w:afterAutospacing="0" w:line="240" w:lineRule="auto"/>
                    <w:ind w:left="0" w:leftChars="0" w:right="0" w:rightChars="0"/>
                    <w:rPr>
                      <w:rFonts w:hint="eastAsia"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MJ/kg</w:t>
                  </w:r>
                </w:p>
              </w:tc>
              <w:tc>
                <w:tcPr>
                  <w:tcW w:w="2410" w:type="dxa"/>
                  <w:vAlign w:val="center"/>
                </w:tcPr>
                <w:p w14:paraId="196990AC">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9.58</w:t>
                  </w:r>
                </w:p>
              </w:tc>
            </w:tr>
            <w:tr w14:paraId="3CDC9F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99" w:type="dxa"/>
                  <w:vAlign w:val="center"/>
                </w:tcPr>
                <w:p w14:paraId="32BE85CB">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ascii="Times New Roman" w:hAnsi="Times New Roman" w:eastAsia="宋体" w:cs="Times New Roman"/>
                      <w:b w:val="0"/>
                      <w:bCs/>
                      <w:color w:val="FF0000"/>
                      <w:sz w:val="18"/>
                      <w:szCs w:val="18"/>
                      <w:highlight w:val="none"/>
                      <w:vertAlign w:val="baseline"/>
                      <w:lang w:val="en-US" w:eastAsia="zh-CN"/>
                    </w:rPr>
                    <w:t>干燥基高位发热量</w:t>
                  </w:r>
                </w:p>
              </w:tc>
              <w:tc>
                <w:tcPr>
                  <w:tcW w:w="1325" w:type="dxa"/>
                  <w:vAlign w:val="center"/>
                </w:tcPr>
                <w:p w14:paraId="2A42E705">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Qgr.d</w:t>
                  </w:r>
                </w:p>
              </w:tc>
              <w:tc>
                <w:tcPr>
                  <w:tcW w:w="1615" w:type="dxa"/>
                  <w:vAlign w:val="center"/>
                </w:tcPr>
                <w:p w14:paraId="1BF15256">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MJ/kg</w:t>
                  </w:r>
                </w:p>
              </w:tc>
              <w:tc>
                <w:tcPr>
                  <w:tcW w:w="2410" w:type="dxa"/>
                  <w:vAlign w:val="center"/>
                </w:tcPr>
                <w:p w14:paraId="2E05F339">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17.66</w:t>
                  </w:r>
                </w:p>
              </w:tc>
            </w:tr>
            <w:tr w14:paraId="4B5FFB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Align w:val="center"/>
                </w:tcPr>
                <w:p w14:paraId="1048DF96">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default" w:eastAsia="宋体"/>
                      <w:b w:val="0"/>
                      <w:bCs/>
                      <w:color w:val="FF0000"/>
                      <w:sz w:val="18"/>
                      <w:szCs w:val="18"/>
                      <w:highlight w:val="none"/>
                      <w:vertAlign w:val="baseline"/>
                      <w:lang w:val="en-US" w:eastAsia="zh-CN"/>
                    </w:rPr>
                    <w:t>全硫</w:t>
                  </w:r>
                </w:p>
              </w:tc>
              <w:tc>
                <w:tcPr>
                  <w:tcW w:w="1325" w:type="dxa"/>
                  <w:vAlign w:val="center"/>
                </w:tcPr>
                <w:p w14:paraId="0508A363">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default" w:eastAsia="宋体"/>
                      <w:b w:val="0"/>
                      <w:bCs/>
                      <w:color w:val="FF0000"/>
                      <w:sz w:val="18"/>
                      <w:szCs w:val="18"/>
                      <w:highlight w:val="none"/>
                      <w:vertAlign w:val="baseline"/>
                      <w:lang w:val="en-US" w:eastAsia="zh-CN"/>
                    </w:rPr>
                    <w:t>S</w:t>
                  </w:r>
                  <w:r>
                    <w:rPr>
                      <w:rFonts w:hint="eastAsia" w:eastAsia="宋体"/>
                      <w:b w:val="0"/>
                      <w:bCs/>
                      <w:color w:val="FF0000"/>
                      <w:sz w:val="18"/>
                      <w:szCs w:val="18"/>
                      <w:highlight w:val="none"/>
                      <w:vertAlign w:val="baseline"/>
                      <w:lang w:val="en-US" w:eastAsia="zh-CN"/>
                    </w:rPr>
                    <w:t>t.</w:t>
                  </w:r>
                  <w:r>
                    <w:rPr>
                      <w:rFonts w:hint="default" w:eastAsia="宋体"/>
                      <w:b w:val="0"/>
                      <w:bCs/>
                      <w:color w:val="FF0000"/>
                      <w:sz w:val="18"/>
                      <w:szCs w:val="18"/>
                      <w:highlight w:val="none"/>
                      <w:vertAlign w:val="baseline"/>
                      <w:lang w:val="en-US" w:eastAsia="zh-CN"/>
                    </w:rPr>
                    <w:t>a</w:t>
                  </w:r>
                  <w:r>
                    <w:rPr>
                      <w:rFonts w:hint="eastAsia" w:eastAsia="宋体"/>
                      <w:b w:val="0"/>
                      <w:bCs/>
                      <w:color w:val="FF0000"/>
                      <w:sz w:val="18"/>
                      <w:szCs w:val="18"/>
                      <w:highlight w:val="none"/>
                      <w:vertAlign w:val="baseline"/>
                      <w:lang w:val="en-US" w:eastAsia="zh-CN"/>
                    </w:rPr>
                    <w:t>d</w:t>
                  </w:r>
                </w:p>
              </w:tc>
              <w:tc>
                <w:tcPr>
                  <w:tcW w:w="1615" w:type="dxa"/>
                  <w:vAlign w:val="center"/>
                </w:tcPr>
                <w:p w14:paraId="416180F6">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w:t>
                  </w:r>
                </w:p>
              </w:tc>
              <w:tc>
                <w:tcPr>
                  <w:tcW w:w="2410" w:type="dxa"/>
                  <w:vAlign w:val="center"/>
                </w:tcPr>
                <w:p w14:paraId="68609AD1">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0.04</w:t>
                  </w:r>
                </w:p>
              </w:tc>
            </w:tr>
            <w:tr w14:paraId="6DD0DD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Align w:val="center"/>
                </w:tcPr>
                <w:p w14:paraId="7B62565B">
                  <w:pPr>
                    <w:pStyle w:val="158"/>
                    <w:keepNext w:val="0"/>
                    <w:keepLines w:val="0"/>
                    <w:suppressLineNumbers w:val="0"/>
                    <w:spacing w:before="0" w:beforeAutospacing="0" w:after="0" w:afterAutospacing="0" w:line="240" w:lineRule="auto"/>
                    <w:ind w:left="0" w:leftChars="0" w:right="0" w:rightChars="0"/>
                    <w:rPr>
                      <w:rFonts w:hint="default"/>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碳</w:t>
                  </w:r>
                </w:p>
              </w:tc>
              <w:tc>
                <w:tcPr>
                  <w:tcW w:w="1325" w:type="dxa"/>
                  <w:vAlign w:val="center"/>
                </w:tcPr>
                <w:p w14:paraId="1FFAA5AE">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Car</w:t>
                  </w:r>
                </w:p>
              </w:tc>
              <w:tc>
                <w:tcPr>
                  <w:tcW w:w="1615" w:type="dxa"/>
                  <w:vAlign w:val="center"/>
                </w:tcPr>
                <w:p w14:paraId="63F31D18">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w:t>
                  </w:r>
                </w:p>
              </w:tc>
              <w:tc>
                <w:tcPr>
                  <w:tcW w:w="2410" w:type="dxa"/>
                  <w:vAlign w:val="center"/>
                </w:tcPr>
                <w:p w14:paraId="0CB287F3">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30.06</w:t>
                  </w:r>
                </w:p>
              </w:tc>
            </w:tr>
            <w:tr w14:paraId="2E518B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Align w:val="center"/>
                </w:tcPr>
                <w:p w14:paraId="1D1E58A9">
                  <w:pPr>
                    <w:pStyle w:val="158"/>
                    <w:keepNext w:val="0"/>
                    <w:keepLines w:val="0"/>
                    <w:suppressLineNumbers w:val="0"/>
                    <w:spacing w:before="0" w:beforeAutospacing="0" w:after="0" w:afterAutospacing="0" w:line="240" w:lineRule="auto"/>
                    <w:ind w:left="0" w:leftChars="0" w:right="0" w:rightChars="0"/>
                    <w:rPr>
                      <w:rFonts w:hint="default"/>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氢</w:t>
                  </w:r>
                </w:p>
              </w:tc>
              <w:tc>
                <w:tcPr>
                  <w:tcW w:w="1325" w:type="dxa"/>
                  <w:vAlign w:val="center"/>
                </w:tcPr>
                <w:p w14:paraId="33CD5C11">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Har</w:t>
                  </w:r>
                </w:p>
              </w:tc>
              <w:tc>
                <w:tcPr>
                  <w:tcW w:w="1615" w:type="dxa"/>
                  <w:shd w:val="clear" w:color="auto" w:fill="auto"/>
                  <w:vAlign w:val="center"/>
                </w:tcPr>
                <w:p w14:paraId="36BDA6F8">
                  <w:pPr>
                    <w:pStyle w:val="158"/>
                    <w:keepNext w:val="0"/>
                    <w:keepLines w:val="0"/>
                    <w:suppressLineNumbers w:val="0"/>
                    <w:spacing w:before="0" w:beforeAutospacing="0" w:after="0" w:afterAutospacing="0" w:line="240" w:lineRule="auto"/>
                    <w:ind w:left="0" w:leftChars="0" w:right="0" w:rightChars="0"/>
                    <w:rPr>
                      <w:rFonts w:hint="eastAsia" w:ascii="Times New Roman" w:hAnsi="Times New Roman" w:eastAsia="宋体" w:cs="Times New Roman"/>
                      <w:b w:val="0"/>
                      <w:bCs/>
                      <w:color w:val="FF0000"/>
                      <w:kern w:val="0"/>
                      <w:sz w:val="18"/>
                      <w:szCs w:val="18"/>
                      <w:highlight w:val="none"/>
                      <w:vertAlign w:val="baseline"/>
                      <w:lang w:val="en-US" w:eastAsia="zh-CN" w:bidi="ar-SA"/>
                    </w:rPr>
                  </w:pPr>
                  <w:r>
                    <w:rPr>
                      <w:rFonts w:hint="eastAsia"/>
                      <w:b w:val="0"/>
                      <w:bCs/>
                      <w:color w:val="FF0000"/>
                      <w:sz w:val="18"/>
                      <w:szCs w:val="18"/>
                      <w:highlight w:val="none"/>
                      <w:vertAlign w:val="baseline"/>
                      <w:lang w:val="en-US" w:eastAsia="zh-CN"/>
                    </w:rPr>
                    <w:t>%</w:t>
                  </w:r>
                </w:p>
              </w:tc>
              <w:tc>
                <w:tcPr>
                  <w:tcW w:w="2410" w:type="dxa"/>
                  <w:vAlign w:val="center"/>
                </w:tcPr>
                <w:p w14:paraId="49B9194F">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3.17</w:t>
                  </w:r>
                </w:p>
              </w:tc>
            </w:tr>
            <w:tr w14:paraId="6555FD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vAlign w:val="center"/>
                </w:tcPr>
                <w:p w14:paraId="0E2A8EEF">
                  <w:pPr>
                    <w:pStyle w:val="158"/>
                    <w:keepNext w:val="0"/>
                    <w:keepLines w:val="0"/>
                    <w:suppressLineNumbers w:val="0"/>
                    <w:spacing w:before="0" w:beforeAutospacing="0" w:after="0" w:afterAutospacing="0" w:line="240" w:lineRule="auto"/>
                    <w:ind w:left="0" w:leftChars="0" w:right="0" w:rightChars="0"/>
                    <w:rPr>
                      <w:rFonts w:hint="default"/>
                      <w:b w:val="0"/>
                      <w:bCs/>
                      <w:color w:val="FF0000"/>
                      <w:sz w:val="18"/>
                      <w:szCs w:val="18"/>
                      <w:highlight w:val="none"/>
                      <w:vertAlign w:val="baseline"/>
                      <w:lang w:val="en-US" w:eastAsia="zh-CN"/>
                    </w:rPr>
                  </w:pPr>
                  <w:r>
                    <w:rPr>
                      <w:rFonts w:hint="eastAsia" w:ascii="Times New Roman" w:hAnsi="Times New Roman" w:eastAsia="宋体" w:cs="Times New Roman"/>
                      <w:b w:val="0"/>
                      <w:bCs/>
                      <w:color w:val="FF0000"/>
                      <w:sz w:val="18"/>
                      <w:szCs w:val="18"/>
                      <w:highlight w:val="none"/>
                      <w:vertAlign w:val="baseline"/>
                      <w:lang w:val="en-US" w:eastAsia="zh-CN"/>
                    </w:rPr>
                    <w:t>氮</w:t>
                  </w:r>
                </w:p>
              </w:tc>
              <w:tc>
                <w:tcPr>
                  <w:tcW w:w="1325" w:type="dxa"/>
                  <w:vAlign w:val="center"/>
                </w:tcPr>
                <w:p w14:paraId="09EDDD79">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Nar</w:t>
                  </w:r>
                </w:p>
              </w:tc>
              <w:tc>
                <w:tcPr>
                  <w:tcW w:w="1615" w:type="dxa"/>
                  <w:shd w:val="clear" w:color="auto" w:fill="auto"/>
                  <w:vAlign w:val="center"/>
                </w:tcPr>
                <w:p w14:paraId="548CA576">
                  <w:pPr>
                    <w:pStyle w:val="158"/>
                    <w:keepNext w:val="0"/>
                    <w:keepLines w:val="0"/>
                    <w:suppressLineNumbers w:val="0"/>
                    <w:spacing w:before="0" w:beforeAutospacing="0" w:after="0" w:afterAutospacing="0" w:line="240" w:lineRule="auto"/>
                    <w:ind w:left="0" w:leftChars="0" w:right="0" w:rightChars="0"/>
                    <w:rPr>
                      <w:rFonts w:hint="eastAsia"/>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w:t>
                  </w:r>
                </w:p>
              </w:tc>
              <w:tc>
                <w:tcPr>
                  <w:tcW w:w="2410" w:type="dxa"/>
                  <w:vAlign w:val="center"/>
                </w:tcPr>
                <w:p w14:paraId="3750B80B">
                  <w:pPr>
                    <w:pStyle w:val="158"/>
                    <w:keepNext w:val="0"/>
                    <w:keepLines w:val="0"/>
                    <w:suppressLineNumbers w:val="0"/>
                    <w:spacing w:before="0" w:beforeAutospacing="0" w:after="0" w:afterAutospacing="0" w:line="240" w:lineRule="auto"/>
                    <w:ind w:left="0" w:leftChars="0" w:right="0" w:rightChars="0"/>
                    <w:rPr>
                      <w:rFonts w:hint="default"/>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0.32</w:t>
                  </w:r>
                </w:p>
              </w:tc>
            </w:tr>
            <w:tr w14:paraId="49B2A1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9" w:type="dxa"/>
                  <w:tcBorders>
                    <w:bottom w:val="single" w:color="auto" w:sz="12" w:space="0"/>
                  </w:tcBorders>
                  <w:vAlign w:val="center"/>
                </w:tcPr>
                <w:p w14:paraId="7336E231">
                  <w:pPr>
                    <w:pStyle w:val="158"/>
                    <w:keepNext w:val="0"/>
                    <w:keepLines w:val="0"/>
                    <w:suppressLineNumbers w:val="0"/>
                    <w:spacing w:before="0" w:beforeAutospacing="0" w:after="0" w:afterAutospacing="0" w:line="240" w:lineRule="auto"/>
                    <w:ind w:left="0" w:leftChars="0" w:right="0" w:rightChars="0"/>
                    <w:rPr>
                      <w:rFonts w:hint="default"/>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氧</w:t>
                  </w:r>
                </w:p>
              </w:tc>
              <w:tc>
                <w:tcPr>
                  <w:tcW w:w="1325" w:type="dxa"/>
                  <w:tcBorders>
                    <w:bottom w:val="single" w:color="auto" w:sz="12" w:space="0"/>
                  </w:tcBorders>
                  <w:vAlign w:val="center"/>
                </w:tcPr>
                <w:p w14:paraId="73077137">
                  <w:pPr>
                    <w:pStyle w:val="158"/>
                    <w:keepNext w:val="0"/>
                    <w:keepLines w:val="0"/>
                    <w:suppressLineNumbers w:val="0"/>
                    <w:spacing w:before="0" w:beforeAutospacing="0" w:after="0" w:afterAutospacing="0" w:line="240" w:lineRule="auto"/>
                    <w:ind w:left="0" w:leftChars="0" w:right="0" w:rightChars="0"/>
                    <w:rPr>
                      <w:rFonts w:hint="default" w:eastAsia="宋体"/>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Oar</w:t>
                  </w:r>
                </w:p>
              </w:tc>
              <w:tc>
                <w:tcPr>
                  <w:tcW w:w="1615" w:type="dxa"/>
                  <w:tcBorders>
                    <w:bottom w:val="single" w:color="auto" w:sz="12" w:space="0"/>
                  </w:tcBorders>
                  <w:shd w:val="clear" w:color="auto" w:fill="auto"/>
                  <w:vAlign w:val="center"/>
                </w:tcPr>
                <w:p w14:paraId="1EF43AEE">
                  <w:pPr>
                    <w:pStyle w:val="158"/>
                    <w:keepNext w:val="0"/>
                    <w:keepLines w:val="0"/>
                    <w:suppressLineNumbers w:val="0"/>
                    <w:spacing w:before="0" w:beforeAutospacing="0" w:after="0" w:afterAutospacing="0" w:line="240" w:lineRule="auto"/>
                    <w:ind w:left="0" w:leftChars="0" w:right="0" w:rightChars="0"/>
                    <w:rPr>
                      <w:rFonts w:hint="eastAsia"/>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w:t>
                  </w:r>
                </w:p>
              </w:tc>
              <w:tc>
                <w:tcPr>
                  <w:tcW w:w="2410" w:type="dxa"/>
                  <w:tcBorders>
                    <w:bottom w:val="single" w:color="auto" w:sz="12" w:space="0"/>
                  </w:tcBorders>
                  <w:vAlign w:val="center"/>
                </w:tcPr>
                <w:p w14:paraId="2860B930">
                  <w:pPr>
                    <w:pStyle w:val="158"/>
                    <w:keepNext w:val="0"/>
                    <w:keepLines w:val="0"/>
                    <w:suppressLineNumbers w:val="0"/>
                    <w:spacing w:before="0" w:beforeAutospacing="0" w:after="0" w:afterAutospacing="0" w:line="240" w:lineRule="auto"/>
                    <w:ind w:left="0" w:leftChars="0" w:right="0" w:rightChars="0"/>
                    <w:rPr>
                      <w:rFonts w:hint="default"/>
                      <w:b w:val="0"/>
                      <w:bCs/>
                      <w:color w:val="FF0000"/>
                      <w:sz w:val="18"/>
                      <w:szCs w:val="18"/>
                      <w:highlight w:val="none"/>
                      <w:vertAlign w:val="baseline"/>
                      <w:lang w:val="en-US" w:eastAsia="zh-CN"/>
                    </w:rPr>
                  </w:pPr>
                  <w:r>
                    <w:rPr>
                      <w:rFonts w:hint="eastAsia"/>
                      <w:b w:val="0"/>
                      <w:bCs/>
                      <w:color w:val="FF0000"/>
                      <w:sz w:val="18"/>
                      <w:szCs w:val="18"/>
                      <w:highlight w:val="none"/>
                      <w:vertAlign w:val="baseline"/>
                      <w:lang w:val="en-US" w:eastAsia="zh-CN"/>
                    </w:rPr>
                    <w:t>26.12</w:t>
                  </w:r>
                </w:p>
              </w:tc>
            </w:tr>
          </w:tbl>
          <w:p w14:paraId="20BF14AA">
            <w:pPr>
              <w:pStyle w:val="158"/>
              <w:keepNext w:val="0"/>
              <w:keepLines w:val="0"/>
              <w:suppressLineNumbers w:val="0"/>
              <w:spacing w:before="0" w:beforeAutospacing="0" w:after="0" w:afterAutospacing="0" w:line="240" w:lineRule="auto"/>
              <w:ind w:left="0" w:right="0"/>
              <w:jc w:val="center"/>
              <w:rPr>
                <w:rFonts w:hint="default" w:eastAsia="宋体"/>
                <w:color w:val="auto"/>
                <w:highlight w:val="none"/>
              </w:rPr>
            </w:pPr>
            <w:r>
              <w:rPr>
                <w:rFonts w:hint="eastAsia" w:eastAsia="宋体"/>
                <w:color w:val="auto"/>
                <w:highlight w:val="none"/>
              </w:rPr>
              <w:t>表2-</w:t>
            </w:r>
            <w:r>
              <w:rPr>
                <w:rFonts w:hint="eastAsia"/>
                <w:color w:val="auto"/>
                <w:highlight w:val="none"/>
                <w:lang w:val="en-US" w:eastAsia="zh-CN"/>
              </w:rPr>
              <w:t>6</w:t>
            </w:r>
            <w:r>
              <w:rPr>
                <w:rFonts w:hint="eastAsia" w:eastAsia="宋体"/>
                <w:color w:val="auto"/>
                <w:highlight w:val="none"/>
              </w:rPr>
              <w:t xml:space="preserve">  </w:t>
            </w:r>
            <w:r>
              <w:rPr>
                <w:rFonts w:hint="eastAsia"/>
                <w:color w:val="auto"/>
                <w:highlight w:val="none"/>
                <w:lang w:val="en-US" w:eastAsia="zh-CN"/>
              </w:rPr>
              <w:t>烘干</w:t>
            </w:r>
            <w:r>
              <w:rPr>
                <w:rFonts w:hint="eastAsia" w:eastAsia="宋体"/>
                <w:color w:val="auto"/>
                <w:highlight w:val="none"/>
              </w:rPr>
              <w:t>物料平衡表</w:t>
            </w:r>
          </w:p>
          <w:tbl>
            <w:tblPr>
              <w:tblStyle w:val="36"/>
              <w:tblW w:w="499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16"/>
              <w:gridCol w:w="1201"/>
              <w:gridCol w:w="2902"/>
              <w:gridCol w:w="1862"/>
            </w:tblGrid>
            <w:tr w14:paraId="39F7A8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09" w:type="pct"/>
                  <w:tcBorders>
                    <w:top w:val="single" w:color="auto" w:sz="12" w:space="0"/>
                    <w:left w:val="nil"/>
                    <w:bottom w:val="single" w:color="auto" w:sz="4" w:space="0"/>
                    <w:right w:val="single" w:color="auto" w:sz="4" w:space="0"/>
                  </w:tcBorders>
                  <w:vAlign w:val="center"/>
                </w:tcPr>
                <w:p w14:paraId="39AB9771">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原料</w:t>
                  </w:r>
                </w:p>
              </w:tc>
              <w:tc>
                <w:tcPr>
                  <w:tcW w:w="743" w:type="pct"/>
                  <w:tcBorders>
                    <w:top w:val="single" w:color="auto" w:sz="12" w:space="0"/>
                    <w:left w:val="single" w:color="auto" w:sz="4" w:space="0"/>
                    <w:bottom w:val="single" w:color="auto" w:sz="4" w:space="0"/>
                    <w:right w:val="single" w:color="auto" w:sz="4" w:space="0"/>
                  </w:tcBorders>
                  <w:vAlign w:val="center"/>
                </w:tcPr>
                <w:p w14:paraId="60BB4AC3">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进料量（t/a）</w:t>
                  </w:r>
                </w:p>
              </w:tc>
              <w:tc>
                <w:tcPr>
                  <w:tcW w:w="1795" w:type="pct"/>
                  <w:tcBorders>
                    <w:top w:val="single" w:color="auto" w:sz="12" w:space="0"/>
                    <w:left w:val="single" w:color="auto" w:sz="4" w:space="0"/>
                    <w:bottom w:val="single" w:color="auto" w:sz="4" w:space="0"/>
                    <w:right w:val="single" w:color="auto" w:sz="4" w:space="0"/>
                  </w:tcBorders>
                  <w:vAlign w:val="center"/>
                </w:tcPr>
                <w:p w14:paraId="5EFAF1D2">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产生</w:t>
                  </w:r>
                </w:p>
              </w:tc>
              <w:tc>
                <w:tcPr>
                  <w:tcW w:w="1151" w:type="pct"/>
                  <w:tcBorders>
                    <w:top w:val="single" w:color="auto" w:sz="12" w:space="0"/>
                    <w:left w:val="single" w:color="auto" w:sz="4" w:space="0"/>
                    <w:bottom w:val="single" w:color="auto" w:sz="4" w:space="0"/>
                    <w:right w:val="nil"/>
                  </w:tcBorders>
                  <w:vAlign w:val="center"/>
                </w:tcPr>
                <w:p w14:paraId="1B750BDB">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产生量（t/a）</w:t>
                  </w:r>
                </w:p>
              </w:tc>
            </w:tr>
            <w:tr w14:paraId="550070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09" w:type="pct"/>
                  <w:vMerge w:val="restart"/>
                  <w:tcBorders>
                    <w:top w:val="single" w:color="auto" w:sz="4" w:space="0"/>
                    <w:left w:val="nil"/>
                    <w:right w:val="single" w:color="auto" w:sz="4" w:space="0"/>
                  </w:tcBorders>
                  <w:vAlign w:val="center"/>
                </w:tcPr>
                <w:p w14:paraId="0A53FA3B">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玉米</w:t>
                  </w:r>
                  <w:r>
                    <w:rPr>
                      <w:rFonts w:hint="default" w:ascii="Times New Roman" w:hAnsi="Times New Roman" w:eastAsia="宋体" w:cs="Times New Roman"/>
                      <w:color w:val="auto"/>
                      <w:kern w:val="0"/>
                      <w:sz w:val="18"/>
                      <w:szCs w:val="18"/>
                      <w:highlight w:val="none"/>
                      <w:lang w:val="fr-FR" w:eastAsia="zh-CN" w:bidi="ar-SA"/>
                    </w:rPr>
                    <w:t>（</w:t>
                  </w:r>
                  <w:r>
                    <w:rPr>
                      <w:rFonts w:hint="default" w:ascii="Times New Roman" w:hAnsi="Times New Roman" w:eastAsia="宋体" w:cs="Times New Roman"/>
                      <w:color w:val="auto"/>
                      <w:kern w:val="0"/>
                      <w:sz w:val="18"/>
                      <w:szCs w:val="18"/>
                      <w:highlight w:val="none"/>
                      <w:lang w:val="en-US" w:eastAsia="zh-CN" w:bidi="ar-SA"/>
                    </w:rPr>
                    <w:t>含水率</w:t>
                  </w:r>
                  <w:r>
                    <w:rPr>
                      <w:rFonts w:hint="eastAsia" w:cs="Times New Roman"/>
                      <w:color w:val="auto"/>
                      <w:kern w:val="0"/>
                      <w:sz w:val="18"/>
                      <w:szCs w:val="18"/>
                      <w:highlight w:val="none"/>
                      <w:lang w:val="en-US" w:eastAsia="zh-CN" w:bidi="ar-SA"/>
                    </w:rPr>
                    <w:t>3</w:t>
                  </w:r>
                  <w:r>
                    <w:rPr>
                      <w:rFonts w:hint="eastAsia" w:ascii="Times New Roman" w:hAnsi="Times New Roman" w:cs="Times New Roman"/>
                      <w:color w:val="auto"/>
                      <w:kern w:val="0"/>
                      <w:sz w:val="18"/>
                      <w:szCs w:val="18"/>
                      <w:highlight w:val="none"/>
                      <w:lang w:val="en-US" w:eastAsia="zh-CN" w:bidi="ar-SA"/>
                    </w:rPr>
                    <w:t>0</w:t>
                  </w:r>
                  <w:r>
                    <w:rPr>
                      <w:rFonts w:hint="default" w:ascii="Times New Roman" w:hAnsi="Times New Roman" w:eastAsia="宋体" w:cs="Times New Roman"/>
                      <w:color w:val="auto"/>
                      <w:kern w:val="0"/>
                      <w:sz w:val="18"/>
                      <w:szCs w:val="18"/>
                      <w:highlight w:val="none"/>
                      <w:lang w:val="en-US" w:eastAsia="zh-CN" w:bidi="ar-SA"/>
                    </w:rPr>
                    <w:t>%</w:t>
                  </w:r>
                  <w:r>
                    <w:rPr>
                      <w:rFonts w:hint="default" w:ascii="Times New Roman" w:hAnsi="Times New Roman" w:eastAsia="宋体" w:cs="Times New Roman"/>
                      <w:color w:val="auto"/>
                      <w:kern w:val="0"/>
                      <w:sz w:val="18"/>
                      <w:szCs w:val="18"/>
                      <w:highlight w:val="none"/>
                      <w:lang w:val="fr-FR" w:eastAsia="zh-CN" w:bidi="ar-SA"/>
                    </w:rPr>
                    <w:t>）</w:t>
                  </w:r>
                </w:p>
              </w:tc>
              <w:tc>
                <w:tcPr>
                  <w:tcW w:w="743" w:type="pct"/>
                  <w:vMerge w:val="restart"/>
                  <w:tcBorders>
                    <w:top w:val="single" w:color="auto" w:sz="4" w:space="0"/>
                    <w:left w:val="single" w:color="auto" w:sz="4" w:space="0"/>
                    <w:right w:val="single" w:color="auto" w:sz="4" w:space="0"/>
                  </w:tcBorders>
                  <w:vAlign w:val="center"/>
                </w:tcPr>
                <w:p w14:paraId="770F4861">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bCs/>
                      <w:color w:val="auto"/>
                      <w:sz w:val="18"/>
                      <w:szCs w:val="18"/>
                      <w:highlight w:val="none"/>
                      <w:lang w:val="en-US" w:eastAsia="zh-CN"/>
                    </w:rPr>
                    <w:t>20000</w:t>
                  </w:r>
                </w:p>
              </w:tc>
              <w:tc>
                <w:tcPr>
                  <w:tcW w:w="1795" w:type="pct"/>
                  <w:tcBorders>
                    <w:top w:val="single" w:color="auto" w:sz="4" w:space="0"/>
                    <w:left w:val="single" w:color="auto" w:sz="4" w:space="0"/>
                    <w:bottom w:val="single" w:color="auto" w:sz="4" w:space="0"/>
                    <w:right w:val="single" w:color="auto" w:sz="4" w:space="0"/>
                  </w:tcBorders>
                  <w:vAlign w:val="center"/>
                </w:tcPr>
                <w:p w14:paraId="3291B74C">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玉米</w:t>
                  </w:r>
                  <w:r>
                    <w:rPr>
                      <w:rFonts w:hint="default" w:ascii="Times New Roman" w:hAnsi="Times New Roman" w:eastAsia="宋体" w:cs="Times New Roman"/>
                      <w:color w:val="auto"/>
                      <w:kern w:val="0"/>
                      <w:sz w:val="18"/>
                      <w:szCs w:val="18"/>
                      <w:highlight w:val="none"/>
                      <w:lang w:val="en-US" w:eastAsia="zh-CN" w:bidi="ar-SA"/>
                    </w:rPr>
                    <w:t>（烘干后含水率为</w:t>
                  </w:r>
                  <w:r>
                    <w:rPr>
                      <w:rFonts w:hint="eastAsia" w:eastAsia="宋体" w:cs="Times New Roman"/>
                      <w:color w:val="auto"/>
                      <w:kern w:val="0"/>
                      <w:sz w:val="18"/>
                      <w:szCs w:val="18"/>
                      <w:highlight w:val="none"/>
                      <w:lang w:val="en-US" w:eastAsia="zh-CN" w:bidi="ar-SA"/>
                    </w:rPr>
                    <w:t>1</w:t>
                  </w:r>
                  <w:r>
                    <w:rPr>
                      <w:rFonts w:hint="eastAsia" w:cs="Times New Roman"/>
                      <w:color w:val="auto"/>
                      <w:kern w:val="0"/>
                      <w:sz w:val="18"/>
                      <w:szCs w:val="18"/>
                      <w:highlight w:val="none"/>
                      <w:lang w:val="en-US" w:eastAsia="zh-CN" w:bidi="ar-SA"/>
                    </w:rPr>
                    <w:t>2</w:t>
                  </w:r>
                  <w:r>
                    <w:rPr>
                      <w:rFonts w:hint="default" w:ascii="Times New Roman" w:hAnsi="Times New Roman" w:eastAsia="宋体" w:cs="Times New Roman"/>
                      <w:color w:val="auto"/>
                      <w:kern w:val="0"/>
                      <w:sz w:val="18"/>
                      <w:szCs w:val="18"/>
                      <w:highlight w:val="none"/>
                      <w:lang w:val="en-US" w:eastAsia="zh-CN" w:bidi="ar-SA"/>
                    </w:rPr>
                    <w:t>%）</w:t>
                  </w:r>
                </w:p>
              </w:tc>
              <w:tc>
                <w:tcPr>
                  <w:tcW w:w="1151" w:type="pct"/>
                  <w:tcBorders>
                    <w:top w:val="single" w:color="auto" w:sz="4" w:space="0"/>
                    <w:left w:val="single" w:color="auto" w:sz="4" w:space="0"/>
                    <w:bottom w:val="single" w:color="auto" w:sz="4" w:space="0"/>
                    <w:right w:val="nil"/>
                  </w:tcBorders>
                  <w:vAlign w:val="center"/>
                </w:tcPr>
                <w:p w14:paraId="66081851">
                  <w:pPr>
                    <w:keepNext w:val="0"/>
                    <w:keepLines w:val="0"/>
                    <w:suppressLineNumbers w:val="0"/>
                    <w:spacing w:before="0" w:beforeAutospacing="0" w:after="0" w:afterAutospacing="0" w:line="240" w:lineRule="auto"/>
                    <w:ind w:left="0" w:right="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15873.518</w:t>
                  </w:r>
                </w:p>
              </w:tc>
            </w:tr>
            <w:tr w14:paraId="7A8445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09" w:type="pct"/>
                  <w:vMerge w:val="continue"/>
                  <w:tcBorders>
                    <w:left w:val="nil"/>
                    <w:right w:val="single" w:color="auto" w:sz="4" w:space="0"/>
                  </w:tcBorders>
                  <w:vAlign w:val="center"/>
                </w:tcPr>
                <w:p w14:paraId="5A1DE9F2">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743" w:type="pct"/>
                  <w:vMerge w:val="continue"/>
                  <w:tcBorders>
                    <w:left w:val="single" w:color="auto" w:sz="4" w:space="0"/>
                    <w:right w:val="single" w:color="auto" w:sz="4" w:space="0"/>
                  </w:tcBorders>
                  <w:vAlign w:val="center"/>
                </w:tcPr>
                <w:p w14:paraId="758D57F0">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1795" w:type="pct"/>
                  <w:tcBorders>
                    <w:top w:val="single" w:color="auto" w:sz="4" w:space="0"/>
                    <w:left w:val="single" w:color="auto" w:sz="4" w:space="0"/>
                    <w:bottom w:val="single" w:color="auto" w:sz="4" w:space="0"/>
                    <w:right w:val="single" w:color="auto" w:sz="4" w:space="0"/>
                  </w:tcBorders>
                  <w:vAlign w:val="center"/>
                </w:tcPr>
                <w:p w14:paraId="10912DF1">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蒸发水分</w:t>
                  </w:r>
                </w:p>
              </w:tc>
              <w:tc>
                <w:tcPr>
                  <w:tcW w:w="1151" w:type="pct"/>
                  <w:tcBorders>
                    <w:top w:val="single" w:color="auto" w:sz="4" w:space="0"/>
                    <w:left w:val="single" w:color="auto" w:sz="4" w:space="0"/>
                    <w:bottom w:val="single" w:color="auto" w:sz="4" w:space="0"/>
                    <w:right w:val="nil"/>
                  </w:tcBorders>
                  <w:vAlign w:val="center"/>
                </w:tcPr>
                <w:p w14:paraId="2F3803C9">
                  <w:pPr>
                    <w:keepNext w:val="0"/>
                    <w:keepLines w:val="0"/>
                    <w:suppressLineNumbers w:val="0"/>
                    <w:spacing w:before="0" w:beforeAutospacing="0" w:after="0" w:afterAutospacing="0" w:line="240" w:lineRule="auto"/>
                    <w:ind w:left="0" w:right="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4090.9</w:t>
                  </w:r>
                </w:p>
              </w:tc>
            </w:tr>
            <w:tr w14:paraId="39003A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09" w:type="pct"/>
                  <w:vMerge w:val="continue"/>
                  <w:tcBorders>
                    <w:left w:val="nil"/>
                    <w:right w:val="single" w:color="auto" w:sz="4" w:space="0"/>
                  </w:tcBorders>
                  <w:vAlign w:val="center"/>
                </w:tcPr>
                <w:p w14:paraId="60CA0D30">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743" w:type="pct"/>
                  <w:vMerge w:val="continue"/>
                  <w:tcBorders>
                    <w:left w:val="single" w:color="auto" w:sz="4" w:space="0"/>
                    <w:right w:val="single" w:color="auto" w:sz="4" w:space="0"/>
                  </w:tcBorders>
                  <w:vAlign w:val="center"/>
                </w:tcPr>
                <w:p w14:paraId="1410DB92">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1795" w:type="pct"/>
                  <w:tcBorders>
                    <w:top w:val="single" w:color="auto" w:sz="4" w:space="0"/>
                    <w:left w:val="single" w:color="auto" w:sz="4" w:space="0"/>
                    <w:bottom w:val="single" w:color="auto" w:sz="4" w:space="0"/>
                    <w:right w:val="single" w:color="auto" w:sz="4" w:space="0"/>
                  </w:tcBorders>
                  <w:vAlign w:val="center"/>
                </w:tcPr>
                <w:p w14:paraId="4823B8F2">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FF0000"/>
                      <w:kern w:val="0"/>
                      <w:sz w:val="18"/>
                      <w:szCs w:val="18"/>
                      <w:highlight w:val="none"/>
                      <w:lang w:val="en-US" w:eastAsia="zh-CN" w:bidi="ar-SA"/>
                    </w:rPr>
                  </w:pPr>
                  <w:r>
                    <w:rPr>
                      <w:rFonts w:hint="eastAsia" w:cs="Times New Roman"/>
                      <w:color w:val="FF0000"/>
                      <w:kern w:val="0"/>
                      <w:sz w:val="18"/>
                      <w:szCs w:val="18"/>
                      <w:highlight w:val="none"/>
                      <w:lang w:val="en-US" w:eastAsia="zh-CN" w:bidi="ar-SA"/>
                    </w:rPr>
                    <w:t>无组织粉尘排放</w:t>
                  </w:r>
                </w:p>
              </w:tc>
              <w:tc>
                <w:tcPr>
                  <w:tcW w:w="1151" w:type="pct"/>
                  <w:tcBorders>
                    <w:top w:val="single" w:color="auto" w:sz="4" w:space="0"/>
                    <w:left w:val="single" w:color="auto" w:sz="4" w:space="0"/>
                    <w:bottom w:val="single" w:color="auto" w:sz="4" w:space="0"/>
                    <w:right w:val="nil"/>
                  </w:tcBorders>
                  <w:vAlign w:val="center"/>
                </w:tcPr>
                <w:p w14:paraId="47F9FDDD">
                  <w:pPr>
                    <w:keepNext w:val="0"/>
                    <w:keepLines w:val="0"/>
                    <w:suppressLineNumbers w:val="0"/>
                    <w:spacing w:before="0" w:beforeAutospacing="0" w:after="0" w:afterAutospacing="0" w:line="240" w:lineRule="auto"/>
                    <w:ind w:left="0" w:right="0"/>
                    <w:contextualSpacing/>
                    <w:jc w:val="center"/>
                    <w:rPr>
                      <w:rFonts w:hint="default" w:ascii="Times New Roman" w:hAnsi="Times New Roman" w:eastAsia="宋体" w:cs="Times New Roman"/>
                      <w:color w:val="FF0000"/>
                      <w:kern w:val="0"/>
                      <w:sz w:val="18"/>
                      <w:szCs w:val="18"/>
                      <w:highlight w:val="none"/>
                      <w:lang w:val="en-US" w:eastAsia="zh-CN" w:bidi="ar-SA"/>
                    </w:rPr>
                  </w:pPr>
                  <w:r>
                    <w:rPr>
                      <w:rFonts w:hint="eastAsia" w:cs="Times New Roman"/>
                      <w:color w:val="FF0000"/>
                      <w:kern w:val="0"/>
                      <w:sz w:val="18"/>
                      <w:szCs w:val="18"/>
                      <w:highlight w:val="none"/>
                      <w:lang w:val="en-US" w:eastAsia="zh-CN" w:bidi="ar-SA"/>
                    </w:rPr>
                    <w:t>1.335</w:t>
                  </w:r>
                </w:p>
              </w:tc>
            </w:tr>
            <w:tr w14:paraId="28193C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309" w:type="pct"/>
                  <w:vMerge w:val="continue"/>
                  <w:tcBorders>
                    <w:left w:val="nil"/>
                    <w:right w:val="single" w:color="auto" w:sz="4" w:space="0"/>
                  </w:tcBorders>
                  <w:vAlign w:val="center"/>
                </w:tcPr>
                <w:p w14:paraId="5B303C50">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743" w:type="pct"/>
                  <w:vMerge w:val="continue"/>
                  <w:tcBorders>
                    <w:left w:val="single" w:color="auto" w:sz="4" w:space="0"/>
                    <w:right w:val="single" w:color="auto" w:sz="4" w:space="0"/>
                  </w:tcBorders>
                  <w:vAlign w:val="center"/>
                </w:tcPr>
                <w:p w14:paraId="5EDF08D8">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p>
              </w:tc>
              <w:tc>
                <w:tcPr>
                  <w:tcW w:w="1795" w:type="pct"/>
                  <w:tcBorders>
                    <w:top w:val="single" w:color="auto" w:sz="4" w:space="0"/>
                    <w:left w:val="single" w:color="auto" w:sz="4" w:space="0"/>
                    <w:bottom w:val="single" w:color="auto" w:sz="4" w:space="0"/>
                    <w:right w:val="single" w:color="auto" w:sz="4" w:space="0"/>
                  </w:tcBorders>
                  <w:vAlign w:val="center"/>
                </w:tcPr>
                <w:p w14:paraId="57EC2D7C">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及输送装卸、筛分、烘干</w:t>
                  </w:r>
                  <w:r>
                    <w:rPr>
                      <w:rFonts w:hint="eastAsia" w:cs="Times New Roman"/>
                      <w:color w:val="auto"/>
                      <w:sz w:val="18"/>
                      <w:szCs w:val="18"/>
                      <w:highlight w:val="none"/>
                      <w:lang w:val="en-US" w:eastAsia="zh-CN"/>
                    </w:rPr>
                    <w:t>收集粉尘</w:t>
                  </w:r>
                </w:p>
              </w:tc>
              <w:tc>
                <w:tcPr>
                  <w:tcW w:w="1151" w:type="pct"/>
                  <w:tcBorders>
                    <w:top w:val="single" w:color="auto" w:sz="4" w:space="0"/>
                    <w:left w:val="single" w:color="auto" w:sz="4" w:space="0"/>
                    <w:bottom w:val="single" w:color="auto" w:sz="4" w:space="0"/>
                    <w:right w:val="nil"/>
                  </w:tcBorders>
                  <w:vAlign w:val="center"/>
                </w:tcPr>
                <w:p w14:paraId="27A812E8">
                  <w:pPr>
                    <w:keepNext w:val="0"/>
                    <w:keepLines w:val="0"/>
                    <w:suppressLineNumbers w:val="0"/>
                    <w:spacing w:before="0" w:beforeAutospacing="0" w:after="0" w:afterAutospacing="0" w:line="240" w:lineRule="auto"/>
                    <w:ind w:left="0" w:right="0"/>
                    <w:contextualSpacing/>
                    <w:jc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34.247</w:t>
                  </w:r>
                </w:p>
              </w:tc>
            </w:tr>
            <w:tr w14:paraId="5B9A9B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1309" w:type="pct"/>
                  <w:tcBorders>
                    <w:top w:val="single" w:color="auto" w:sz="4" w:space="0"/>
                    <w:left w:val="nil"/>
                    <w:bottom w:val="single" w:color="auto" w:sz="12" w:space="0"/>
                    <w:right w:val="single" w:color="auto" w:sz="4" w:space="0"/>
                  </w:tcBorders>
                  <w:vAlign w:val="center"/>
                </w:tcPr>
                <w:p w14:paraId="2C27762F">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总计</w:t>
                  </w:r>
                </w:p>
              </w:tc>
              <w:tc>
                <w:tcPr>
                  <w:tcW w:w="743" w:type="pct"/>
                  <w:tcBorders>
                    <w:top w:val="single" w:color="auto" w:sz="4" w:space="0"/>
                    <w:left w:val="single" w:color="auto" w:sz="4" w:space="0"/>
                    <w:bottom w:val="single" w:color="auto" w:sz="12" w:space="0"/>
                    <w:right w:val="single" w:color="auto" w:sz="4" w:space="0"/>
                  </w:tcBorders>
                  <w:shd w:val="clear" w:color="auto" w:fill="auto"/>
                  <w:vAlign w:val="center"/>
                </w:tcPr>
                <w:p w14:paraId="310D8D4C">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bCs/>
                      <w:color w:val="auto"/>
                      <w:sz w:val="18"/>
                      <w:szCs w:val="18"/>
                      <w:highlight w:val="none"/>
                      <w:lang w:val="en-US" w:eastAsia="zh-CN"/>
                    </w:rPr>
                    <w:t>20000</w:t>
                  </w:r>
                </w:p>
              </w:tc>
              <w:tc>
                <w:tcPr>
                  <w:tcW w:w="1795" w:type="pct"/>
                  <w:tcBorders>
                    <w:top w:val="single" w:color="auto" w:sz="4" w:space="0"/>
                    <w:left w:val="single" w:color="auto" w:sz="4" w:space="0"/>
                    <w:bottom w:val="single" w:color="auto" w:sz="12" w:space="0"/>
                    <w:right w:val="single" w:color="auto" w:sz="4" w:space="0"/>
                  </w:tcBorders>
                  <w:vAlign w:val="center"/>
                </w:tcPr>
                <w:p w14:paraId="1D8CF618">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总计</w:t>
                  </w:r>
                </w:p>
              </w:tc>
              <w:tc>
                <w:tcPr>
                  <w:tcW w:w="1151" w:type="pct"/>
                  <w:tcBorders>
                    <w:top w:val="single" w:color="auto" w:sz="4" w:space="0"/>
                    <w:left w:val="single" w:color="auto" w:sz="4" w:space="0"/>
                    <w:bottom w:val="single" w:color="auto" w:sz="12" w:space="0"/>
                    <w:right w:val="nil"/>
                  </w:tcBorders>
                  <w:vAlign w:val="center"/>
                </w:tcPr>
                <w:p w14:paraId="150AC2F3">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bCs/>
                      <w:color w:val="auto"/>
                      <w:sz w:val="18"/>
                      <w:szCs w:val="18"/>
                      <w:highlight w:val="none"/>
                      <w:lang w:val="en-US" w:eastAsia="zh-CN"/>
                    </w:rPr>
                    <w:t>20000</w:t>
                  </w:r>
                </w:p>
              </w:tc>
            </w:tr>
          </w:tbl>
          <w:p w14:paraId="5D90314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eastAsia="宋体" w:cs="Times New Roman"/>
                <w:b/>
                <w:bCs/>
                <w:color w:val="auto"/>
                <w:kern w:val="21"/>
                <w:sz w:val="21"/>
                <w:szCs w:val="21"/>
                <w:highlight w:val="none"/>
                <w:lang w:val="en-US" w:eastAsia="zh-CN"/>
              </w:rPr>
              <w:t>5、劳动定员及工作制度</w:t>
            </w:r>
          </w:p>
          <w:p w14:paraId="098714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eastAsia" w:cs="Times New Roman"/>
                <w:color w:val="auto"/>
                <w:kern w:val="21"/>
                <w:sz w:val="21"/>
                <w:szCs w:val="21"/>
                <w:highlight w:val="none"/>
                <w:lang w:val="en-US" w:eastAsia="zh-CN"/>
              </w:rPr>
              <w:t>本项目工作人员10人，年工作100天，2班制，每班12h，年生产2400h。本项目不设食堂和宿舍。</w:t>
            </w:r>
          </w:p>
          <w:p w14:paraId="6F07CD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eastAsia"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lang w:val="en-US" w:eastAsia="zh-CN"/>
              </w:rPr>
              <w:t>6</w:t>
            </w:r>
            <w:r>
              <w:rPr>
                <w:rFonts w:hint="default" w:ascii="Times New Roman" w:hAnsi="Times New Roman" w:eastAsia="宋体" w:cs="Times New Roman"/>
                <w:b/>
                <w:bCs/>
                <w:color w:val="auto"/>
                <w:kern w:val="0"/>
                <w:sz w:val="21"/>
                <w:szCs w:val="21"/>
                <w:highlight w:val="none"/>
              </w:rPr>
              <w:t>、公</w:t>
            </w:r>
            <w:r>
              <w:rPr>
                <w:rFonts w:hint="eastAsia" w:cs="Times New Roman"/>
                <w:b/>
                <w:bCs/>
                <w:color w:val="auto"/>
                <w:kern w:val="0"/>
                <w:sz w:val="21"/>
                <w:szCs w:val="21"/>
                <w:highlight w:val="none"/>
                <w:lang w:val="en-US" w:eastAsia="zh-CN"/>
              </w:rPr>
              <w:t>用</w:t>
            </w:r>
            <w:r>
              <w:rPr>
                <w:rFonts w:hint="default" w:ascii="Times New Roman" w:hAnsi="Times New Roman" w:eastAsia="宋体" w:cs="Times New Roman"/>
                <w:b/>
                <w:bCs/>
                <w:color w:val="auto"/>
                <w:kern w:val="0"/>
                <w:sz w:val="21"/>
                <w:szCs w:val="21"/>
                <w:highlight w:val="none"/>
              </w:rPr>
              <w:t>工程</w:t>
            </w:r>
          </w:p>
          <w:p w14:paraId="0F05B1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（1）给水</w:t>
            </w:r>
          </w:p>
          <w:p w14:paraId="39F5E2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本项目用水由</w:t>
            </w:r>
            <w:r>
              <w:rPr>
                <w:rFonts w:hint="eastAsia" w:cs="Times New Roman"/>
                <w:color w:val="auto"/>
                <w:sz w:val="21"/>
                <w:szCs w:val="21"/>
                <w:highlight w:val="none"/>
                <w:lang w:val="en-US" w:eastAsia="zh-CN"/>
              </w:rPr>
              <w:t>发展村五组自来水供应</w:t>
            </w:r>
            <w:r>
              <w:rPr>
                <w:rFonts w:hint="default" w:ascii="Times New Roman" w:hAnsi="Times New Roman" w:eastAsia="宋体" w:cs="Times New Roman"/>
                <w:color w:val="auto"/>
                <w:sz w:val="21"/>
                <w:szCs w:val="21"/>
                <w:highlight w:val="none"/>
              </w:rPr>
              <w:t>，运营期用水主要为生活用水</w:t>
            </w:r>
            <w:r>
              <w:rPr>
                <w:rFonts w:hint="eastAsia" w:cs="Times New Roman"/>
                <w:color w:val="auto"/>
                <w:sz w:val="21"/>
                <w:szCs w:val="21"/>
                <w:highlight w:val="none"/>
                <w:lang w:eastAsia="zh-CN"/>
              </w:rPr>
              <w:t>及灰渣调湿用水</w:t>
            </w:r>
            <w:r>
              <w:rPr>
                <w:rFonts w:hint="default" w:ascii="Times New Roman" w:hAnsi="Times New Roman" w:eastAsia="宋体" w:cs="Times New Roman"/>
                <w:color w:val="auto"/>
                <w:sz w:val="21"/>
                <w:szCs w:val="21"/>
                <w:highlight w:val="none"/>
              </w:rPr>
              <w:t>。</w:t>
            </w:r>
          </w:p>
          <w:p w14:paraId="5330E6B5">
            <w:pPr>
              <w:pStyle w:val="2"/>
              <w:keepNext w:val="0"/>
              <w:keepLines w:val="0"/>
              <w:suppressLineNumbers w:val="0"/>
              <w:spacing w:beforeAutospacing="0" w:afterAutospacing="0"/>
              <w:ind w:left="0" w:firstLine="420" w:firstLineChars="200"/>
              <w:rPr>
                <w:rFonts w:hint="eastAsia"/>
                <w:sz w:val="21"/>
                <w:szCs w:val="21"/>
                <w:lang w:val="en-US" w:eastAsia="zh-CN"/>
              </w:rPr>
            </w:pPr>
            <w:r>
              <w:rPr>
                <w:rFonts w:hint="eastAsia" w:ascii="Times New Roman" w:hAnsi="Times New Roman" w:eastAsia="宋体" w:cs="Times New Roman"/>
                <w:color w:val="auto"/>
                <w:kern w:val="2"/>
                <w:sz w:val="21"/>
                <w:szCs w:val="21"/>
                <w:highlight w:val="none"/>
                <w:lang w:val="en-US" w:eastAsia="zh-CN" w:bidi="ar-SA"/>
              </w:rPr>
              <w:t>①生活用水</w:t>
            </w:r>
          </w:p>
          <w:p w14:paraId="03C67A5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本项目</w:t>
            </w:r>
            <w:r>
              <w:rPr>
                <w:rFonts w:hint="eastAsia" w:ascii="Times New Roman" w:hAnsi="Times New Roman" w:cs="Times New Roman"/>
                <w:color w:val="auto"/>
                <w:sz w:val="21"/>
                <w:szCs w:val="21"/>
                <w:highlight w:val="none"/>
                <w:lang w:val="en-US" w:eastAsia="zh-CN"/>
              </w:rPr>
              <w:t>工作人员1</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人</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职工生活用水参照《黑龙江省地方标准 用水定额》（DB23/T727-20</w:t>
            </w:r>
            <w:r>
              <w:rPr>
                <w:rFonts w:hint="eastAsia" w:cs="Times New Roman"/>
                <w:color w:val="auto"/>
                <w:sz w:val="21"/>
                <w:szCs w:val="21"/>
                <w:highlight w:val="none"/>
                <w:lang w:val="en-US" w:eastAsia="zh-CN"/>
              </w:rPr>
              <w:t>25</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生活用水取</w:t>
            </w:r>
            <w:r>
              <w:rPr>
                <w:rFonts w:hint="default" w:ascii="Times New Roman" w:hAnsi="Times New Roman" w:eastAsia="宋体" w:cs="Times New Roman"/>
                <w:color w:val="auto"/>
                <w:sz w:val="21"/>
                <w:szCs w:val="21"/>
                <w:highlight w:val="none"/>
                <w:lang w:val="en-US" w:eastAsia="zh-CN"/>
              </w:rPr>
              <w:t>80L</w:t>
            </w:r>
            <w:r>
              <w:rPr>
                <w:rFonts w:hint="eastAsia" w:ascii="Times New Roman" w:hAnsi="Times New Roman" w:eastAsia="宋体" w:cs="Times New Roman"/>
                <w:color w:val="auto"/>
                <w:sz w:val="21"/>
                <w:szCs w:val="21"/>
                <w:highlight w:val="none"/>
                <w:lang w:val="en-US" w:eastAsia="zh-CN"/>
              </w:rPr>
              <w:t>/人/</w:t>
            </w:r>
            <w:r>
              <w:rPr>
                <w:rFonts w:hint="default" w:ascii="Times New Roman" w:hAnsi="Times New Roman" w:eastAsia="宋体" w:cs="Times New Roman"/>
                <w:color w:val="auto"/>
                <w:sz w:val="21"/>
                <w:szCs w:val="21"/>
                <w:highlight w:val="none"/>
                <w:lang w:val="en-US" w:eastAsia="zh-CN"/>
              </w:rPr>
              <w:t>d</w:t>
            </w:r>
            <w:r>
              <w:rPr>
                <w:rFonts w:hint="eastAsia" w:ascii="Times New Roman" w:hAnsi="Times New Roman" w:eastAsia="宋体" w:cs="Times New Roman"/>
                <w:color w:val="auto"/>
                <w:sz w:val="21"/>
                <w:szCs w:val="21"/>
                <w:highlight w:val="none"/>
                <w:lang w:val="en-US" w:eastAsia="zh-CN"/>
              </w:rPr>
              <w:t>，因本项目不设置食堂</w:t>
            </w:r>
            <w:r>
              <w:rPr>
                <w:rFonts w:hint="eastAsia" w:cs="Times New Roman"/>
                <w:color w:val="auto"/>
                <w:sz w:val="21"/>
                <w:szCs w:val="21"/>
                <w:highlight w:val="none"/>
                <w:lang w:val="en-US" w:eastAsia="zh-CN"/>
              </w:rPr>
              <w:t>、宿舍</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生活用水按</w:t>
            </w:r>
            <w:r>
              <w:rPr>
                <w:rFonts w:hint="eastAsia" w:ascii="Times New Roman" w:hAnsi="Times New Roman" w:eastAsia="宋体" w:cs="Times New Roman"/>
                <w:color w:val="auto"/>
                <w:sz w:val="21"/>
                <w:szCs w:val="21"/>
                <w:highlight w:val="none"/>
                <w:lang w:val="en-US" w:eastAsia="zh-CN"/>
              </w:rPr>
              <w:t>40</w:t>
            </w:r>
            <w:r>
              <w:rPr>
                <w:rFonts w:hint="default" w:ascii="Times New Roman" w:hAnsi="Times New Roman" w:eastAsia="宋体" w:cs="Times New Roman"/>
                <w:color w:val="auto"/>
                <w:sz w:val="21"/>
                <w:szCs w:val="21"/>
                <w:highlight w:val="none"/>
                <w:lang w:val="en-US" w:eastAsia="zh-CN"/>
              </w:rPr>
              <w:t>L/人·d计，则生活用水量为</w:t>
            </w: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t/d，</w:t>
            </w:r>
            <w:r>
              <w:rPr>
                <w:rFonts w:hint="eastAsia" w:cs="Times New Roman"/>
                <w:color w:val="auto"/>
                <w:sz w:val="21"/>
                <w:szCs w:val="21"/>
                <w:highlight w:val="none"/>
                <w:lang w:val="en-US" w:eastAsia="zh-CN"/>
              </w:rPr>
              <w:t>40</w:t>
            </w:r>
            <w:r>
              <w:rPr>
                <w:rFonts w:hint="default" w:ascii="Times New Roman" w:hAnsi="Times New Roman" w:eastAsia="宋体" w:cs="Times New Roman"/>
                <w:color w:val="auto"/>
                <w:sz w:val="21"/>
                <w:szCs w:val="21"/>
                <w:highlight w:val="none"/>
                <w:lang w:val="en-US" w:eastAsia="zh-CN"/>
              </w:rPr>
              <w:t>t/a</w:t>
            </w:r>
            <w:r>
              <w:rPr>
                <w:rFonts w:hint="eastAsia" w:ascii="Times New Roman" w:hAnsi="Times New Roman" w:eastAsia="宋体" w:cs="Times New Roman"/>
                <w:color w:val="auto"/>
                <w:sz w:val="21"/>
                <w:szCs w:val="21"/>
                <w:highlight w:val="none"/>
                <w:lang w:val="en-US" w:eastAsia="zh-CN"/>
              </w:rPr>
              <w:t>。</w:t>
            </w:r>
          </w:p>
          <w:p w14:paraId="0BED4404">
            <w:pPr>
              <w:pStyle w:val="2"/>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kern w:val="2"/>
                <w:sz w:val="21"/>
                <w:szCs w:val="21"/>
                <w:highlight w:val="none"/>
                <w:lang w:val="en-US" w:eastAsia="zh-CN" w:bidi="ar-SA"/>
              </w:rPr>
              <w:t>②</w:t>
            </w:r>
            <w:r>
              <w:rPr>
                <w:rFonts w:hint="eastAsia" w:ascii="Times New Roman" w:hAnsi="Times New Roman" w:eastAsia="宋体" w:cs="Times New Roman"/>
                <w:color w:val="FF0000"/>
                <w:kern w:val="2"/>
                <w:sz w:val="21"/>
                <w:szCs w:val="21"/>
                <w:highlight w:val="none"/>
                <w:lang w:val="en-US" w:eastAsia="zh-CN" w:bidi="ar-SA"/>
              </w:rPr>
              <w:t>洒水降尘用水、</w:t>
            </w:r>
            <w:r>
              <w:rPr>
                <w:rFonts w:hint="default" w:ascii="Times New Roman" w:hAnsi="Times New Roman" w:eastAsia="宋体" w:cs="Times New Roman"/>
                <w:color w:val="FF0000"/>
                <w:kern w:val="2"/>
                <w:sz w:val="21"/>
                <w:szCs w:val="21"/>
                <w:highlight w:val="none"/>
                <w:lang w:val="en-US" w:eastAsia="zh-CN" w:bidi="ar-SA"/>
              </w:rPr>
              <w:t>灰渣调湿用水</w:t>
            </w:r>
          </w:p>
          <w:p w14:paraId="7D1927FA">
            <w:pPr>
              <w:pStyle w:val="3"/>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本项目热风炉房、灰渣间需定期洒水降尘减少无组织颗粒物排放，参考黑龙江用水定额（DB23/T 727-202</w:t>
            </w:r>
            <w:r>
              <w:rPr>
                <w:rFonts w:hint="eastAsia" w:ascii="Times New Roman" w:cs="Times New Roman"/>
                <w:color w:val="FF0000"/>
                <w:sz w:val="21"/>
                <w:szCs w:val="21"/>
                <w:highlight w:val="none"/>
                <w:lang w:val="en-US" w:eastAsia="zh-CN"/>
              </w:rPr>
              <w:t>5</w:t>
            </w:r>
            <w:r>
              <w:rPr>
                <w:rFonts w:hint="eastAsia" w:ascii="Times New Roman" w:hAnsi="Times New Roman" w:cs="Times New Roman"/>
                <w:color w:val="FF0000"/>
                <w:sz w:val="21"/>
                <w:szCs w:val="21"/>
                <w:highlight w:val="none"/>
                <w:lang w:val="en-US" w:eastAsia="zh-CN"/>
              </w:rPr>
              <w:t>），环境卫生管理，浇洒道路用水量为</w:t>
            </w:r>
            <w:r>
              <w:rPr>
                <w:rFonts w:hint="default" w:ascii="Times New Roman" w:hAnsi="Times New Roman" w:cs="Times New Roman"/>
                <w:color w:val="FF0000"/>
                <w:sz w:val="21"/>
                <w:szCs w:val="21"/>
                <w:highlight w:val="none"/>
                <w:lang w:val="en-US" w:eastAsia="zh-CN"/>
              </w:rPr>
              <w:t>2L/（m</w:t>
            </w:r>
            <w:r>
              <w:rPr>
                <w:rFonts w:hint="default" w:ascii="Times New Roman" w:hAnsi="Times New Roman" w:cs="Times New Roman"/>
                <w:color w:val="FF0000"/>
                <w:sz w:val="21"/>
                <w:szCs w:val="21"/>
                <w:highlight w:val="none"/>
                <w:vertAlign w:val="superscript"/>
                <w:lang w:val="en-US" w:eastAsia="zh-CN"/>
              </w:rPr>
              <w:t>2</w:t>
            </w:r>
            <w:r>
              <w:rPr>
                <w:rFonts w:hint="default" w:ascii="Times New Roman" w:hAnsi="Times New Roman" w:cs="Times New Roman"/>
                <w:color w:val="FF0000"/>
                <w:sz w:val="21"/>
                <w:szCs w:val="21"/>
                <w:highlight w:val="none"/>
                <w:lang w:val="en-US" w:eastAsia="zh-CN"/>
              </w:rPr>
              <w:t>·d）</w:t>
            </w:r>
            <w:r>
              <w:rPr>
                <w:rFonts w:hint="eastAsia" w:ascii="Times New Roman" w:hAnsi="Times New Roman" w:cs="Times New Roman"/>
                <w:color w:val="FF0000"/>
                <w:sz w:val="21"/>
                <w:szCs w:val="21"/>
                <w:highlight w:val="none"/>
                <w:lang w:val="en-US" w:eastAsia="zh-CN"/>
              </w:rPr>
              <w:t>，本项目灰渣间位于热风炉房内，热风炉房面积为250.82m</w:t>
            </w:r>
            <w:r>
              <w:rPr>
                <w:rFonts w:hint="eastAsia" w:ascii="Times New Roman" w:hAnsi="Times New Roman" w:cs="Times New Roman"/>
                <w:color w:val="FF0000"/>
                <w:sz w:val="21"/>
                <w:szCs w:val="21"/>
                <w:highlight w:val="none"/>
                <w:vertAlign w:val="superscript"/>
                <w:lang w:val="en-US" w:eastAsia="zh-CN"/>
              </w:rPr>
              <w:t>2</w:t>
            </w:r>
            <w:r>
              <w:rPr>
                <w:rFonts w:hint="eastAsia" w:ascii="Times New Roman" w:hAnsi="Times New Roman" w:cs="Times New Roman"/>
                <w:color w:val="FF0000"/>
                <w:sz w:val="21"/>
                <w:szCs w:val="21"/>
                <w:highlight w:val="none"/>
                <w:lang w:val="en-US" w:eastAsia="zh-CN"/>
              </w:rPr>
              <w:t>，年生产100天，洒水降尘用量为0.501t/d、50.1t/a，</w:t>
            </w:r>
            <w:r>
              <w:rPr>
                <w:rFonts w:hint="default" w:ascii="Times New Roman" w:hAnsi="Times New Roman" w:eastAsia="宋体" w:cs="Times New Roman"/>
                <w:color w:val="FF0000"/>
                <w:kern w:val="2"/>
                <w:sz w:val="21"/>
                <w:szCs w:val="21"/>
                <w:highlight w:val="none"/>
                <w:lang w:val="en-US" w:eastAsia="zh-CN" w:bidi="ar-SA"/>
              </w:rPr>
              <w:t>本项目灰渣产生量为</w:t>
            </w:r>
            <w:r>
              <w:rPr>
                <w:rFonts w:hint="eastAsia" w:ascii="Times New Roman" w:cs="Times New Roman"/>
                <w:color w:val="FF0000"/>
                <w:sz w:val="21"/>
                <w:szCs w:val="21"/>
                <w:highlight w:val="none"/>
                <w:lang w:val="en-US" w:eastAsia="zh-CN"/>
              </w:rPr>
              <w:t>169.729</w:t>
            </w:r>
            <w:r>
              <w:rPr>
                <w:rFonts w:hint="default" w:ascii="Times New Roman" w:hAnsi="Times New Roman" w:cs="Times New Roman"/>
                <w:color w:val="FF0000"/>
                <w:sz w:val="21"/>
                <w:szCs w:val="21"/>
                <w:highlight w:val="none"/>
                <w:lang w:val="en-US" w:eastAsia="zh-CN"/>
              </w:rPr>
              <w:t>t/a，</w:t>
            </w:r>
            <w:r>
              <w:rPr>
                <w:rFonts w:hint="default" w:ascii="Times New Roman" w:hAnsi="Times New Roman" w:eastAsia="宋体" w:cs="Times New Roman"/>
                <w:color w:val="FF0000"/>
                <w:kern w:val="2"/>
                <w:sz w:val="21"/>
                <w:szCs w:val="21"/>
                <w:highlight w:val="none"/>
                <w:lang w:val="en-US" w:eastAsia="zh-CN" w:bidi="ar-SA"/>
              </w:rPr>
              <w:t xml:space="preserve"> 本项目</w:t>
            </w:r>
            <w:r>
              <w:rPr>
                <w:rFonts w:hint="default" w:ascii="Times New Roman" w:hAnsi="Times New Roman" w:cs="Times New Roman"/>
                <w:color w:val="FF0000"/>
                <w:sz w:val="21"/>
                <w:szCs w:val="21"/>
                <w:highlight w:val="none"/>
                <w:lang w:val="en-US" w:eastAsia="zh-CN"/>
              </w:rPr>
              <w:t>参考《火力发电厂干式贮灰场设计规程》（DL/T 5488-2014），项目灰渣调湿水按灰渣量4%计算</w:t>
            </w:r>
            <w:r>
              <w:rPr>
                <w:rFonts w:hint="eastAsia" w:ascii="Times New Roman" w:hAnsi="Times New Roman" w:cs="Times New Roman"/>
                <w:color w:val="FF0000"/>
                <w:sz w:val="21"/>
                <w:szCs w:val="21"/>
                <w:highlight w:val="none"/>
                <w:lang w:val="en-US" w:eastAsia="zh-CN"/>
              </w:rPr>
              <w:t>，</w:t>
            </w:r>
            <w:r>
              <w:rPr>
                <w:rFonts w:hint="eastAsia" w:ascii="Times New Roman" w:hAnsi="Times New Roman" w:eastAsia="宋体" w:cs="Times New Roman"/>
                <w:color w:val="FF0000"/>
                <w:sz w:val="21"/>
                <w:szCs w:val="21"/>
                <w:highlight w:val="none"/>
                <w:lang w:val="en-US" w:eastAsia="zh-CN"/>
              </w:rPr>
              <w:t>灰渣调湿用水量为</w:t>
            </w:r>
            <w:r>
              <w:rPr>
                <w:rFonts w:hint="default" w:ascii="Times New Roman" w:hAnsi="Times New Roman" w:eastAsia="宋体" w:cs="Times New Roman"/>
                <w:color w:val="FF0000"/>
                <w:sz w:val="21"/>
                <w:szCs w:val="21"/>
                <w:highlight w:val="none"/>
                <w:lang w:val="en-US" w:eastAsia="zh-CN"/>
              </w:rPr>
              <w:t>0</w:t>
            </w:r>
            <w:r>
              <w:rPr>
                <w:rFonts w:hint="eastAsia"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0</w:t>
            </w:r>
            <w:r>
              <w:rPr>
                <w:rFonts w:hint="eastAsia" w:ascii="Times New Roman" w:cs="Times New Roman"/>
                <w:color w:val="FF0000"/>
                <w:sz w:val="21"/>
                <w:szCs w:val="21"/>
                <w:highlight w:val="none"/>
                <w:lang w:val="en-US" w:eastAsia="zh-CN"/>
              </w:rPr>
              <w:t>679</w:t>
            </w:r>
            <w:r>
              <w:rPr>
                <w:rFonts w:hint="default" w:ascii="Times New Roman" w:hAnsi="Times New Roman" w:eastAsia="宋体" w:cs="Times New Roman"/>
                <w:color w:val="FF0000"/>
                <w:sz w:val="21"/>
                <w:szCs w:val="21"/>
                <w:highlight w:val="none"/>
                <w:lang w:val="en-US" w:eastAsia="zh-CN"/>
              </w:rPr>
              <w:t>t</w:t>
            </w:r>
            <w:r>
              <w:rPr>
                <w:rFonts w:hint="eastAsia"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d</w:t>
            </w:r>
            <w:r>
              <w:rPr>
                <w:rFonts w:hint="eastAsia" w:ascii="Times New Roman" w:hAnsi="Times New Roman" w:eastAsia="宋体" w:cs="Times New Roman"/>
                <w:color w:val="FF0000"/>
                <w:sz w:val="21"/>
                <w:szCs w:val="21"/>
                <w:highlight w:val="none"/>
                <w:lang w:val="en-US" w:eastAsia="zh-CN"/>
              </w:rPr>
              <w:t>、</w:t>
            </w:r>
            <w:r>
              <w:rPr>
                <w:rFonts w:hint="eastAsia" w:ascii="Times New Roman" w:cs="Times New Roman"/>
                <w:color w:val="FF0000"/>
                <w:sz w:val="21"/>
                <w:szCs w:val="21"/>
                <w:highlight w:val="none"/>
                <w:lang w:val="en-US" w:eastAsia="zh-CN"/>
              </w:rPr>
              <w:t>6.789</w:t>
            </w:r>
            <w:r>
              <w:rPr>
                <w:rFonts w:hint="eastAsia" w:ascii="Times New Roman" w:hAnsi="Times New Roman" w:eastAsia="宋体" w:cs="Times New Roman"/>
                <w:color w:val="FF0000"/>
                <w:sz w:val="21"/>
                <w:szCs w:val="21"/>
                <w:highlight w:val="none"/>
                <w:lang w:val="en-US" w:eastAsia="zh-CN"/>
              </w:rPr>
              <w:t>t/a。</w:t>
            </w:r>
          </w:p>
          <w:p w14:paraId="309C025E">
            <w:pPr>
              <w:pStyle w:val="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sz w:val="21"/>
                <w:szCs w:val="21"/>
                <w:lang w:val="en-US" w:eastAsia="zh-CN"/>
              </w:rPr>
            </w:pPr>
            <w:r>
              <w:rPr>
                <w:rFonts w:hint="eastAsia" w:cs="Times New Roman"/>
                <w:color w:val="FF0000"/>
                <w:sz w:val="21"/>
                <w:szCs w:val="21"/>
                <w:highlight w:val="none"/>
                <w:lang w:val="en-US" w:eastAsia="zh-CN"/>
              </w:rPr>
              <w:t>综上所述本项目总用水量为96.889t/a。</w:t>
            </w:r>
          </w:p>
          <w:p w14:paraId="603B065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（2）排水</w:t>
            </w:r>
          </w:p>
          <w:p w14:paraId="45CEEA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both"/>
              <w:textAlignment w:val="auto"/>
              <w:rPr>
                <w:rFonts w:hint="eastAsia"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①生活污水</w:t>
            </w:r>
          </w:p>
          <w:p w14:paraId="3319FA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both"/>
              <w:textAlignment w:val="auto"/>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生活污水按用水量的</w:t>
            </w:r>
            <w:r>
              <w:rPr>
                <w:rFonts w:hint="default" w:ascii="Times New Roman" w:hAnsi="Times New Roman" w:eastAsia="宋体" w:cs="Times New Roman"/>
                <w:color w:val="FF0000"/>
                <w:sz w:val="21"/>
                <w:szCs w:val="21"/>
                <w:highlight w:val="none"/>
                <w:lang w:val="en-US" w:eastAsia="zh-CN"/>
              </w:rPr>
              <w:t>80</w:t>
            </w:r>
            <w:r>
              <w:rPr>
                <w:rFonts w:hint="eastAsia" w:ascii="Times New Roman" w:hAnsi="Times New Roman" w:eastAsia="宋体" w:cs="Times New Roman"/>
                <w:color w:val="FF0000"/>
                <w:sz w:val="21"/>
                <w:szCs w:val="21"/>
                <w:highlight w:val="none"/>
                <w:lang w:val="en-US" w:eastAsia="zh-CN"/>
              </w:rPr>
              <w:t>%计算，污水总量为0.</w:t>
            </w:r>
            <w:r>
              <w:rPr>
                <w:rFonts w:hint="eastAsia" w:cs="Times New Roman"/>
                <w:color w:val="FF0000"/>
                <w:sz w:val="21"/>
                <w:szCs w:val="21"/>
                <w:highlight w:val="none"/>
                <w:lang w:val="en-US" w:eastAsia="zh-CN"/>
              </w:rPr>
              <w:t>32</w:t>
            </w:r>
            <w:r>
              <w:rPr>
                <w:rFonts w:hint="default" w:ascii="Times New Roman" w:hAnsi="Times New Roman" w:eastAsia="宋体" w:cs="Times New Roman"/>
                <w:color w:val="FF0000"/>
                <w:sz w:val="21"/>
                <w:szCs w:val="21"/>
                <w:highlight w:val="none"/>
                <w:lang w:val="en-US" w:eastAsia="zh-CN"/>
              </w:rPr>
              <w:t>t</w:t>
            </w:r>
            <w:r>
              <w:rPr>
                <w:rFonts w:hint="eastAsia"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d</w:t>
            </w:r>
            <w:r>
              <w:rPr>
                <w:rFonts w:hint="eastAsia" w:ascii="Times New Roman" w:hAnsi="Times New Roman" w:eastAsia="宋体" w:cs="Times New Roman"/>
                <w:color w:val="FF0000"/>
                <w:sz w:val="21"/>
                <w:szCs w:val="21"/>
                <w:highlight w:val="none"/>
                <w:lang w:val="en-US" w:eastAsia="zh-CN"/>
              </w:rPr>
              <w:t>，</w:t>
            </w:r>
            <w:r>
              <w:rPr>
                <w:rFonts w:hint="eastAsia" w:cs="Times New Roman"/>
                <w:color w:val="FF0000"/>
                <w:sz w:val="21"/>
                <w:szCs w:val="21"/>
                <w:highlight w:val="none"/>
                <w:lang w:val="en-US" w:eastAsia="zh-CN"/>
              </w:rPr>
              <w:t>32</w:t>
            </w:r>
            <w:r>
              <w:rPr>
                <w:rFonts w:hint="eastAsia" w:ascii="Times New Roman" w:hAnsi="Times New Roman" w:eastAsia="宋体" w:cs="Times New Roman"/>
                <w:color w:val="FF0000"/>
                <w:sz w:val="21"/>
                <w:szCs w:val="21"/>
                <w:highlight w:val="none"/>
                <w:lang w:val="en-US" w:eastAsia="zh-CN"/>
              </w:rPr>
              <w:t>t/</w:t>
            </w:r>
            <w:r>
              <w:rPr>
                <w:rFonts w:hint="default" w:ascii="Times New Roman" w:hAnsi="Times New Roman" w:eastAsia="宋体" w:cs="Times New Roman"/>
                <w:color w:val="FF0000"/>
                <w:sz w:val="21"/>
                <w:szCs w:val="21"/>
                <w:highlight w:val="none"/>
                <w:lang w:val="en-US" w:eastAsia="zh-CN"/>
              </w:rPr>
              <w:t>a</w:t>
            </w:r>
            <w:r>
              <w:rPr>
                <w:rFonts w:hint="eastAsia" w:ascii="Times New Roman" w:hAnsi="Times New Roman" w:eastAsia="宋体" w:cs="Times New Roman"/>
                <w:color w:val="FF0000"/>
                <w:sz w:val="21"/>
                <w:szCs w:val="21"/>
                <w:highlight w:val="none"/>
                <w:lang w:val="en-US" w:eastAsia="zh-CN"/>
              </w:rPr>
              <w:t>。生活污水主要污染物为</w:t>
            </w:r>
            <w:r>
              <w:rPr>
                <w:rFonts w:hint="default" w:ascii="Times New Roman" w:hAnsi="Times New Roman" w:eastAsia="宋体" w:cs="Times New Roman"/>
                <w:color w:val="FF0000"/>
                <w:sz w:val="21"/>
                <w:szCs w:val="21"/>
                <w:highlight w:val="none"/>
                <w:lang w:val="en-US" w:eastAsia="zh-CN"/>
              </w:rPr>
              <w:t>COD</w:t>
            </w:r>
            <w:r>
              <w:rPr>
                <w:rFonts w:hint="eastAsia"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BOD</w:t>
            </w:r>
            <w:r>
              <w:rPr>
                <w:rFonts w:hint="default" w:ascii="Times New Roman" w:hAnsi="Times New Roman" w:eastAsia="宋体" w:cs="Times New Roman"/>
                <w:color w:val="FF0000"/>
                <w:sz w:val="21"/>
                <w:szCs w:val="21"/>
                <w:highlight w:val="none"/>
                <w:vertAlign w:val="subscript"/>
                <w:lang w:val="en-US" w:eastAsia="zh-CN"/>
              </w:rPr>
              <w:t>5</w:t>
            </w:r>
            <w:r>
              <w:rPr>
                <w:rFonts w:hint="eastAsia"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SS</w:t>
            </w:r>
            <w:r>
              <w:rPr>
                <w:rFonts w:hint="eastAsia" w:ascii="Times New Roman" w:hAnsi="Times New Roman" w:eastAsia="宋体" w:cs="Times New Roman"/>
                <w:color w:val="FF0000"/>
                <w:sz w:val="21"/>
                <w:szCs w:val="21"/>
                <w:highlight w:val="none"/>
                <w:lang w:val="en-US" w:eastAsia="zh-CN"/>
              </w:rPr>
              <w:t>和氨氮。生活污水排入防渗旱厕，定期清掏，外运堆肥，不外排。</w:t>
            </w:r>
          </w:p>
          <w:p w14:paraId="0348CBA9">
            <w:pPr>
              <w:pStyle w:val="2"/>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②洒水降尘用水、灰渣调湿用水</w:t>
            </w:r>
          </w:p>
          <w:p w14:paraId="087C4342">
            <w:pPr>
              <w:pStyle w:val="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textAlignment w:val="auto"/>
              <w:rPr>
                <w:rFonts w:hint="eastAsia"/>
                <w:sz w:val="21"/>
                <w:szCs w:val="21"/>
                <w:lang w:eastAsia="zh-CN"/>
              </w:rPr>
            </w:pPr>
            <w:r>
              <w:rPr>
                <w:rFonts w:hint="eastAsia" w:cs="Times New Roman"/>
                <w:color w:val="FF0000"/>
                <w:sz w:val="21"/>
                <w:szCs w:val="21"/>
                <w:highlight w:val="none"/>
                <w:lang w:val="en-US" w:eastAsia="zh-CN"/>
              </w:rPr>
              <w:t>灰渣调湿用水、洒水降尘用水全部自然蒸发，不外排。</w:t>
            </w:r>
          </w:p>
          <w:p w14:paraId="384F745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jc w:val="center"/>
              <w:textAlignment w:val="auto"/>
              <w:rPr>
                <w:rFonts w:hint="eastAsia" w:eastAsia="宋体"/>
                <w:lang w:eastAsia="zh-CN"/>
              </w:rPr>
            </w:pPr>
            <w:r>
              <w:rPr>
                <w:rFonts w:hint="eastAsia" w:eastAsia="宋体"/>
                <w:lang w:eastAsia="zh-CN"/>
              </w:rPr>
              <w:drawing>
                <wp:inline distT="0" distB="0" distL="114300" distR="114300">
                  <wp:extent cx="3543300" cy="2324100"/>
                  <wp:effectExtent l="0" t="0" r="0" b="0"/>
                  <wp:docPr id="16" name="图片 16"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2"/>
                          <pic:cNvPicPr>
                            <a:picLocks noChangeAspect="1"/>
                          </pic:cNvPicPr>
                        </pic:nvPicPr>
                        <pic:blipFill>
                          <a:blip r:embed="rId10"/>
                          <a:stretch>
                            <a:fillRect/>
                          </a:stretch>
                        </pic:blipFill>
                        <pic:spPr>
                          <a:xfrm>
                            <a:off x="0" y="0"/>
                            <a:ext cx="3543300" cy="2324100"/>
                          </a:xfrm>
                          <a:prstGeom prst="rect">
                            <a:avLst/>
                          </a:prstGeom>
                        </pic:spPr>
                      </pic:pic>
                    </a:graphicData>
                  </a:graphic>
                </wp:inline>
              </w:drawing>
            </w:r>
          </w:p>
          <w:p w14:paraId="6C1FF0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outlineLvl w:val="9"/>
              <w:rPr>
                <w:rFonts w:hint="eastAsia"/>
                <w:color w:val="FF0000"/>
                <w:lang w:eastAsia="zh-CN"/>
              </w:rPr>
            </w:pPr>
            <w:r>
              <w:rPr>
                <w:rFonts w:hint="eastAsia" w:ascii="Times New Roman" w:hAnsi="Times New Roman" w:eastAsia="宋体" w:cs="Times New Roman"/>
                <w:b/>
                <w:bCs/>
                <w:color w:val="FF0000"/>
                <w:sz w:val="21"/>
                <w:szCs w:val="21"/>
                <w:highlight w:val="none"/>
                <w:lang w:val="en-US" w:eastAsia="zh-CN"/>
              </w:rPr>
              <w:t>图2-</w:t>
            </w:r>
            <w:r>
              <w:rPr>
                <w:rFonts w:hint="eastAsia" w:cs="Times New Roman"/>
                <w:b/>
                <w:bCs/>
                <w:color w:val="FF0000"/>
                <w:sz w:val="21"/>
                <w:szCs w:val="21"/>
                <w:highlight w:val="none"/>
                <w:lang w:val="en-US" w:eastAsia="zh-CN"/>
              </w:rPr>
              <w:t>1</w:t>
            </w:r>
            <w:r>
              <w:rPr>
                <w:rFonts w:hint="eastAsia" w:ascii="Times New Roman" w:hAnsi="Times New Roman" w:eastAsia="宋体" w:cs="Times New Roman"/>
                <w:b/>
                <w:bCs/>
                <w:color w:val="FF0000"/>
                <w:sz w:val="21"/>
                <w:szCs w:val="21"/>
                <w:highlight w:val="none"/>
                <w:lang w:val="en-US" w:eastAsia="zh-CN"/>
              </w:rPr>
              <w:t>水量平衡图（</w:t>
            </w:r>
            <w:r>
              <w:rPr>
                <w:rFonts w:hint="eastAsia" w:eastAsia="宋体" w:cs="Times New Roman"/>
                <w:b/>
                <w:bCs/>
                <w:color w:val="FF0000"/>
                <w:sz w:val="21"/>
                <w:szCs w:val="21"/>
                <w:highlight w:val="none"/>
                <w:lang w:val="en-US" w:eastAsia="zh-CN"/>
              </w:rPr>
              <w:t>t</w:t>
            </w:r>
            <w:r>
              <w:rPr>
                <w:rFonts w:hint="eastAsia" w:ascii="Times New Roman" w:hAnsi="Times New Roman" w:eastAsia="宋体" w:cs="Times New Roman"/>
                <w:b/>
                <w:bCs/>
                <w:color w:val="FF0000"/>
                <w:sz w:val="21"/>
                <w:szCs w:val="21"/>
                <w:highlight w:val="none"/>
                <w:lang w:val="en-US" w:eastAsia="zh-CN"/>
              </w:rPr>
              <w:t>/</w:t>
            </w:r>
            <w:r>
              <w:rPr>
                <w:rFonts w:hint="eastAsia" w:cs="Times New Roman"/>
                <w:b/>
                <w:bCs/>
                <w:color w:val="FF0000"/>
                <w:sz w:val="21"/>
                <w:szCs w:val="21"/>
                <w:highlight w:val="none"/>
                <w:lang w:val="en-US" w:eastAsia="zh-CN"/>
              </w:rPr>
              <w:t>a</w:t>
            </w:r>
            <w:r>
              <w:rPr>
                <w:rFonts w:hint="eastAsia" w:ascii="Times New Roman" w:hAnsi="Times New Roman" w:eastAsia="宋体" w:cs="Times New Roman"/>
                <w:b/>
                <w:bCs/>
                <w:color w:val="FF0000"/>
                <w:sz w:val="21"/>
                <w:szCs w:val="21"/>
                <w:highlight w:val="none"/>
                <w:lang w:val="en-US" w:eastAsia="zh-CN"/>
              </w:rPr>
              <w:t>）</w:t>
            </w:r>
          </w:p>
          <w:p w14:paraId="67497F5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jc w:val="both"/>
              <w:textAlignment w:val="auto"/>
              <w:rPr>
                <w:rFonts w:hint="default" w:ascii="Times New Roman" w:hAnsi="Times New Roman" w:cs="Times New Roman"/>
                <w:color w:val="auto"/>
                <w:szCs w:val="21"/>
                <w:highlight w:val="none"/>
              </w:rPr>
            </w:pPr>
            <w:r>
              <w:rPr>
                <w:rFonts w:hint="eastAsia" w:cs="Times New Roman"/>
                <w:color w:val="auto"/>
                <w:szCs w:val="21"/>
                <w:highlight w:val="none"/>
                <w:lang w:eastAsia="zh-CN"/>
              </w:rPr>
              <w:t>（</w:t>
            </w: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rPr>
              <w:t>供热</w:t>
            </w:r>
            <w:r>
              <w:rPr>
                <w:rFonts w:hint="eastAsia" w:cs="Times New Roman"/>
                <w:color w:val="auto"/>
                <w:szCs w:val="21"/>
                <w:highlight w:val="none"/>
                <w:lang w:val="en-US" w:eastAsia="zh-CN"/>
              </w:rPr>
              <w:t>供暖</w:t>
            </w:r>
            <w:r>
              <w:rPr>
                <w:rFonts w:hint="default" w:ascii="Times New Roman" w:hAnsi="Times New Roman" w:cs="Times New Roman"/>
                <w:color w:val="auto"/>
                <w:szCs w:val="21"/>
                <w:highlight w:val="none"/>
              </w:rPr>
              <w:t>：</w:t>
            </w:r>
          </w:p>
          <w:p w14:paraId="6C37979C">
            <w:pPr>
              <w:pStyle w:val="7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firstLineChars="200"/>
              <w:jc w:val="both"/>
              <w:rPr>
                <w:rFonts w:hint="default" w:ascii="Times New Roman" w:hAnsi="Times New Roman"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eastAsia="zh-CN"/>
              </w:rPr>
              <w:t>本项目</w:t>
            </w:r>
            <w:r>
              <w:rPr>
                <w:rFonts w:hint="eastAsia" w:cs="Times New Roman"/>
                <w:b w:val="0"/>
                <w:bCs/>
                <w:color w:val="auto"/>
                <w:sz w:val="21"/>
                <w:szCs w:val="21"/>
                <w:highlight w:val="none"/>
                <w:lang w:eastAsia="zh-CN"/>
              </w:rPr>
              <w:t>由</w:t>
            </w:r>
            <w:r>
              <w:rPr>
                <w:rFonts w:hint="eastAsia" w:cs="Times New Roman"/>
                <w:b w:val="0"/>
                <w:bCs/>
                <w:color w:val="auto"/>
                <w:sz w:val="21"/>
                <w:szCs w:val="21"/>
                <w:highlight w:val="none"/>
                <w:lang w:val="en-US" w:eastAsia="zh-CN"/>
              </w:rPr>
              <w:t>1台</w:t>
            </w:r>
            <w:r>
              <w:rPr>
                <w:rFonts w:hint="eastAsia" w:cs="Times New Roman"/>
                <w:b w:val="0"/>
                <w:bCs w:val="0"/>
                <w:color w:val="auto"/>
                <w:kern w:val="0"/>
                <w:sz w:val="21"/>
                <w:szCs w:val="21"/>
                <w:highlight w:val="none"/>
                <w:lang w:val="en-US" w:eastAsia="zh-CN"/>
              </w:rPr>
              <w:t>5t/h燃生物质热风炉</w:t>
            </w:r>
            <w:r>
              <w:rPr>
                <w:rFonts w:hint="default" w:ascii="Times New Roman" w:hAnsi="Times New Roman" w:eastAsia="宋体" w:cs="Times New Roman"/>
                <w:b w:val="0"/>
                <w:bCs w:val="0"/>
                <w:color w:val="auto"/>
                <w:sz w:val="21"/>
                <w:szCs w:val="21"/>
                <w:highlight w:val="none"/>
                <w:lang w:val="en-US" w:eastAsia="zh-CN"/>
              </w:rPr>
              <w:t>，用于生产用热，年运行</w:t>
            </w:r>
            <w:r>
              <w:rPr>
                <w:rFonts w:hint="eastAsia" w:cs="Times New Roman"/>
                <w:b w:val="0"/>
                <w:bCs w:val="0"/>
                <w:color w:val="auto"/>
                <w:sz w:val="21"/>
                <w:szCs w:val="21"/>
                <w:highlight w:val="none"/>
                <w:lang w:val="en-US" w:eastAsia="zh-CN"/>
              </w:rPr>
              <w:t>100d、2400</w:t>
            </w:r>
            <w:r>
              <w:rPr>
                <w:rFonts w:hint="default" w:ascii="Times New Roman" w:hAnsi="Times New Roman" w:eastAsia="宋体" w:cs="Times New Roman"/>
                <w:b w:val="0"/>
                <w:bCs w:val="0"/>
                <w:color w:val="auto"/>
                <w:sz w:val="21"/>
                <w:szCs w:val="21"/>
                <w:highlight w:val="none"/>
                <w:lang w:val="en-US" w:eastAsia="zh-CN"/>
              </w:rPr>
              <w:t>h。</w:t>
            </w:r>
            <w:r>
              <w:rPr>
                <w:rFonts w:hint="eastAsia" w:cs="Times New Roman"/>
                <w:b w:val="0"/>
                <w:bCs w:val="0"/>
                <w:color w:val="auto"/>
                <w:sz w:val="21"/>
                <w:szCs w:val="21"/>
                <w:highlight w:val="none"/>
                <w:lang w:val="en-US" w:eastAsia="zh-CN"/>
              </w:rPr>
              <w:t>冬季</w:t>
            </w:r>
            <w:r>
              <w:rPr>
                <w:rFonts w:hint="default" w:ascii="Times New Roman" w:hAnsi="Times New Roman" w:eastAsia="宋体" w:cs="Times New Roman"/>
                <w:b w:val="0"/>
                <w:bCs w:val="0"/>
                <w:color w:val="auto"/>
                <w:sz w:val="21"/>
                <w:szCs w:val="21"/>
                <w:highlight w:val="none"/>
                <w:lang w:val="en-US" w:eastAsia="zh-CN"/>
              </w:rPr>
              <w:t>取暖</w:t>
            </w:r>
            <w:r>
              <w:rPr>
                <w:rFonts w:hint="default" w:ascii="Times New Roman" w:hAnsi="Times New Roman" w:eastAsia="宋体" w:cs="Times New Roman"/>
                <w:b w:val="0"/>
                <w:bCs w:val="0"/>
                <w:color w:val="auto"/>
                <w:kern w:val="0"/>
                <w:sz w:val="21"/>
                <w:szCs w:val="21"/>
                <w:highlight w:val="none"/>
                <w:lang w:val="en-US" w:eastAsia="zh-CN"/>
              </w:rPr>
              <w:t>为</w:t>
            </w:r>
            <w:r>
              <w:rPr>
                <w:rFonts w:hint="default" w:ascii="Times New Roman" w:hAnsi="Times New Roman" w:eastAsia="宋体" w:cs="Times New Roman"/>
                <w:b w:val="0"/>
                <w:bCs w:val="0"/>
                <w:color w:val="auto"/>
                <w:sz w:val="21"/>
                <w:szCs w:val="21"/>
                <w:highlight w:val="none"/>
                <w:lang w:val="en-US" w:eastAsia="zh-CN"/>
              </w:rPr>
              <w:t>电</w:t>
            </w:r>
            <w:r>
              <w:rPr>
                <w:rFonts w:hint="eastAsia" w:cs="Times New Roman"/>
                <w:b w:val="0"/>
                <w:bCs/>
                <w:color w:val="auto"/>
                <w:sz w:val="21"/>
                <w:szCs w:val="21"/>
                <w:highlight w:val="none"/>
                <w:lang w:val="en-US" w:eastAsia="zh-CN"/>
              </w:rPr>
              <w:t>取暖</w:t>
            </w:r>
            <w:r>
              <w:rPr>
                <w:rFonts w:hint="default" w:ascii="Times New Roman" w:hAnsi="Times New Roman" w:cs="Times New Roman"/>
                <w:b w:val="0"/>
                <w:bCs/>
                <w:color w:val="auto"/>
                <w:sz w:val="21"/>
                <w:szCs w:val="21"/>
                <w:highlight w:val="none"/>
                <w:lang w:val="en-US" w:eastAsia="zh-CN"/>
              </w:rPr>
              <w:t>。</w:t>
            </w:r>
          </w:p>
          <w:p w14:paraId="0B094EE8">
            <w:pPr>
              <w:pStyle w:val="3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Chars="200"/>
              <w:jc w:val="both"/>
              <w:textAlignment w:val="auto"/>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生物质热风炉</w:t>
            </w:r>
            <w:r>
              <w:rPr>
                <w:rFonts w:hint="default" w:ascii="Times New Roman" w:hAnsi="Times New Roman" w:eastAsia="宋体" w:cs="Times New Roman"/>
                <w:bCs/>
                <w:color w:val="auto"/>
                <w:sz w:val="21"/>
                <w:szCs w:val="21"/>
                <w:highlight w:val="none"/>
              </w:rPr>
              <w:t>燃料使用量：</w:t>
            </w:r>
          </w:p>
          <w:p w14:paraId="274D4C7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根据生物质</w:t>
            </w:r>
            <w:r>
              <w:rPr>
                <w:rFonts w:hint="default" w:ascii="Times New Roman" w:hAnsi="Times New Roman" w:cs="Times New Roman"/>
                <w:color w:val="auto"/>
                <w:sz w:val="21"/>
                <w:szCs w:val="21"/>
                <w:highlight w:val="none"/>
                <w:lang w:val="en-US" w:eastAsia="zh-CN"/>
              </w:rPr>
              <w:t>燃料</w:t>
            </w:r>
            <w:r>
              <w:rPr>
                <w:rFonts w:hint="eastAsia" w:ascii="Times New Roman" w:hAnsi="Times New Roman" w:cs="Times New Roman"/>
                <w:color w:val="auto"/>
                <w:sz w:val="21"/>
                <w:szCs w:val="21"/>
                <w:highlight w:val="none"/>
                <w:lang w:val="en-US" w:eastAsia="zh-CN"/>
              </w:rPr>
              <w:t>分析报告，</w:t>
            </w:r>
            <w:r>
              <w:rPr>
                <w:rFonts w:hint="default" w:ascii="Times New Roman" w:hAnsi="Times New Roman" w:cs="Times New Roman"/>
                <w:color w:val="auto"/>
                <w:sz w:val="21"/>
                <w:szCs w:val="21"/>
                <w:highlight w:val="none"/>
                <w:lang w:val="en-US" w:eastAsia="zh-CN"/>
              </w:rPr>
              <w:t>热值取</w:t>
            </w:r>
            <w:r>
              <w:rPr>
                <w:rFonts w:hint="eastAsia" w:cs="Times New Roman"/>
                <w:color w:val="auto"/>
                <w:sz w:val="21"/>
                <w:szCs w:val="21"/>
                <w:highlight w:val="none"/>
                <w:lang w:val="en-US" w:eastAsia="zh-CN"/>
              </w:rPr>
              <w:t>2292</w:t>
            </w:r>
            <w:r>
              <w:rPr>
                <w:rFonts w:hint="default" w:ascii="Times New Roman" w:hAnsi="Times New Roman" w:cs="Times New Roman"/>
                <w:color w:val="auto"/>
                <w:sz w:val="21"/>
                <w:szCs w:val="21"/>
                <w:highlight w:val="none"/>
                <w:lang w:val="en-US" w:eastAsia="zh-CN"/>
              </w:rPr>
              <w:t>kcal/kg（</w:t>
            </w:r>
            <w:r>
              <w:rPr>
                <w:rFonts w:hint="eastAsia" w:cs="Times New Roman"/>
                <w:color w:val="auto"/>
                <w:sz w:val="21"/>
                <w:szCs w:val="21"/>
                <w:highlight w:val="none"/>
                <w:lang w:val="en-US" w:eastAsia="zh-CN"/>
              </w:rPr>
              <w:t>9.58</w:t>
            </w:r>
            <w:r>
              <w:rPr>
                <w:rFonts w:hint="default" w:ascii="Times New Roman" w:hAnsi="Times New Roman" w:cs="Times New Roman"/>
                <w:color w:val="auto"/>
                <w:sz w:val="21"/>
                <w:szCs w:val="21"/>
                <w:highlight w:val="none"/>
                <w:lang w:val="en-US" w:eastAsia="zh-CN"/>
              </w:rPr>
              <w:t>MJ/kg），热风炉热效率为</w:t>
            </w:r>
            <w:r>
              <w:rPr>
                <w:rFonts w:hint="eastAsia" w:ascii="Times New Roman" w:hAnsi="Times New Roman" w:cs="Times New Roman"/>
                <w:color w:val="auto"/>
                <w:sz w:val="21"/>
                <w:szCs w:val="21"/>
                <w:highlight w:val="none"/>
                <w:lang w:val="en-US" w:eastAsia="zh-CN"/>
              </w:rPr>
              <w:t>80</w:t>
            </w:r>
            <w:r>
              <w:rPr>
                <w:rFonts w:hint="default" w:ascii="Times New Roman" w:hAnsi="Times New Roman" w:cs="Times New Roman"/>
                <w:color w:val="auto"/>
                <w:sz w:val="21"/>
                <w:szCs w:val="21"/>
                <w:highlight w:val="none"/>
                <w:lang w:val="en-US" w:eastAsia="zh-CN"/>
              </w:rPr>
              <w:t>%，参考尹协镇《粮食烘干过程中不同外部条件对烘干能耗的影响》，每烘干1kg水能耗取5400kJ/kg。</w:t>
            </w:r>
          </w:p>
          <w:p w14:paraId="44137779">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本项目水分蒸发量依据W=G（ω1-ω2）/（100-ω2）进行计算。</w:t>
            </w:r>
          </w:p>
          <w:p w14:paraId="77107DE5">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60" w:firstLineChars="6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W：水分蒸发量</w:t>
            </w:r>
          </w:p>
          <w:p w14:paraId="0F8BC6E7">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60" w:firstLineChars="6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G：处理量（</w:t>
            </w:r>
            <w:r>
              <w:rPr>
                <w:rFonts w:hint="eastAsia" w:cs="Times New Roman"/>
                <w:color w:val="auto"/>
                <w:sz w:val="21"/>
                <w:szCs w:val="21"/>
                <w:highlight w:val="none"/>
                <w:lang w:val="en-US" w:eastAsia="zh-CN"/>
              </w:rPr>
              <w:t>玉米20000</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lang w:val="en-US" w:eastAsia="zh-CN"/>
              </w:rPr>
              <w:t>）</w:t>
            </w:r>
          </w:p>
          <w:p w14:paraId="75FA87EF">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60" w:firstLineChars="6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ω1：进料含水量百分数（</w:t>
            </w:r>
            <w:r>
              <w:rPr>
                <w:rFonts w:hint="eastAsia" w:ascii="Times New Roman" w:hAnsi="Times New Roman" w:cs="Times New Roman"/>
                <w:color w:val="auto"/>
                <w:sz w:val="21"/>
                <w:szCs w:val="21"/>
                <w:highlight w:val="none"/>
                <w:lang w:val="en-US" w:eastAsia="zh-CN"/>
              </w:rPr>
              <w:t>取</w:t>
            </w:r>
            <w:r>
              <w:rPr>
                <w:rFonts w:hint="eastAsia" w:cs="Times New Roman"/>
                <w:color w:val="auto"/>
                <w:sz w:val="21"/>
                <w:szCs w:val="21"/>
                <w:highlight w:val="none"/>
                <w:lang w:val="en-US" w:eastAsia="zh-CN"/>
              </w:rPr>
              <w:t>3</w:t>
            </w:r>
            <w:r>
              <w:rPr>
                <w:rFonts w:hint="eastAsia"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w:t>
            </w:r>
          </w:p>
          <w:p w14:paraId="269439D2">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60" w:firstLineChars="6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ω2：出料含水量百分数（</w:t>
            </w:r>
            <w:r>
              <w:rPr>
                <w:rFonts w:hint="eastAsia" w:ascii="Times New Roman" w:hAnsi="Times New Roman" w:cs="Times New Roman"/>
                <w:color w:val="auto"/>
                <w:sz w:val="21"/>
                <w:szCs w:val="21"/>
                <w:highlight w:val="none"/>
                <w:lang w:val="en-US" w:eastAsia="zh-CN"/>
              </w:rPr>
              <w:t>取1</w:t>
            </w:r>
            <w:r>
              <w:rPr>
                <w:rFonts w:hint="eastAsia" w:cs="Times New Roman"/>
                <w:color w:val="auto"/>
                <w:sz w:val="21"/>
                <w:szCs w:val="21"/>
                <w:highlight w:val="none"/>
                <w:lang w:val="en-US" w:eastAsia="zh-CN"/>
              </w:rPr>
              <w:t>2</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w:t>
            </w:r>
          </w:p>
          <w:p w14:paraId="2E22E3D9">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w:t>
            </w:r>
            <w:r>
              <w:rPr>
                <w:rFonts w:hint="eastAsia" w:cs="Times New Roman"/>
                <w:color w:val="auto"/>
                <w:sz w:val="21"/>
                <w:szCs w:val="21"/>
                <w:highlight w:val="none"/>
                <w:lang w:val="en-US" w:eastAsia="zh-CN"/>
              </w:rPr>
              <w:t>玉米烘干</w:t>
            </w:r>
            <w:r>
              <w:rPr>
                <w:rFonts w:hint="default" w:ascii="Times New Roman" w:hAnsi="Times New Roman" w:cs="Times New Roman"/>
                <w:color w:val="auto"/>
                <w:sz w:val="21"/>
                <w:szCs w:val="21"/>
                <w:highlight w:val="none"/>
                <w:lang w:val="en-US" w:eastAsia="zh-CN"/>
              </w:rPr>
              <w:t>水分蒸发</w:t>
            </w:r>
            <w:r>
              <w:rPr>
                <w:rFonts w:hint="eastAsia" w:cs="Times New Roman"/>
                <w:color w:val="auto"/>
                <w:sz w:val="21"/>
                <w:szCs w:val="21"/>
                <w:highlight w:val="none"/>
                <w:lang w:val="en-US" w:eastAsia="zh-CN"/>
              </w:rPr>
              <w:t>总</w:t>
            </w:r>
            <w:r>
              <w:rPr>
                <w:rFonts w:hint="default" w:ascii="Times New Roman" w:hAnsi="Times New Roman" w:cs="Times New Roman"/>
                <w:color w:val="auto"/>
                <w:sz w:val="21"/>
                <w:szCs w:val="21"/>
                <w:highlight w:val="none"/>
                <w:lang w:val="en-US" w:eastAsia="zh-CN"/>
              </w:rPr>
              <w:t>量为：W=</w:t>
            </w:r>
            <w:r>
              <w:rPr>
                <w:rFonts w:hint="eastAsia" w:cs="Times New Roman"/>
                <w:color w:val="auto"/>
                <w:sz w:val="21"/>
                <w:szCs w:val="21"/>
                <w:highlight w:val="none"/>
                <w:lang w:val="en-US" w:eastAsia="zh-CN"/>
              </w:rPr>
              <w:t>4090.9</w:t>
            </w:r>
            <w:r>
              <w:rPr>
                <w:rFonts w:hint="default" w:ascii="Times New Roman" w:hAnsi="Times New Roman" w:cs="Times New Roman"/>
                <w:color w:val="auto"/>
                <w:sz w:val="21"/>
                <w:szCs w:val="21"/>
                <w:highlight w:val="none"/>
                <w:lang w:val="en-US" w:eastAsia="zh-CN"/>
              </w:rPr>
              <w:t>t/a</w:t>
            </w:r>
            <w:r>
              <w:rPr>
                <w:rFonts w:hint="eastAsia" w:cs="Times New Roman"/>
                <w:color w:val="auto"/>
                <w:sz w:val="21"/>
                <w:szCs w:val="21"/>
                <w:highlight w:val="none"/>
                <w:lang w:val="en-US" w:eastAsia="zh-CN"/>
              </w:rPr>
              <w:t>.</w:t>
            </w:r>
          </w:p>
          <w:p w14:paraId="56336639">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烘干能耗为E=</w:t>
            </w:r>
            <w:r>
              <w:rPr>
                <w:rFonts w:hint="eastAsia" w:ascii="Times New Roman" w:hAnsi="Times New Roman" w:cs="Times New Roman"/>
                <w:color w:val="auto"/>
                <w:sz w:val="21"/>
                <w:szCs w:val="21"/>
                <w:highlight w:val="none"/>
                <w:lang w:val="en-US" w:eastAsia="zh-CN"/>
              </w:rPr>
              <w:t>W</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能耗</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2.2091</w:t>
            </w:r>
            <w:r>
              <w:rPr>
                <w:rFonts w:hint="default" w:ascii="Times New Roman" w:hAnsi="Times New Roman" w:cs="Times New Roman"/>
                <w:color w:val="auto"/>
                <w:sz w:val="21"/>
                <w:szCs w:val="21"/>
                <w:highlight w:val="none"/>
                <w:lang w:val="en-US" w:eastAsia="zh-CN"/>
              </w:rPr>
              <w:t>×10</w:t>
            </w:r>
            <w:r>
              <w:rPr>
                <w:rFonts w:hint="eastAsia" w:cs="Times New Roman"/>
                <w:color w:val="auto"/>
                <w:sz w:val="21"/>
                <w:szCs w:val="21"/>
                <w:highlight w:val="none"/>
                <w:vertAlign w:val="superscript"/>
                <w:lang w:val="en-US" w:eastAsia="zh-CN"/>
              </w:rPr>
              <w:t>10</w:t>
            </w:r>
            <w:r>
              <w:rPr>
                <w:rFonts w:hint="eastAsia" w:ascii="Times New Roman" w:hAnsi="Times New Roman" w:cs="Times New Roman"/>
                <w:color w:val="auto"/>
                <w:sz w:val="21"/>
                <w:szCs w:val="21"/>
                <w:highlight w:val="none"/>
                <w:lang w:val="en-US" w:eastAsia="zh-CN"/>
              </w:rPr>
              <w:t>k</w:t>
            </w:r>
            <w:r>
              <w:rPr>
                <w:rFonts w:hint="default" w:ascii="Times New Roman" w:hAnsi="Times New Roman" w:cs="Times New Roman"/>
                <w:color w:val="auto"/>
                <w:sz w:val="21"/>
                <w:szCs w:val="21"/>
                <w:highlight w:val="none"/>
                <w:lang w:val="en-US" w:eastAsia="zh-CN"/>
              </w:rPr>
              <w:t>J</w:t>
            </w:r>
          </w:p>
          <w:p w14:paraId="5126D7E9">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燃料消耗量=</w:t>
            </w:r>
            <w:r>
              <w:rPr>
                <w:rFonts w:hint="eastAsia" w:ascii="Times New Roman" w:hAnsi="Times New Roman" w:cs="Times New Roman"/>
                <w:color w:val="auto"/>
                <w:sz w:val="21"/>
                <w:szCs w:val="21"/>
                <w:highlight w:val="none"/>
                <w:lang w:val="en-US" w:eastAsia="zh-CN"/>
              </w:rPr>
              <w:t>E</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热值</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热效率</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2882.4</w:t>
            </w:r>
            <w:r>
              <w:rPr>
                <w:rFonts w:hint="default" w:ascii="Times New Roman" w:hAnsi="Times New Roman" w:cs="Times New Roman"/>
                <w:color w:val="auto"/>
                <w:sz w:val="21"/>
                <w:szCs w:val="21"/>
                <w:highlight w:val="none"/>
                <w:lang w:val="en-US" w:eastAsia="zh-CN"/>
              </w:rPr>
              <w:t>t/a</w:t>
            </w:r>
          </w:p>
          <w:p w14:paraId="43EFD00B">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20" w:firstLineChars="200"/>
              <w:jc w:val="both"/>
              <w:textAlignment w:val="auto"/>
              <w:rPr>
                <w:rFonts w:hint="default"/>
                <w:color w:val="auto"/>
                <w:highlight w:val="none"/>
                <w:lang w:val="en-US" w:eastAsia="zh-CN"/>
              </w:rPr>
            </w:pPr>
            <w:r>
              <w:rPr>
                <w:rFonts w:hint="default" w:ascii="Times New Roman" w:hAnsi="Times New Roman" w:eastAsia="宋体" w:cs="Times New Roman"/>
                <w:color w:val="auto"/>
                <w:sz w:val="21"/>
                <w:szCs w:val="21"/>
                <w:highlight w:val="none"/>
              </w:rPr>
              <w:t>综上，本项目</w:t>
            </w:r>
            <w:r>
              <w:rPr>
                <w:rFonts w:hint="eastAsia" w:cs="Times New Roman"/>
                <w:color w:val="auto"/>
                <w:sz w:val="21"/>
                <w:szCs w:val="21"/>
                <w:highlight w:val="none"/>
                <w:lang w:val="en-US" w:eastAsia="zh-CN"/>
              </w:rPr>
              <w:t>生物质</w:t>
            </w:r>
            <w:r>
              <w:rPr>
                <w:rFonts w:hint="default" w:ascii="Times New Roman" w:hAnsi="Times New Roman" w:eastAsia="宋体" w:cs="Times New Roman"/>
                <w:color w:val="auto"/>
                <w:sz w:val="21"/>
                <w:szCs w:val="21"/>
                <w:highlight w:val="none"/>
              </w:rPr>
              <w:t>燃料</w:t>
            </w:r>
            <w:r>
              <w:rPr>
                <w:rFonts w:hint="default" w:ascii="Times New Roman" w:hAnsi="Times New Roman"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rPr>
              <w:t>量为</w:t>
            </w:r>
            <w:r>
              <w:rPr>
                <w:rFonts w:hint="eastAsia" w:cs="Times New Roman"/>
                <w:color w:val="auto"/>
                <w:sz w:val="21"/>
                <w:szCs w:val="21"/>
                <w:highlight w:val="none"/>
                <w:lang w:val="en-US" w:eastAsia="zh-CN"/>
              </w:rPr>
              <w:t>2882.4</w:t>
            </w:r>
            <w:r>
              <w:rPr>
                <w:rFonts w:hint="default" w:ascii="Times New Roman" w:hAnsi="Times New Roman"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p>
          <w:p w14:paraId="4DF94FCF">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4</w:t>
            </w:r>
            <w:r>
              <w:rPr>
                <w:rFonts w:hint="default" w:ascii="Times New Roman" w:hAnsi="Times New Roman" w:cs="Times New Roman"/>
                <w:color w:val="auto"/>
                <w:szCs w:val="21"/>
                <w:highlight w:val="none"/>
              </w:rPr>
              <w:t>）供电：本项目供电由当地电网供给</w:t>
            </w:r>
            <w:r>
              <w:rPr>
                <w:rFonts w:hint="default" w:ascii="Times New Roman" w:hAnsi="Times New Roman" w:cs="Times New Roman"/>
                <w:color w:val="auto"/>
                <w:szCs w:val="21"/>
                <w:highlight w:val="none"/>
                <w:lang w:val="en-US" w:eastAsia="zh-CN"/>
              </w:rPr>
              <w:t>。</w:t>
            </w:r>
          </w:p>
          <w:p w14:paraId="4A4B3647">
            <w:pPr>
              <w:pStyle w:val="2"/>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22" w:firstLineChars="200"/>
              <w:jc w:val="both"/>
              <w:textAlignment w:val="auto"/>
              <w:rPr>
                <w:rFonts w:hint="default" w:ascii="Times New Roman" w:hAnsi="Times New Roman" w:cs="Times New Roman"/>
                <w:b/>
                <w:bCs/>
                <w:color w:val="auto"/>
                <w:kern w:val="21"/>
                <w:sz w:val="21"/>
                <w:szCs w:val="21"/>
                <w:highlight w:val="none"/>
              </w:rPr>
            </w:pPr>
            <w:r>
              <w:rPr>
                <w:rFonts w:hint="default" w:ascii="Times New Roman" w:hAnsi="Times New Roman" w:cs="Times New Roman"/>
                <w:b/>
                <w:bCs/>
                <w:color w:val="auto"/>
                <w:kern w:val="21"/>
                <w:sz w:val="21"/>
                <w:szCs w:val="21"/>
                <w:highlight w:val="none"/>
                <w:lang w:val="en-US" w:eastAsia="zh-CN"/>
              </w:rPr>
              <w:t>7</w:t>
            </w:r>
            <w:r>
              <w:rPr>
                <w:rFonts w:hint="default" w:ascii="Times New Roman" w:hAnsi="Times New Roman" w:cs="Times New Roman"/>
                <w:b/>
                <w:bCs/>
                <w:color w:val="auto"/>
                <w:kern w:val="21"/>
                <w:sz w:val="21"/>
                <w:szCs w:val="21"/>
                <w:highlight w:val="none"/>
              </w:rPr>
              <w:t>、本项目平面布置</w:t>
            </w:r>
          </w:p>
          <w:p w14:paraId="4F6EBD75">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b w:val="0"/>
                <w:bCs w:val="0"/>
                <w:color w:val="FF0000"/>
                <w:sz w:val="21"/>
                <w:szCs w:val="21"/>
                <w:lang w:val="en-US" w:eastAsia="zh-CN"/>
              </w:rPr>
            </w:pPr>
            <w:r>
              <w:rPr>
                <w:rFonts w:hint="eastAsia" w:cs="Times New Roman"/>
                <w:color w:val="FF0000"/>
                <w:kern w:val="21"/>
                <w:sz w:val="21"/>
                <w:szCs w:val="21"/>
                <w:highlight w:val="none"/>
                <w:lang w:val="en-US" w:eastAsia="zh-CN"/>
              </w:rPr>
              <w:t>本项目办公室及地秤位于东侧厂区入口处，烘干塔、热风炉房、初清筛、潮粮仓等主要生产设施位于厂区北侧，西北侧、东北侧为平房仓。</w:t>
            </w:r>
            <w:r>
              <w:rPr>
                <w:rFonts w:hint="eastAsia" w:cs="Times New Roman"/>
                <w:color w:val="FF0000"/>
                <w:kern w:val="21"/>
                <w:sz w:val="21"/>
                <w:szCs w:val="21"/>
                <w:highlight w:val="none"/>
                <w:lang w:eastAsia="zh-CN"/>
              </w:rPr>
              <w:t>工艺流程布置合理，功能区分明确，交通便利，总体布局合理。</w:t>
            </w:r>
            <w:r>
              <w:rPr>
                <w:rFonts w:hint="eastAsia" w:cs="Times New Roman"/>
                <w:color w:val="FF0000"/>
                <w:sz w:val="21"/>
                <w:szCs w:val="21"/>
                <w:lang w:val="en-US" w:eastAsia="zh-CN"/>
              </w:rPr>
              <w:t>室外主要噪声设备及滚筒筛产尘设施，均布设于厂区中心偏西北方位，与西侧敏感点直线距离约40m，与南侧敏感点直线距离约70m；热风炉排气筒与西侧敏感点相距约50m，与南侧敏感点相距约100m。主要噪声及产尘设施与周边居民敏感点保持一定距离，可有效降低对敏感目标的不利影响，设施布局合理。</w:t>
            </w:r>
          </w:p>
          <w:p w14:paraId="0707151E">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color w:val="FF0000"/>
                <w:sz w:val="21"/>
                <w:szCs w:val="21"/>
                <w:highlight w:val="none"/>
              </w:rPr>
            </w:pPr>
            <w:r>
              <w:rPr>
                <w:rFonts w:hint="eastAsia" w:cs="Times New Roman"/>
                <w:b/>
                <w:color w:val="FF0000"/>
                <w:kern w:val="0"/>
                <w:sz w:val="21"/>
                <w:szCs w:val="21"/>
                <w:highlight w:val="none"/>
                <w:lang w:val="en-US" w:eastAsia="zh-CN" w:bidi="ar"/>
              </w:rPr>
              <w:t>8</w:t>
            </w:r>
            <w:r>
              <w:rPr>
                <w:rFonts w:hint="default" w:ascii="Times New Roman" w:hAnsi="Times New Roman" w:cs="Times New Roman"/>
                <w:b/>
                <w:color w:val="FF0000"/>
                <w:kern w:val="0"/>
                <w:sz w:val="21"/>
                <w:szCs w:val="21"/>
                <w:highlight w:val="none"/>
                <w:lang w:bidi="ar"/>
              </w:rPr>
              <w:t>、环保投资</w:t>
            </w:r>
          </w:p>
          <w:p w14:paraId="1E8589C9">
            <w:pPr>
              <w:keepNext w:val="0"/>
              <w:keepLines w:val="0"/>
              <w:suppressLineNumbers w:val="0"/>
              <w:spacing w:before="0" w:beforeAutospacing="0" w:after="0" w:afterAutospacing="0" w:line="360" w:lineRule="auto"/>
              <w:ind w:left="0" w:right="0" w:firstLine="420" w:firstLineChars="200"/>
              <w:rPr>
                <w:rFonts w:hint="default"/>
                <w:b/>
                <w:color w:val="FF0000"/>
                <w:sz w:val="21"/>
                <w:szCs w:val="21"/>
                <w:highlight w:val="none"/>
              </w:rPr>
            </w:pPr>
            <w:r>
              <w:rPr>
                <w:rFonts w:hint="default"/>
                <w:color w:val="FF0000"/>
                <w:sz w:val="21"/>
                <w:szCs w:val="21"/>
                <w:highlight w:val="none"/>
              </w:rPr>
              <w:t>本项目总投资</w:t>
            </w:r>
            <w:r>
              <w:rPr>
                <w:rFonts w:hint="eastAsia"/>
                <w:color w:val="FF0000"/>
                <w:sz w:val="21"/>
                <w:szCs w:val="21"/>
                <w:highlight w:val="none"/>
                <w:lang w:val="en-US" w:eastAsia="zh-CN"/>
              </w:rPr>
              <w:t>50</w:t>
            </w:r>
            <w:r>
              <w:rPr>
                <w:rFonts w:hint="default"/>
                <w:color w:val="FF0000"/>
                <w:sz w:val="21"/>
                <w:szCs w:val="21"/>
                <w:highlight w:val="none"/>
              </w:rPr>
              <w:t>万元，其中环保投资</w:t>
            </w:r>
            <w:r>
              <w:rPr>
                <w:rFonts w:hint="eastAsia"/>
                <w:color w:val="FF0000"/>
                <w:sz w:val="21"/>
                <w:szCs w:val="21"/>
                <w:highlight w:val="none"/>
                <w:lang w:val="en-US" w:eastAsia="zh-CN"/>
              </w:rPr>
              <w:t>15.5</w:t>
            </w:r>
            <w:r>
              <w:rPr>
                <w:rFonts w:hint="default"/>
                <w:color w:val="FF0000"/>
                <w:sz w:val="21"/>
                <w:szCs w:val="21"/>
                <w:highlight w:val="none"/>
              </w:rPr>
              <w:t>万元，占总投资的</w:t>
            </w:r>
            <w:r>
              <w:rPr>
                <w:rFonts w:hint="eastAsia"/>
                <w:color w:val="FF0000"/>
                <w:sz w:val="21"/>
                <w:szCs w:val="21"/>
                <w:highlight w:val="none"/>
                <w:lang w:val="en-US" w:eastAsia="zh-CN"/>
              </w:rPr>
              <w:t>31</w:t>
            </w:r>
            <w:r>
              <w:rPr>
                <w:rFonts w:hint="default"/>
                <w:color w:val="FF0000"/>
                <w:sz w:val="21"/>
                <w:szCs w:val="21"/>
                <w:highlight w:val="none"/>
              </w:rPr>
              <w:t>%，详见表2-</w:t>
            </w:r>
            <w:r>
              <w:rPr>
                <w:rFonts w:hint="eastAsia"/>
                <w:color w:val="FF0000"/>
                <w:sz w:val="21"/>
                <w:szCs w:val="21"/>
                <w:highlight w:val="none"/>
                <w:lang w:val="en-US" w:eastAsia="zh-CN"/>
              </w:rPr>
              <w:t>7</w:t>
            </w:r>
            <w:r>
              <w:rPr>
                <w:rFonts w:hint="default"/>
                <w:color w:val="FF0000"/>
                <w:sz w:val="21"/>
                <w:szCs w:val="21"/>
                <w:highlight w:val="none"/>
              </w:rPr>
              <w:t>。</w:t>
            </w:r>
          </w:p>
          <w:p w14:paraId="1F064118">
            <w:pPr>
              <w:keepNext w:val="0"/>
              <w:keepLines w:val="0"/>
              <w:suppressLineNumbers w:val="0"/>
              <w:spacing w:before="0" w:beforeAutospacing="0" w:after="0" w:afterAutospacing="0"/>
              <w:ind w:left="0" w:right="0" w:firstLine="422" w:firstLineChars="200"/>
              <w:jc w:val="center"/>
              <w:rPr>
                <w:rFonts w:hint="eastAsia" w:eastAsia="宋体"/>
                <w:b/>
                <w:color w:val="FF0000"/>
                <w:sz w:val="24"/>
                <w:szCs w:val="28"/>
                <w:highlight w:val="none"/>
                <w:lang w:eastAsia="zh-CN"/>
              </w:rPr>
            </w:pPr>
            <w:r>
              <w:rPr>
                <w:rFonts w:hint="default"/>
                <w:b/>
                <w:color w:val="FF0000"/>
                <w:szCs w:val="21"/>
                <w:highlight w:val="none"/>
              </w:rPr>
              <w:t>表2-</w:t>
            </w:r>
            <w:r>
              <w:rPr>
                <w:rFonts w:hint="eastAsia"/>
                <w:b/>
                <w:color w:val="FF0000"/>
                <w:szCs w:val="21"/>
                <w:highlight w:val="none"/>
                <w:lang w:val="en-US" w:eastAsia="zh-CN"/>
              </w:rPr>
              <w:t xml:space="preserve">7 </w:t>
            </w:r>
            <w:r>
              <w:rPr>
                <w:rFonts w:hint="default"/>
                <w:b/>
                <w:color w:val="FF0000"/>
                <w:szCs w:val="21"/>
                <w:highlight w:val="none"/>
              </w:rPr>
              <w:t>环保投资一览表</w:t>
            </w:r>
          </w:p>
          <w:tbl>
            <w:tblPr>
              <w:tblStyle w:val="36"/>
              <w:tblW w:w="4995"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872"/>
              <w:gridCol w:w="1208"/>
              <w:gridCol w:w="3854"/>
              <w:gridCol w:w="1503"/>
            </w:tblGrid>
            <w:tr w14:paraId="6D896D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24" w:type="dxa"/>
                  <w:gridSpan w:val="2"/>
                  <w:tcBorders>
                    <w:top w:val="single" w:color="auto" w:sz="12" w:space="0"/>
                  </w:tcBorders>
                  <w:noWrap w:val="0"/>
                  <w:vAlign w:val="center"/>
                </w:tcPr>
                <w:p w14:paraId="00D27DD4">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FF0000"/>
                      <w:sz w:val="18"/>
                      <w:szCs w:val="18"/>
                      <w:highlight w:val="none"/>
                      <w:lang w:eastAsia="zh-CN"/>
                    </w:rPr>
                  </w:pPr>
                  <w:r>
                    <w:rPr>
                      <w:rFonts w:hint="default" w:ascii="Times New Roman" w:hAnsi="Times New Roman" w:cs="Times New Roman"/>
                      <w:color w:val="FF0000"/>
                      <w:sz w:val="18"/>
                      <w:szCs w:val="18"/>
                      <w:highlight w:val="none"/>
                      <w:lang w:eastAsia="zh-CN"/>
                    </w:rPr>
                    <w:t>序号</w:t>
                  </w:r>
                </w:p>
              </w:tc>
              <w:tc>
                <w:tcPr>
                  <w:tcW w:w="1208" w:type="dxa"/>
                  <w:tcBorders>
                    <w:top w:val="single" w:color="auto" w:sz="12" w:space="0"/>
                  </w:tcBorders>
                  <w:noWrap w:val="0"/>
                  <w:vAlign w:val="center"/>
                </w:tcPr>
                <w:p w14:paraId="63D331BA">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处理项目</w:t>
                  </w:r>
                </w:p>
              </w:tc>
              <w:tc>
                <w:tcPr>
                  <w:tcW w:w="3854" w:type="dxa"/>
                  <w:tcBorders>
                    <w:top w:val="single" w:color="auto" w:sz="12" w:space="0"/>
                  </w:tcBorders>
                  <w:noWrap w:val="0"/>
                  <w:vAlign w:val="center"/>
                </w:tcPr>
                <w:p w14:paraId="486AD157">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处理措施</w:t>
                  </w:r>
                </w:p>
              </w:tc>
              <w:tc>
                <w:tcPr>
                  <w:tcW w:w="1503" w:type="dxa"/>
                  <w:tcBorders>
                    <w:top w:val="single" w:color="auto" w:sz="12" w:space="0"/>
                  </w:tcBorders>
                  <w:noWrap w:val="0"/>
                  <w:vAlign w:val="center"/>
                </w:tcPr>
                <w:p w14:paraId="65A4F9F2">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投资（万元）</w:t>
                  </w:r>
                </w:p>
              </w:tc>
            </w:tr>
            <w:tr w14:paraId="3F0637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652" w:type="dxa"/>
                  <w:noWrap w:val="0"/>
                  <w:vAlign w:val="center"/>
                </w:tcPr>
                <w:p w14:paraId="755AE027">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eastAsia="宋体" w:cs="Times New Roman"/>
                      <w:color w:val="FF0000"/>
                      <w:sz w:val="18"/>
                      <w:szCs w:val="18"/>
                      <w:highlight w:val="none"/>
                      <w:lang w:val="en-US" w:eastAsia="zh-CN"/>
                    </w:rPr>
                    <w:t>1</w:t>
                  </w:r>
                </w:p>
              </w:tc>
              <w:tc>
                <w:tcPr>
                  <w:tcW w:w="872" w:type="dxa"/>
                  <w:vMerge w:val="restart"/>
                  <w:noWrap w:val="0"/>
                  <w:vAlign w:val="center"/>
                </w:tcPr>
                <w:p w14:paraId="0509B14D">
                  <w:pPr>
                    <w:pStyle w:val="100"/>
                    <w:keepNext w:val="0"/>
                    <w:keepLines w:val="0"/>
                    <w:widowControl/>
                    <w:suppressLineNumbers w:val="0"/>
                    <w:spacing w:before="0" w:beforeAutospacing="0" w:after="0" w:afterAutospacing="0" w:line="240" w:lineRule="auto"/>
                    <w:ind w:left="0" w:right="0"/>
                    <w:jc w:val="center"/>
                    <w:rPr>
                      <w:rFonts w:hint="default" w:cs="Times New Roman"/>
                      <w:color w:val="FF0000"/>
                      <w:sz w:val="18"/>
                      <w:szCs w:val="18"/>
                      <w:highlight w:val="none"/>
                      <w:lang w:val="en-US" w:eastAsia="zh-CN"/>
                    </w:rPr>
                  </w:pPr>
                  <w:r>
                    <w:rPr>
                      <w:rFonts w:hint="eastAsia" w:cs="Times New Roman"/>
                      <w:color w:val="FF0000"/>
                      <w:sz w:val="18"/>
                      <w:szCs w:val="18"/>
                      <w:highlight w:val="none"/>
                      <w:lang w:val="en-US" w:eastAsia="zh-CN"/>
                    </w:rPr>
                    <w:t>施工期</w:t>
                  </w:r>
                </w:p>
              </w:tc>
              <w:tc>
                <w:tcPr>
                  <w:tcW w:w="1208" w:type="dxa"/>
                  <w:shd w:val="clear" w:color="auto" w:fill="auto"/>
                  <w:noWrap w:val="0"/>
                  <w:vAlign w:val="center"/>
                </w:tcPr>
                <w:p w14:paraId="53123E24">
                  <w:pPr>
                    <w:pStyle w:val="149"/>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18"/>
                      <w:szCs w:val="18"/>
                      <w:highlight w:val="none"/>
                      <w:lang w:val="en-US"/>
                    </w:rPr>
                  </w:pPr>
                  <w:r>
                    <w:rPr>
                      <w:rFonts w:hint="default" w:ascii="Times New Roman" w:hAnsi="Times New Roman" w:eastAsia="宋体" w:cs="Times New Roman"/>
                      <w:color w:val="FF0000"/>
                      <w:kern w:val="2"/>
                      <w:sz w:val="18"/>
                      <w:szCs w:val="18"/>
                      <w:highlight w:val="none"/>
                      <w:lang w:val="en-US" w:eastAsia="zh-CN" w:bidi="ar-SA"/>
                    </w:rPr>
                    <w:t>废气</w:t>
                  </w:r>
                </w:p>
              </w:tc>
              <w:tc>
                <w:tcPr>
                  <w:tcW w:w="3854" w:type="dxa"/>
                  <w:shd w:val="clear" w:color="auto" w:fill="auto"/>
                  <w:noWrap w:val="0"/>
                  <w:vAlign w:val="center"/>
                </w:tcPr>
                <w:p w14:paraId="00F27A22">
                  <w:pPr>
                    <w:pStyle w:val="149"/>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auto"/>
                      <w:kern w:val="2"/>
                      <w:sz w:val="18"/>
                      <w:szCs w:val="18"/>
                      <w:highlight w:val="none"/>
                      <w:lang w:val="en-US" w:eastAsia="zh-CN" w:bidi="ar-SA"/>
                    </w:rPr>
                    <w:t>施工区域周围设置围挡</w:t>
                  </w:r>
                  <w:r>
                    <w:rPr>
                      <w:rFonts w:hint="eastAsia" w:ascii="Times New Roman" w:hAnsi="Times New Roman" w:cs="Times New Roman"/>
                      <w:color w:val="auto"/>
                      <w:kern w:val="2"/>
                      <w:sz w:val="18"/>
                      <w:szCs w:val="18"/>
                      <w:highlight w:val="none"/>
                      <w:lang w:val="en-US" w:eastAsia="zh-CN" w:bidi="ar-SA"/>
                    </w:rPr>
                    <w:t>、</w:t>
                  </w:r>
                  <w:r>
                    <w:rPr>
                      <w:rFonts w:hint="eastAsia" w:cs="Times New Roman"/>
                      <w:color w:val="auto"/>
                      <w:kern w:val="2"/>
                      <w:sz w:val="18"/>
                      <w:szCs w:val="18"/>
                      <w:highlight w:val="none"/>
                      <w:lang w:val="en-US" w:eastAsia="zh-CN" w:bidi="ar-SA"/>
                    </w:rPr>
                    <w:t>苫布遮盖、洒水降尘设施</w:t>
                  </w:r>
                </w:p>
              </w:tc>
              <w:tc>
                <w:tcPr>
                  <w:tcW w:w="1503" w:type="dxa"/>
                  <w:shd w:val="clear" w:color="auto" w:fill="auto"/>
                  <w:noWrap w:val="0"/>
                  <w:vAlign w:val="center"/>
                </w:tcPr>
                <w:p w14:paraId="02BB53BE">
                  <w:pPr>
                    <w:pStyle w:val="149"/>
                    <w:keepNext w:val="0"/>
                    <w:keepLines w:val="0"/>
                    <w:suppressLineNumbers w:val="0"/>
                    <w:spacing w:before="0" w:beforeAutospacing="0" w:after="0" w:afterAutospacing="0"/>
                    <w:ind w:left="0" w:leftChars="0" w:right="0" w:rightChars="0"/>
                    <w:jc w:val="center"/>
                    <w:rPr>
                      <w:rFonts w:hint="eastAsia" w:cs="Times New Roman"/>
                      <w:color w:val="FF0000"/>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r>
            <w:tr w14:paraId="539319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652" w:type="dxa"/>
                  <w:noWrap w:val="0"/>
                  <w:vAlign w:val="center"/>
                </w:tcPr>
                <w:p w14:paraId="4146F3C2">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2</w:t>
                  </w:r>
                </w:p>
              </w:tc>
              <w:tc>
                <w:tcPr>
                  <w:tcW w:w="872" w:type="dxa"/>
                  <w:vMerge w:val="continue"/>
                  <w:noWrap w:val="0"/>
                  <w:vAlign w:val="center"/>
                </w:tcPr>
                <w:p w14:paraId="13FE40B4">
                  <w:pPr>
                    <w:pStyle w:val="100"/>
                    <w:keepNext w:val="0"/>
                    <w:keepLines w:val="0"/>
                    <w:widowControl/>
                    <w:suppressLineNumbers w:val="0"/>
                    <w:spacing w:before="0" w:beforeAutospacing="0" w:after="0" w:afterAutospacing="0" w:line="240" w:lineRule="auto"/>
                    <w:ind w:left="0" w:right="0"/>
                    <w:jc w:val="center"/>
                    <w:rPr>
                      <w:rFonts w:hint="eastAsia" w:cs="Times New Roman"/>
                      <w:color w:val="FF0000"/>
                      <w:sz w:val="18"/>
                      <w:szCs w:val="18"/>
                      <w:highlight w:val="none"/>
                      <w:lang w:val="en-US" w:eastAsia="zh-CN"/>
                    </w:rPr>
                  </w:pPr>
                </w:p>
              </w:tc>
              <w:tc>
                <w:tcPr>
                  <w:tcW w:w="1208" w:type="dxa"/>
                  <w:shd w:val="clear" w:color="auto" w:fill="auto"/>
                  <w:noWrap w:val="0"/>
                  <w:vAlign w:val="center"/>
                </w:tcPr>
                <w:p w14:paraId="11678764">
                  <w:pPr>
                    <w:pStyle w:val="149"/>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18"/>
                      <w:szCs w:val="18"/>
                      <w:highlight w:val="none"/>
                      <w:lang w:val="en-US"/>
                    </w:rPr>
                  </w:pPr>
                  <w:r>
                    <w:rPr>
                      <w:rFonts w:hint="default" w:ascii="Times New Roman" w:hAnsi="Times New Roman" w:eastAsia="宋体" w:cs="Times New Roman"/>
                      <w:color w:val="FF0000"/>
                      <w:kern w:val="2"/>
                      <w:sz w:val="18"/>
                      <w:szCs w:val="18"/>
                      <w:highlight w:val="none"/>
                      <w:lang w:val="en-US" w:eastAsia="zh-CN" w:bidi="ar-SA"/>
                    </w:rPr>
                    <w:t>噪声</w:t>
                  </w:r>
                </w:p>
              </w:tc>
              <w:tc>
                <w:tcPr>
                  <w:tcW w:w="3854" w:type="dxa"/>
                  <w:shd w:val="clear" w:color="auto" w:fill="auto"/>
                  <w:noWrap w:val="0"/>
                  <w:vAlign w:val="center"/>
                </w:tcPr>
                <w:p w14:paraId="2F11451A">
                  <w:pPr>
                    <w:pStyle w:val="149"/>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18"/>
                      <w:szCs w:val="18"/>
                      <w:highlight w:val="none"/>
                    </w:rPr>
                  </w:pPr>
                  <w:r>
                    <w:rPr>
                      <w:rFonts w:hint="eastAsia" w:cs="Times New Roman"/>
                      <w:color w:val="auto"/>
                      <w:kern w:val="2"/>
                      <w:sz w:val="18"/>
                      <w:szCs w:val="18"/>
                      <w:highlight w:val="none"/>
                      <w:lang w:val="en-US" w:eastAsia="zh-CN" w:bidi="ar-SA"/>
                    </w:rPr>
                    <w:t>高噪声设备</w:t>
                  </w:r>
                  <w:r>
                    <w:rPr>
                      <w:rFonts w:hint="default" w:ascii="Times New Roman" w:hAnsi="Times New Roman" w:eastAsia="宋体" w:cs="Times New Roman"/>
                      <w:color w:val="auto"/>
                      <w:kern w:val="2"/>
                      <w:sz w:val="18"/>
                      <w:szCs w:val="18"/>
                      <w:highlight w:val="none"/>
                      <w:lang w:val="en-US" w:eastAsia="zh-CN" w:bidi="ar-SA"/>
                    </w:rPr>
                    <w:t>区域周围设置围挡</w:t>
                  </w:r>
                </w:p>
              </w:tc>
              <w:tc>
                <w:tcPr>
                  <w:tcW w:w="1503" w:type="dxa"/>
                  <w:shd w:val="clear" w:color="auto" w:fill="auto"/>
                  <w:noWrap w:val="0"/>
                  <w:vAlign w:val="center"/>
                </w:tcPr>
                <w:p w14:paraId="0F0D2B94">
                  <w:pPr>
                    <w:pStyle w:val="149"/>
                    <w:keepNext w:val="0"/>
                    <w:keepLines w:val="0"/>
                    <w:suppressLineNumbers w:val="0"/>
                    <w:spacing w:before="0" w:beforeAutospacing="0" w:after="0" w:afterAutospacing="0"/>
                    <w:ind w:left="0" w:leftChars="0" w:right="0" w:rightChars="0"/>
                    <w:jc w:val="center"/>
                    <w:rPr>
                      <w:rFonts w:hint="eastAsia" w:cs="Times New Roman"/>
                      <w:color w:val="FF0000"/>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0.5</w:t>
                  </w:r>
                </w:p>
              </w:tc>
            </w:tr>
            <w:tr w14:paraId="054C5B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652" w:type="dxa"/>
                  <w:noWrap w:val="0"/>
                  <w:vAlign w:val="center"/>
                </w:tcPr>
                <w:p w14:paraId="455F69A7">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3</w:t>
                  </w:r>
                </w:p>
              </w:tc>
              <w:tc>
                <w:tcPr>
                  <w:tcW w:w="872" w:type="dxa"/>
                  <w:vMerge w:val="continue"/>
                  <w:noWrap w:val="0"/>
                  <w:vAlign w:val="center"/>
                </w:tcPr>
                <w:p w14:paraId="6161C21D">
                  <w:pPr>
                    <w:pStyle w:val="100"/>
                    <w:keepNext w:val="0"/>
                    <w:keepLines w:val="0"/>
                    <w:widowControl/>
                    <w:suppressLineNumbers w:val="0"/>
                    <w:spacing w:before="0" w:beforeAutospacing="0" w:after="0" w:afterAutospacing="0" w:line="240" w:lineRule="auto"/>
                    <w:ind w:left="0" w:right="0"/>
                    <w:jc w:val="center"/>
                    <w:rPr>
                      <w:rFonts w:hint="eastAsia" w:cs="Times New Roman"/>
                      <w:color w:val="FF0000"/>
                      <w:sz w:val="18"/>
                      <w:szCs w:val="18"/>
                      <w:highlight w:val="none"/>
                      <w:lang w:val="en-US" w:eastAsia="zh-CN"/>
                    </w:rPr>
                  </w:pPr>
                </w:p>
              </w:tc>
              <w:tc>
                <w:tcPr>
                  <w:tcW w:w="1208" w:type="dxa"/>
                  <w:shd w:val="clear" w:color="auto" w:fill="auto"/>
                  <w:noWrap w:val="0"/>
                  <w:vAlign w:val="center"/>
                </w:tcPr>
                <w:p w14:paraId="468A73BC">
                  <w:pPr>
                    <w:pStyle w:val="149"/>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18"/>
                      <w:szCs w:val="18"/>
                      <w:highlight w:val="none"/>
                      <w:lang w:val="en-US"/>
                    </w:rPr>
                  </w:pPr>
                  <w:r>
                    <w:rPr>
                      <w:rFonts w:hint="default" w:ascii="Times New Roman" w:hAnsi="Times New Roman" w:eastAsia="宋体" w:cs="Times New Roman"/>
                      <w:color w:val="FF0000"/>
                      <w:kern w:val="2"/>
                      <w:sz w:val="18"/>
                      <w:szCs w:val="18"/>
                      <w:highlight w:val="none"/>
                      <w:lang w:val="en-US" w:eastAsia="zh-CN" w:bidi="ar-SA"/>
                    </w:rPr>
                    <w:t>废水</w:t>
                  </w:r>
                </w:p>
              </w:tc>
              <w:tc>
                <w:tcPr>
                  <w:tcW w:w="3854" w:type="dxa"/>
                  <w:shd w:val="clear" w:color="auto" w:fill="auto"/>
                  <w:noWrap w:val="0"/>
                  <w:vAlign w:val="center"/>
                </w:tcPr>
                <w:p w14:paraId="69F5DF9E">
                  <w:pPr>
                    <w:pStyle w:val="149"/>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auto"/>
                      <w:kern w:val="2"/>
                      <w:sz w:val="18"/>
                      <w:szCs w:val="18"/>
                      <w:highlight w:val="none"/>
                      <w:lang w:val="en-US" w:eastAsia="zh-CN" w:bidi="ar-SA"/>
                    </w:rPr>
                    <w:t>临时沉淀池</w:t>
                  </w:r>
                  <w:r>
                    <w:rPr>
                      <w:rFonts w:hint="eastAsia" w:cs="Times New Roman"/>
                      <w:color w:val="auto"/>
                      <w:kern w:val="2"/>
                      <w:sz w:val="18"/>
                      <w:szCs w:val="18"/>
                      <w:highlight w:val="none"/>
                      <w:lang w:val="en-US" w:eastAsia="zh-CN" w:bidi="ar-SA"/>
                    </w:rPr>
                    <w:t>、防渗旱厕</w:t>
                  </w:r>
                </w:p>
              </w:tc>
              <w:tc>
                <w:tcPr>
                  <w:tcW w:w="1503" w:type="dxa"/>
                  <w:shd w:val="clear" w:color="auto" w:fill="auto"/>
                  <w:noWrap w:val="0"/>
                  <w:vAlign w:val="center"/>
                </w:tcPr>
                <w:p w14:paraId="731B83E2">
                  <w:pPr>
                    <w:pStyle w:val="149"/>
                    <w:keepNext w:val="0"/>
                    <w:keepLines w:val="0"/>
                    <w:suppressLineNumbers w:val="0"/>
                    <w:spacing w:before="0" w:beforeAutospacing="0" w:after="0" w:afterAutospacing="0"/>
                    <w:ind w:left="0" w:leftChars="0" w:right="0" w:rightChars="0"/>
                    <w:jc w:val="center"/>
                    <w:rPr>
                      <w:rFonts w:hint="eastAsia" w:cs="Times New Roman"/>
                      <w:color w:val="FF0000"/>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r>
            <w:tr w14:paraId="4F943D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652" w:type="dxa"/>
                  <w:shd w:val="clear" w:color="auto" w:fill="auto"/>
                  <w:noWrap w:val="0"/>
                  <w:vAlign w:val="center"/>
                </w:tcPr>
                <w:p w14:paraId="69634BD8">
                  <w:pPr>
                    <w:pStyle w:val="100"/>
                    <w:keepNext w:val="0"/>
                    <w:keepLines w:val="0"/>
                    <w:widowControl/>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FF0000"/>
                      <w:kern w:val="2"/>
                      <w:sz w:val="18"/>
                      <w:szCs w:val="18"/>
                      <w:highlight w:val="none"/>
                      <w:lang w:val="en-US" w:eastAsia="zh-CN" w:bidi="ar-SA"/>
                    </w:rPr>
                  </w:pPr>
                  <w:r>
                    <w:rPr>
                      <w:rFonts w:hint="eastAsia" w:cs="Times New Roman"/>
                      <w:color w:val="FF0000"/>
                      <w:sz w:val="18"/>
                      <w:szCs w:val="18"/>
                      <w:highlight w:val="none"/>
                      <w:lang w:val="en-US" w:eastAsia="zh-CN"/>
                    </w:rPr>
                    <w:t>4</w:t>
                  </w:r>
                </w:p>
              </w:tc>
              <w:tc>
                <w:tcPr>
                  <w:tcW w:w="872" w:type="dxa"/>
                  <w:vMerge w:val="continue"/>
                  <w:noWrap w:val="0"/>
                  <w:vAlign w:val="center"/>
                </w:tcPr>
                <w:p w14:paraId="25C1F677">
                  <w:pPr>
                    <w:pStyle w:val="100"/>
                    <w:keepNext w:val="0"/>
                    <w:keepLines w:val="0"/>
                    <w:widowControl/>
                    <w:suppressLineNumbers w:val="0"/>
                    <w:spacing w:before="0" w:beforeAutospacing="0" w:after="0" w:afterAutospacing="0" w:line="240" w:lineRule="auto"/>
                    <w:ind w:left="0" w:right="0"/>
                    <w:jc w:val="center"/>
                    <w:rPr>
                      <w:rFonts w:hint="eastAsia" w:cs="Times New Roman"/>
                      <w:color w:val="FF0000"/>
                      <w:sz w:val="18"/>
                      <w:szCs w:val="18"/>
                      <w:highlight w:val="none"/>
                      <w:lang w:val="en-US" w:eastAsia="zh-CN"/>
                    </w:rPr>
                  </w:pPr>
                </w:p>
              </w:tc>
              <w:tc>
                <w:tcPr>
                  <w:tcW w:w="1208" w:type="dxa"/>
                  <w:shd w:val="clear" w:color="auto" w:fill="auto"/>
                  <w:noWrap w:val="0"/>
                  <w:vAlign w:val="center"/>
                </w:tcPr>
                <w:p w14:paraId="7D3B4725">
                  <w:pPr>
                    <w:pStyle w:val="149"/>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18"/>
                      <w:szCs w:val="18"/>
                      <w:highlight w:val="none"/>
                      <w:lang w:val="en-US"/>
                    </w:rPr>
                  </w:pPr>
                  <w:r>
                    <w:rPr>
                      <w:rFonts w:hint="default" w:ascii="Times New Roman" w:hAnsi="Times New Roman" w:eastAsia="宋体" w:cs="Times New Roman"/>
                      <w:color w:val="FF0000"/>
                      <w:kern w:val="2"/>
                      <w:sz w:val="18"/>
                      <w:szCs w:val="18"/>
                      <w:highlight w:val="none"/>
                      <w:lang w:val="en-US" w:eastAsia="zh-CN" w:bidi="ar-SA"/>
                    </w:rPr>
                    <w:t>固废</w:t>
                  </w:r>
                </w:p>
              </w:tc>
              <w:tc>
                <w:tcPr>
                  <w:tcW w:w="3854" w:type="dxa"/>
                  <w:shd w:val="clear" w:color="auto" w:fill="auto"/>
                  <w:noWrap w:val="0"/>
                  <w:vAlign w:val="center"/>
                </w:tcPr>
                <w:p w14:paraId="3C31D265">
                  <w:pPr>
                    <w:pStyle w:val="149"/>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18"/>
                      <w:szCs w:val="18"/>
                      <w:highlight w:val="none"/>
                    </w:rPr>
                  </w:pPr>
                  <w:r>
                    <w:rPr>
                      <w:rFonts w:hint="eastAsia" w:cs="Times New Roman"/>
                      <w:color w:val="auto"/>
                      <w:kern w:val="2"/>
                      <w:sz w:val="18"/>
                      <w:szCs w:val="18"/>
                      <w:highlight w:val="none"/>
                      <w:lang w:val="en-US" w:eastAsia="zh-CN" w:bidi="ar-SA"/>
                    </w:rPr>
                    <w:t>生活垃圾处置、</w:t>
                  </w:r>
                  <w:r>
                    <w:rPr>
                      <w:rFonts w:hint="eastAsia" w:eastAsia="宋体" w:cs="Times New Roman"/>
                      <w:color w:val="auto"/>
                      <w:kern w:val="2"/>
                      <w:sz w:val="18"/>
                      <w:szCs w:val="18"/>
                      <w:highlight w:val="none"/>
                      <w:lang w:val="en-US" w:eastAsia="zh-CN" w:bidi="ar-SA"/>
                    </w:rPr>
                    <w:t>建筑垃圾清运</w:t>
                  </w:r>
                </w:p>
              </w:tc>
              <w:tc>
                <w:tcPr>
                  <w:tcW w:w="1503" w:type="dxa"/>
                  <w:shd w:val="clear" w:color="auto" w:fill="auto"/>
                  <w:noWrap w:val="0"/>
                  <w:vAlign w:val="center"/>
                </w:tcPr>
                <w:p w14:paraId="7BE20E04">
                  <w:pPr>
                    <w:pStyle w:val="149"/>
                    <w:keepNext w:val="0"/>
                    <w:keepLines w:val="0"/>
                    <w:suppressLineNumbers w:val="0"/>
                    <w:spacing w:before="0" w:beforeAutospacing="0" w:after="0" w:afterAutospacing="0"/>
                    <w:ind w:left="0" w:leftChars="0" w:right="0" w:rightChars="0"/>
                    <w:jc w:val="center"/>
                    <w:rPr>
                      <w:rFonts w:hint="eastAsia" w:cs="Times New Roman"/>
                      <w:color w:val="FF0000"/>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r>
            <w:tr w14:paraId="2AB0AD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652" w:type="dxa"/>
                  <w:shd w:val="clear" w:color="auto" w:fill="auto"/>
                  <w:noWrap w:val="0"/>
                  <w:vAlign w:val="center"/>
                </w:tcPr>
                <w:p w14:paraId="5DC16CC6">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18"/>
                      <w:szCs w:val="18"/>
                      <w:highlight w:val="none"/>
                      <w:lang w:val="en-US" w:eastAsia="zh-CN" w:bidi="ar-SA"/>
                    </w:rPr>
                  </w:pPr>
                  <w:r>
                    <w:rPr>
                      <w:rFonts w:hint="eastAsia" w:cs="Times New Roman"/>
                      <w:color w:val="FF0000"/>
                      <w:sz w:val="18"/>
                      <w:szCs w:val="18"/>
                      <w:highlight w:val="none"/>
                      <w:lang w:val="en-US" w:eastAsia="zh-CN"/>
                    </w:rPr>
                    <w:t>5</w:t>
                  </w:r>
                </w:p>
              </w:tc>
              <w:tc>
                <w:tcPr>
                  <w:tcW w:w="872" w:type="dxa"/>
                  <w:vMerge w:val="restart"/>
                  <w:noWrap w:val="0"/>
                  <w:vAlign w:val="center"/>
                </w:tcPr>
                <w:p w14:paraId="250217A8">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运营期</w:t>
                  </w:r>
                </w:p>
              </w:tc>
              <w:tc>
                <w:tcPr>
                  <w:tcW w:w="1208" w:type="dxa"/>
                  <w:shd w:val="clear" w:color="auto" w:fill="auto"/>
                  <w:noWrap w:val="0"/>
                  <w:vAlign w:val="center"/>
                </w:tcPr>
                <w:p w14:paraId="012F659E">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18"/>
                      <w:szCs w:val="18"/>
                      <w:highlight w:val="none"/>
                      <w:lang w:val="en-US" w:eastAsia="zh-CN" w:bidi="ar-SA"/>
                    </w:rPr>
                  </w:pPr>
                  <w:r>
                    <w:rPr>
                      <w:rFonts w:hint="default" w:ascii="Times New Roman" w:hAnsi="Times New Roman" w:eastAsia="宋体" w:cs="Times New Roman"/>
                      <w:color w:val="FF0000"/>
                      <w:sz w:val="18"/>
                      <w:szCs w:val="18"/>
                      <w:highlight w:val="none"/>
                      <w:lang w:val="en-US"/>
                    </w:rPr>
                    <w:t>噪声</w:t>
                  </w:r>
                </w:p>
              </w:tc>
              <w:tc>
                <w:tcPr>
                  <w:tcW w:w="3854" w:type="dxa"/>
                  <w:shd w:val="clear" w:color="auto" w:fill="auto"/>
                  <w:noWrap w:val="0"/>
                  <w:vAlign w:val="center"/>
                </w:tcPr>
                <w:p w14:paraId="4BFA95B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18"/>
                      <w:szCs w:val="18"/>
                      <w:highlight w:val="none"/>
                      <w:lang w:val="en-US" w:eastAsia="zh-CN" w:bidi="ar-SA"/>
                    </w:rPr>
                  </w:pPr>
                  <w:r>
                    <w:rPr>
                      <w:rFonts w:hint="default" w:ascii="Times New Roman" w:hAnsi="Times New Roman" w:eastAsia="宋体" w:cs="Times New Roman"/>
                      <w:color w:val="FF0000"/>
                      <w:sz w:val="18"/>
                      <w:szCs w:val="18"/>
                      <w:highlight w:val="none"/>
                    </w:rPr>
                    <w:t>选用低噪声设备、基础减振</w:t>
                  </w:r>
                  <w:r>
                    <w:rPr>
                      <w:rFonts w:hint="default" w:ascii="Times New Roman" w:hAnsi="Times New Roman" w:cs="Times New Roman"/>
                      <w:color w:val="FF0000"/>
                      <w:sz w:val="18"/>
                      <w:szCs w:val="18"/>
                      <w:highlight w:val="none"/>
                      <w:lang w:eastAsia="zh-CN"/>
                    </w:rPr>
                    <w:t>、</w:t>
                  </w:r>
                  <w:r>
                    <w:rPr>
                      <w:rFonts w:hint="eastAsia" w:cs="Times New Roman"/>
                      <w:color w:val="FF0000"/>
                      <w:sz w:val="18"/>
                      <w:szCs w:val="18"/>
                      <w:highlight w:val="none"/>
                      <w:lang w:val="en-US" w:eastAsia="zh-CN"/>
                    </w:rPr>
                    <w:t>隔声</w:t>
                  </w:r>
                  <w:r>
                    <w:rPr>
                      <w:rFonts w:hint="default" w:ascii="Times New Roman" w:hAnsi="Times New Roman" w:cs="Times New Roman"/>
                      <w:color w:val="FF0000"/>
                      <w:sz w:val="18"/>
                      <w:szCs w:val="18"/>
                      <w:highlight w:val="none"/>
                      <w:lang w:val="en-US" w:eastAsia="zh-CN"/>
                    </w:rPr>
                    <w:t>等</w:t>
                  </w:r>
                  <w:r>
                    <w:rPr>
                      <w:rFonts w:hint="default" w:ascii="Times New Roman" w:hAnsi="Times New Roman" w:cs="Times New Roman"/>
                      <w:color w:val="FF0000"/>
                      <w:sz w:val="18"/>
                      <w:szCs w:val="18"/>
                      <w:highlight w:val="none"/>
                    </w:rPr>
                    <w:t>措施</w:t>
                  </w:r>
                </w:p>
              </w:tc>
              <w:tc>
                <w:tcPr>
                  <w:tcW w:w="1503" w:type="dxa"/>
                  <w:shd w:val="clear" w:color="auto" w:fill="auto"/>
                  <w:noWrap w:val="0"/>
                  <w:vAlign w:val="center"/>
                </w:tcPr>
                <w:p w14:paraId="2F22B5D8">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FF0000"/>
                      <w:kern w:val="2"/>
                      <w:sz w:val="18"/>
                      <w:szCs w:val="18"/>
                      <w:highlight w:val="none"/>
                      <w:lang w:val="en-US" w:eastAsia="zh-CN" w:bidi="ar-SA"/>
                    </w:rPr>
                  </w:pPr>
                  <w:r>
                    <w:rPr>
                      <w:rFonts w:hint="eastAsia" w:cs="Times New Roman"/>
                      <w:color w:val="FF0000"/>
                      <w:kern w:val="2"/>
                      <w:sz w:val="18"/>
                      <w:szCs w:val="18"/>
                      <w:highlight w:val="none"/>
                      <w:lang w:val="en-US" w:eastAsia="zh-CN" w:bidi="ar-SA"/>
                    </w:rPr>
                    <w:t>0.5</w:t>
                  </w:r>
                </w:p>
              </w:tc>
            </w:tr>
            <w:tr w14:paraId="6473A2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2" w:type="dxa"/>
                  <w:shd w:val="clear" w:color="auto" w:fill="auto"/>
                  <w:noWrap w:val="0"/>
                  <w:vAlign w:val="center"/>
                </w:tcPr>
                <w:p w14:paraId="2E945861">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18"/>
                      <w:szCs w:val="18"/>
                      <w:highlight w:val="none"/>
                      <w:lang w:val="en-US" w:eastAsia="zh-CN" w:bidi="ar-SA"/>
                    </w:rPr>
                  </w:pPr>
                  <w:r>
                    <w:rPr>
                      <w:rFonts w:hint="eastAsia" w:cs="Times New Roman"/>
                      <w:color w:val="FF0000"/>
                      <w:sz w:val="18"/>
                      <w:szCs w:val="18"/>
                      <w:highlight w:val="none"/>
                      <w:lang w:val="en-US" w:eastAsia="zh-CN"/>
                    </w:rPr>
                    <w:t>6</w:t>
                  </w:r>
                </w:p>
              </w:tc>
              <w:tc>
                <w:tcPr>
                  <w:tcW w:w="872" w:type="dxa"/>
                  <w:vMerge w:val="continue"/>
                  <w:noWrap w:val="0"/>
                  <w:vAlign w:val="center"/>
                </w:tcPr>
                <w:p w14:paraId="021CE84E">
                  <w:pPr>
                    <w:pStyle w:val="100"/>
                    <w:keepNext w:val="0"/>
                    <w:keepLines w:val="0"/>
                    <w:widowControl/>
                    <w:suppressLineNumbers w:val="0"/>
                    <w:spacing w:before="0" w:beforeAutospacing="0" w:after="0" w:afterAutospacing="0" w:line="240" w:lineRule="auto"/>
                    <w:ind w:left="0" w:right="0"/>
                    <w:jc w:val="center"/>
                    <w:rPr>
                      <w:rFonts w:hint="eastAsia" w:cs="Times New Roman"/>
                      <w:color w:val="FF0000"/>
                      <w:sz w:val="18"/>
                      <w:szCs w:val="18"/>
                      <w:highlight w:val="none"/>
                      <w:lang w:val="en-US" w:eastAsia="zh-CN"/>
                    </w:rPr>
                  </w:pPr>
                </w:p>
              </w:tc>
              <w:tc>
                <w:tcPr>
                  <w:tcW w:w="1208" w:type="dxa"/>
                  <w:shd w:val="clear" w:color="auto" w:fill="auto"/>
                  <w:noWrap w:val="0"/>
                  <w:vAlign w:val="center"/>
                </w:tcPr>
                <w:p w14:paraId="77065405">
                  <w:pPr>
                    <w:pStyle w:val="100"/>
                    <w:keepNext w:val="0"/>
                    <w:keepLines w:val="0"/>
                    <w:widowControl/>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废气</w:t>
                  </w:r>
                </w:p>
              </w:tc>
              <w:tc>
                <w:tcPr>
                  <w:tcW w:w="3854" w:type="dxa"/>
                  <w:shd w:val="clear" w:color="auto" w:fill="auto"/>
                  <w:noWrap w:val="0"/>
                  <w:vAlign w:val="center"/>
                </w:tcPr>
                <w:p w14:paraId="5B0849F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布袋除尘器、输送机封闭、烘干塔防尘挡板</w:t>
                  </w:r>
                </w:p>
              </w:tc>
              <w:tc>
                <w:tcPr>
                  <w:tcW w:w="1503" w:type="dxa"/>
                  <w:shd w:val="clear" w:color="auto" w:fill="auto"/>
                  <w:noWrap w:val="0"/>
                  <w:vAlign w:val="center"/>
                </w:tcPr>
                <w:p w14:paraId="31EB63A6">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cs="Times New Roman"/>
                      <w:color w:val="FF0000"/>
                      <w:sz w:val="18"/>
                      <w:szCs w:val="18"/>
                      <w:highlight w:val="none"/>
                      <w:lang w:val="en-US" w:eastAsia="zh-CN"/>
                    </w:rPr>
                  </w:pPr>
                  <w:r>
                    <w:rPr>
                      <w:rFonts w:hint="eastAsia" w:cs="Times New Roman"/>
                      <w:color w:val="FF0000"/>
                      <w:sz w:val="18"/>
                      <w:szCs w:val="18"/>
                      <w:highlight w:val="none"/>
                      <w:lang w:val="en-US" w:eastAsia="zh-CN"/>
                    </w:rPr>
                    <w:t>6</w:t>
                  </w:r>
                </w:p>
              </w:tc>
            </w:tr>
            <w:tr w14:paraId="23AF6C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2" w:type="dxa"/>
                  <w:shd w:val="clear" w:color="auto" w:fill="auto"/>
                  <w:noWrap w:val="0"/>
                  <w:vAlign w:val="center"/>
                </w:tcPr>
                <w:p w14:paraId="38CA6326">
                  <w:pPr>
                    <w:pStyle w:val="100"/>
                    <w:keepNext w:val="0"/>
                    <w:keepLines w:val="0"/>
                    <w:widowControl/>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FF0000"/>
                      <w:kern w:val="2"/>
                      <w:sz w:val="18"/>
                      <w:szCs w:val="18"/>
                      <w:highlight w:val="none"/>
                      <w:lang w:val="en-US" w:eastAsia="zh-CN" w:bidi="ar-SA"/>
                    </w:rPr>
                  </w:pPr>
                  <w:r>
                    <w:rPr>
                      <w:rFonts w:hint="eastAsia" w:ascii="Times New Roman" w:hAnsi="Times New Roman" w:eastAsia="宋体" w:cs="Times New Roman"/>
                      <w:color w:val="FF0000"/>
                      <w:sz w:val="18"/>
                      <w:szCs w:val="18"/>
                      <w:highlight w:val="none"/>
                      <w:lang w:val="en-US" w:eastAsia="zh-CN"/>
                    </w:rPr>
                    <w:t>7</w:t>
                  </w:r>
                </w:p>
              </w:tc>
              <w:tc>
                <w:tcPr>
                  <w:tcW w:w="872" w:type="dxa"/>
                  <w:vMerge w:val="continue"/>
                  <w:noWrap w:val="0"/>
                  <w:vAlign w:val="center"/>
                </w:tcPr>
                <w:p w14:paraId="23B7E8AA">
                  <w:pPr>
                    <w:pStyle w:val="100"/>
                    <w:keepNext w:val="0"/>
                    <w:keepLines w:val="0"/>
                    <w:widowControl/>
                    <w:suppressLineNumbers w:val="0"/>
                    <w:spacing w:before="0" w:beforeAutospacing="0" w:after="0" w:afterAutospacing="0" w:line="240" w:lineRule="auto"/>
                    <w:ind w:left="0" w:right="0"/>
                    <w:jc w:val="center"/>
                    <w:rPr>
                      <w:rFonts w:hint="eastAsia" w:cs="Times New Roman"/>
                      <w:color w:val="FF0000"/>
                      <w:sz w:val="18"/>
                      <w:szCs w:val="18"/>
                      <w:highlight w:val="none"/>
                      <w:lang w:val="en-US" w:eastAsia="zh-CN"/>
                    </w:rPr>
                  </w:pPr>
                </w:p>
              </w:tc>
              <w:tc>
                <w:tcPr>
                  <w:tcW w:w="1208" w:type="dxa"/>
                  <w:shd w:val="clear" w:color="auto" w:fill="auto"/>
                  <w:noWrap w:val="0"/>
                  <w:vAlign w:val="center"/>
                </w:tcPr>
                <w:p w14:paraId="558AB37F">
                  <w:pPr>
                    <w:pStyle w:val="100"/>
                    <w:keepNext w:val="0"/>
                    <w:keepLines w:val="0"/>
                    <w:widowControl/>
                    <w:suppressLineNumbers w:val="0"/>
                    <w:spacing w:before="0" w:beforeAutospacing="0" w:after="0" w:afterAutospacing="0" w:line="240" w:lineRule="auto"/>
                    <w:ind w:left="0" w:leftChars="0" w:right="0" w:rightChars="0"/>
                    <w:jc w:val="center"/>
                    <w:rPr>
                      <w:rFonts w:hint="default" w:cs="Times New Roman"/>
                      <w:color w:val="FF0000"/>
                      <w:sz w:val="18"/>
                      <w:szCs w:val="18"/>
                      <w:highlight w:val="none"/>
                      <w:lang w:val="en-US" w:eastAsia="zh-CN"/>
                    </w:rPr>
                  </w:pPr>
                  <w:r>
                    <w:rPr>
                      <w:rFonts w:hint="eastAsia" w:cs="Times New Roman"/>
                      <w:color w:val="FF0000"/>
                      <w:sz w:val="18"/>
                      <w:szCs w:val="18"/>
                      <w:highlight w:val="none"/>
                      <w:lang w:val="en-US" w:eastAsia="zh-CN"/>
                    </w:rPr>
                    <w:t>废水</w:t>
                  </w:r>
                </w:p>
              </w:tc>
              <w:tc>
                <w:tcPr>
                  <w:tcW w:w="3854" w:type="dxa"/>
                  <w:shd w:val="clear" w:color="auto" w:fill="auto"/>
                  <w:noWrap w:val="0"/>
                  <w:vAlign w:val="center"/>
                </w:tcPr>
                <w:p w14:paraId="3A2B9E1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s="Times New Roman"/>
                      <w:color w:val="FF0000"/>
                      <w:sz w:val="18"/>
                      <w:szCs w:val="18"/>
                      <w:highlight w:val="none"/>
                      <w:lang w:val="en-US" w:eastAsia="zh-CN"/>
                    </w:rPr>
                  </w:pPr>
                  <w:r>
                    <w:rPr>
                      <w:rFonts w:hint="eastAsia" w:cs="Times New Roman"/>
                      <w:color w:val="auto"/>
                      <w:kern w:val="2"/>
                      <w:sz w:val="18"/>
                      <w:szCs w:val="18"/>
                      <w:highlight w:val="none"/>
                      <w:lang w:val="en-US" w:eastAsia="zh-CN" w:bidi="ar-SA"/>
                    </w:rPr>
                    <w:t>防渗旱厕</w:t>
                  </w:r>
                </w:p>
              </w:tc>
              <w:tc>
                <w:tcPr>
                  <w:tcW w:w="1503" w:type="dxa"/>
                  <w:shd w:val="clear" w:color="auto" w:fill="auto"/>
                  <w:noWrap w:val="0"/>
                  <w:vAlign w:val="center"/>
                </w:tcPr>
                <w:p w14:paraId="5F509D52">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cs="Times New Roman"/>
                      <w:color w:val="FF0000"/>
                      <w:sz w:val="18"/>
                      <w:szCs w:val="18"/>
                      <w:highlight w:val="none"/>
                      <w:lang w:val="en-US" w:eastAsia="zh-CN"/>
                    </w:rPr>
                  </w:pPr>
                  <w:r>
                    <w:rPr>
                      <w:rFonts w:hint="eastAsia" w:cs="Times New Roman"/>
                      <w:color w:val="FF0000"/>
                      <w:sz w:val="18"/>
                      <w:szCs w:val="18"/>
                      <w:highlight w:val="none"/>
                      <w:lang w:val="en-US" w:eastAsia="zh-CN"/>
                    </w:rPr>
                    <w:t>/</w:t>
                  </w:r>
                </w:p>
              </w:tc>
            </w:tr>
            <w:tr w14:paraId="0F2151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2" w:type="dxa"/>
                  <w:shd w:val="clear" w:color="auto" w:fill="auto"/>
                  <w:noWrap w:val="0"/>
                  <w:vAlign w:val="center"/>
                </w:tcPr>
                <w:p w14:paraId="79DF6EDA">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18"/>
                      <w:szCs w:val="18"/>
                      <w:highlight w:val="none"/>
                      <w:lang w:val="en-US" w:eastAsia="zh-CN" w:bidi="ar-SA"/>
                    </w:rPr>
                  </w:pPr>
                  <w:r>
                    <w:rPr>
                      <w:rFonts w:hint="eastAsia" w:cs="Times New Roman"/>
                      <w:color w:val="FF0000"/>
                      <w:sz w:val="18"/>
                      <w:szCs w:val="18"/>
                      <w:highlight w:val="none"/>
                      <w:lang w:val="en-US" w:eastAsia="zh-CN"/>
                    </w:rPr>
                    <w:t>8</w:t>
                  </w:r>
                </w:p>
              </w:tc>
              <w:tc>
                <w:tcPr>
                  <w:tcW w:w="872" w:type="dxa"/>
                  <w:vMerge w:val="continue"/>
                  <w:noWrap w:val="0"/>
                  <w:vAlign w:val="center"/>
                </w:tcPr>
                <w:p w14:paraId="558ED7D9">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18"/>
                      <w:szCs w:val="18"/>
                      <w:highlight w:val="none"/>
                      <w:lang w:val="en-US" w:eastAsia="zh-CN"/>
                    </w:rPr>
                  </w:pPr>
                </w:p>
              </w:tc>
              <w:tc>
                <w:tcPr>
                  <w:tcW w:w="1208" w:type="dxa"/>
                  <w:shd w:val="clear" w:color="auto" w:fill="auto"/>
                  <w:noWrap w:val="0"/>
                  <w:vAlign w:val="center"/>
                </w:tcPr>
                <w:p w14:paraId="0B7A07CA">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FF0000"/>
                      <w:kern w:val="2"/>
                      <w:sz w:val="18"/>
                      <w:szCs w:val="18"/>
                      <w:highlight w:val="none"/>
                      <w:lang w:val="en-US" w:eastAsia="zh-CN" w:bidi="ar-SA"/>
                    </w:rPr>
                  </w:pPr>
                  <w:r>
                    <w:rPr>
                      <w:rFonts w:hint="default" w:ascii="Times New Roman" w:hAnsi="Times New Roman" w:cs="Times New Roman"/>
                      <w:color w:val="FF0000"/>
                      <w:sz w:val="18"/>
                      <w:szCs w:val="18"/>
                      <w:highlight w:val="none"/>
                      <w:lang w:val="en-US" w:eastAsia="zh-CN"/>
                    </w:rPr>
                    <w:t>固废处理</w:t>
                  </w:r>
                </w:p>
              </w:tc>
              <w:tc>
                <w:tcPr>
                  <w:tcW w:w="3854" w:type="dxa"/>
                  <w:shd w:val="clear" w:color="auto" w:fill="auto"/>
                  <w:noWrap w:val="0"/>
                  <w:vAlign w:val="center"/>
                </w:tcPr>
                <w:p w14:paraId="5A54EE59">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18"/>
                      <w:szCs w:val="18"/>
                      <w:highlight w:val="none"/>
                      <w:lang w:val="en-US" w:eastAsia="zh-CN" w:bidi="ar-SA"/>
                    </w:rPr>
                  </w:pPr>
                  <w:r>
                    <w:rPr>
                      <w:rFonts w:hint="eastAsia" w:ascii="Times New Roman" w:hAnsi="Times New Roman" w:cs="Times New Roman"/>
                      <w:color w:val="FF0000"/>
                      <w:sz w:val="18"/>
                      <w:szCs w:val="18"/>
                      <w:highlight w:val="none"/>
                      <w:lang w:val="en-US" w:eastAsia="zh-CN"/>
                    </w:rPr>
                    <w:t>密闭式灰渣间、密闭式生物质燃料间、危废贮存点</w:t>
                  </w:r>
                </w:p>
              </w:tc>
              <w:tc>
                <w:tcPr>
                  <w:tcW w:w="1503" w:type="dxa"/>
                  <w:shd w:val="clear" w:color="auto" w:fill="auto"/>
                  <w:noWrap w:val="0"/>
                  <w:vAlign w:val="center"/>
                </w:tcPr>
                <w:p w14:paraId="756A2CEC">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18"/>
                      <w:szCs w:val="18"/>
                      <w:highlight w:val="none"/>
                      <w:lang w:val="en-US" w:eastAsia="zh-CN" w:bidi="ar-SA"/>
                    </w:rPr>
                  </w:pPr>
                  <w:r>
                    <w:rPr>
                      <w:rFonts w:hint="eastAsia" w:ascii="Times New Roman" w:hAnsi="Times New Roman" w:cs="Times New Roman"/>
                      <w:color w:val="FF0000"/>
                      <w:sz w:val="18"/>
                      <w:szCs w:val="18"/>
                      <w:highlight w:val="none"/>
                      <w:lang w:val="en-US" w:eastAsia="zh-CN"/>
                    </w:rPr>
                    <w:t>1</w:t>
                  </w:r>
                </w:p>
              </w:tc>
            </w:tr>
            <w:tr w14:paraId="1C6834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2" w:type="dxa"/>
                  <w:shd w:val="clear" w:color="auto" w:fill="auto"/>
                  <w:noWrap w:val="0"/>
                  <w:vAlign w:val="center"/>
                </w:tcPr>
                <w:p w14:paraId="06DC4863">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18"/>
                      <w:szCs w:val="18"/>
                      <w:highlight w:val="none"/>
                      <w:lang w:val="en-US" w:eastAsia="zh-CN" w:bidi="ar-SA"/>
                    </w:rPr>
                  </w:pPr>
                  <w:r>
                    <w:rPr>
                      <w:rFonts w:hint="eastAsia" w:cs="Times New Roman"/>
                      <w:color w:val="FF0000"/>
                      <w:sz w:val="18"/>
                      <w:szCs w:val="18"/>
                      <w:highlight w:val="none"/>
                      <w:lang w:val="en-US" w:eastAsia="zh-CN"/>
                    </w:rPr>
                    <w:t>9</w:t>
                  </w:r>
                </w:p>
              </w:tc>
              <w:tc>
                <w:tcPr>
                  <w:tcW w:w="872" w:type="dxa"/>
                  <w:vMerge w:val="continue"/>
                  <w:noWrap w:val="0"/>
                  <w:vAlign w:val="center"/>
                </w:tcPr>
                <w:p w14:paraId="77CD1542">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FF0000"/>
                      <w:sz w:val="18"/>
                      <w:szCs w:val="18"/>
                      <w:highlight w:val="none"/>
                      <w:lang w:val="en-US" w:eastAsia="zh-CN"/>
                    </w:rPr>
                  </w:pPr>
                </w:p>
              </w:tc>
              <w:tc>
                <w:tcPr>
                  <w:tcW w:w="1208" w:type="dxa"/>
                  <w:shd w:val="clear" w:color="auto" w:fill="auto"/>
                  <w:noWrap w:val="0"/>
                  <w:vAlign w:val="center"/>
                </w:tcPr>
                <w:p w14:paraId="544BBB6F">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FF0000"/>
                      <w:kern w:val="2"/>
                      <w:sz w:val="18"/>
                      <w:szCs w:val="18"/>
                      <w:highlight w:val="none"/>
                      <w:lang w:val="en-US" w:eastAsia="zh-CN" w:bidi="ar-SA"/>
                    </w:rPr>
                  </w:pPr>
                  <w:r>
                    <w:rPr>
                      <w:rFonts w:hint="default" w:ascii="Times New Roman" w:hAnsi="Times New Roman" w:cs="Times New Roman"/>
                      <w:color w:val="FF0000"/>
                      <w:sz w:val="18"/>
                      <w:szCs w:val="18"/>
                      <w:highlight w:val="none"/>
                      <w:lang w:val="en-US" w:eastAsia="zh-CN"/>
                    </w:rPr>
                    <w:t>环境管理</w:t>
                  </w:r>
                </w:p>
              </w:tc>
              <w:tc>
                <w:tcPr>
                  <w:tcW w:w="3854" w:type="dxa"/>
                  <w:shd w:val="clear" w:color="auto" w:fill="auto"/>
                  <w:noWrap w:val="0"/>
                  <w:vAlign w:val="center"/>
                </w:tcPr>
                <w:p w14:paraId="7D23E6FA">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18"/>
                      <w:szCs w:val="18"/>
                      <w:highlight w:val="none"/>
                      <w:lang w:val="en-US" w:eastAsia="zh-CN" w:bidi="ar-SA"/>
                    </w:rPr>
                  </w:pPr>
                  <w:r>
                    <w:rPr>
                      <w:rFonts w:hint="default" w:ascii="Times New Roman" w:hAnsi="Times New Roman" w:cs="Times New Roman"/>
                      <w:color w:val="FF0000"/>
                      <w:sz w:val="18"/>
                      <w:szCs w:val="18"/>
                      <w:highlight w:val="none"/>
                      <w:lang w:val="en-US" w:eastAsia="zh-CN"/>
                    </w:rPr>
                    <w:t>厂区环境管理</w:t>
                  </w:r>
                </w:p>
              </w:tc>
              <w:tc>
                <w:tcPr>
                  <w:tcW w:w="1503" w:type="dxa"/>
                  <w:shd w:val="clear" w:color="auto" w:fill="auto"/>
                  <w:noWrap w:val="0"/>
                  <w:vAlign w:val="center"/>
                </w:tcPr>
                <w:p w14:paraId="0A3392F5">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18"/>
                      <w:szCs w:val="18"/>
                      <w:highlight w:val="none"/>
                      <w:lang w:val="en-US" w:eastAsia="zh-CN" w:bidi="ar-SA"/>
                    </w:rPr>
                  </w:pPr>
                  <w:r>
                    <w:rPr>
                      <w:rFonts w:hint="eastAsia" w:ascii="Times New Roman" w:hAnsi="Times New Roman" w:cs="Times New Roman"/>
                      <w:color w:val="FF0000"/>
                      <w:sz w:val="18"/>
                      <w:szCs w:val="18"/>
                      <w:highlight w:val="none"/>
                      <w:lang w:val="en-US" w:eastAsia="zh-CN"/>
                    </w:rPr>
                    <w:t>1</w:t>
                  </w:r>
                </w:p>
              </w:tc>
            </w:tr>
            <w:tr w14:paraId="75B520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2" w:type="dxa"/>
                  <w:shd w:val="clear" w:color="auto" w:fill="auto"/>
                  <w:noWrap w:val="0"/>
                  <w:vAlign w:val="center"/>
                </w:tcPr>
                <w:p w14:paraId="55250031">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2"/>
                      <w:sz w:val="18"/>
                      <w:szCs w:val="18"/>
                      <w:highlight w:val="none"/>
                      <w:lang w:val="en-US" w:eastAsia="zh-CN" w:bidi="ar-SA"/>
                    </w:rPr>
                  </w:pPr>
                  <w:r>
                    <w:rPr>
                      <w:rFonts w:hint="eastAsia" w:cs="Times New Roman"/>
                      <w:color w:val="FF0000"/>
                      <w:sz w:val="18"/>
                      <w:szCs w:val="18"/>
                      <w:highlight w:val="none"/>
                      <w:lang w:val="en-US" w:eastAsia="zh-CN"/>
                    </w:rPr>
                    <w:t>10</w:t>
                  </w:r>
                </w:p>
              </w:tc>
              <w:tc>
                <w:tcPr>
                  <w:tcW w:w="872" w:type="dxa"/>
                  <w:vMerge w:val="continue"/>
                  <w:noWrap w:val="0"/>
                  <w:vAlign w:val="center"/>
                </w:tcPr>
                <w:p w14:paraId="19B0A9CF">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FF0000"/>
                      <w:sz w:val="18"/>
                      <w:szCs w:val="18"/>
                      <w:highlight w:val="none"/>
                      <w:lang w:val="en-US" w:eastAsia="zh-CN"/>
                    </w:rPr>
                  </w:pPr>
                </w:p>
              </w:tc>
              <w:tc>
                <w:tcPr>
                  <w:tcW w:w="1208" w:type="dxa"/>
                  <w:shd w:val="clear" w:color="auto" w:fill="auto"/>
                  <w:noWrap w:val="0"/>
                  <w:vAlign w:val="center"/>
                </w:tcPr>
                <w:p w14:paraId="7874CCE5">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FF0000"/>
                      <w:kern w:val="2"/>
                      <w:sz w:val="18"/>
                      <w:szCs w:val="18"/>
                      <w:highlight w:val="none"/>
                      <w:lang w:val="en-US" w:eastAsia="zh-CN" w:bidi="ar-SA"/>
                    </w:rPr>
                  </w:pPr>
                  <w:r>
                    <w:rPr>
                      <w:rFonts w:hint="default" w:ascii="Times New Roman" w:hAnsi="Times New Roman" w:cs="Times New Roman"/>
                      <w:color w:val="FF0000"/>
                      <w:sz w:val="18"/>
                      <w:szCs w:val="18"/>
                      <w:highlight w:val="none"/>
                      <w:lang w:val="en-US" w:eastAsia="zh-CN"/>
                    </w:rPr>
                    <w:t>监测费用</w:t>
                  </w:r>
                </w:p>
              </w:tc>
              <w:tc>
                <w:tcPr>
                  <w:tcW w:w="3854" w:type="dxa"/>
                  <w:shd w:val="clear" w:color="auto" w:fill="auto"/>
                  <w:noWrap w:val="0"/>
                  <w:vAlign w:val="center"/>
                </w:tcPr>
                <w:p w14:paraId="76266737">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18"/>
                      <w:szCs w:val="18"/>
                      <w:highlight w:val="none"/>
                      <w:lang w:val="en-US" w:eastAsia="zh-CN" w:bidi="ar-SA"/>
                    </w:rPr>
                  </w:pPr>
                  <w:r>
                    <w:rPr>
                      <w:rFonts w:hint="default" w:ascii="Times New Roman" w:hAnsi="Times New Roman" w:cs="Times New Roman"/>
                      <w:color w:val="FF0000"/>
                      <w:sz w:val="18"/>
                      <w:szCs w:val="18"/>
                      <w:highlight w:val="none"/>
                      <w:lang w:val="en-US" w:eastAsia="zh-CN"/>
                    </w:rPr>
                    <w:t>厂区废气</w:t>
                  </w:r>
                  <w:r>
                    <w:rPr>
                      <w:rFonts w:hint="eastAsia" w:ascii="Times New Roman" w:hAnsi="Times New Roman" w:cs="Times New Roman"/>
                      <w:color w:val="FF0000"/>
                      <w:sz w:val="18"/>
                      <w:szCs w:val="18"/>
                      <w:highlight w:val="none"/>
                      <w:lang w:val="en-US" w:eastAsia="zh-CN"/>
                    </w:rPr>
                    <w:t>、</w:t>
                  </w:r>
                  <w:r>
                    <w:rPr>
                      <w:rFonts w:hint="default" w:ascii="Times New Roman" w:hAnsi="Times New Roman" w:cs="Times New Roman"/>
                      <w:color w:val="FF0000"/>
                      <w:sz w:val="18"/>
                      <w:szCs w:val="18"/>
                      <w:highlight w:val="none"/>
                      <w:lang w:val="en-US" w:eastAsia="zh-CN"/>
                    </w:rPr>
                    <w:t>噪声自行监测</w:t>
                  </w:r>
                </w:p>
              </w:tc>
              <w:tc>
                <w:tcPr>
                  <w:tcW w:w="1503" w:type="dxa"/>
                  <w:shd w:val="clear" w:color="auto" w:fill="auto"/>
                  <w:noWrap w:val="0"/>
                  <w:vAlign w:val="center"/>
                </w:tcPr>
                <w:p w14:paraId="2D9721E2">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FF0000"/>
                      <w:kern w:val="2"/>
                      <w:sz w:val="18"/>
                      <w:szCs w:val="18"/>
                      <w:highlight w:val="none"/>
                      <w:lang w:val="en-US" w:eastAsia="zh-CN" w:bidi="ar-SA"/>
                    </w:rPr>
                  </w:pPr>
                  <w:r>
                    <w:rPr>
                      <w:rFonts w:hint="eastAsia" w:ascii="Times New Roman" w:hAnsi="Times New Roman" w:cs="Times New Roman"/>
                      <w:color w:val="FF0000"/>
                      <w:sz w:val="18"/>
                      <w:szCs w:val="18"/>
                      <w:highlight w:val="none"/>
                      <w:lang w:val="en-US" w:eastAsia="zh-CN"/>
                    </w:rPr>
                    <w:t>1.5</w:t>
                  </w:r>
                </w:p>
              </w:tc>
            </w:tr>
            <w:tr w14:paraId="363DFF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05" w:hRule="atLeast"/>
                <w:jc w:val="center"/>
              </w:trPr>
              <w:tc>
                <w:tcPr>
                  <w:tcW w:w="652" w:type="dxa"/>
                  <w:noWrap w:val="0"/>
                  <w:vAlign w:val="center"/>
                </w:tcPr>
                <w:p w14:paraId="0E688A21">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FF0000"/>
                      <w:sz w:val="18"/>
                      <w:szCs w:val="18"/>
                      <w:highlight w:val="none"/>
                      <w:lang w:val="en-US" w:eastAsia="zh-CN"/>
                    </w:rPr>
                  </w:pPr>
                  <w:r>
                    <w:rPr>
                      <w:rFonts w:hint="eastAsia" w:cs="Times New Roman"/>
                      <w:color w:val="FF0000"/>
                      <w:sz w:val="18"/>
                      <w:szCs w:val="18"/>
                      <w:highlight w:val="none"/>
                      <w:lang w:val="en-US" w:eastAsia="zh-CN"/>
                    </w:rPr>
                    <w:t>11</w:t>
                  </w:r>
                </w:p>
              </w:tc>
              <w:tc>
                <w:tcPr>
                  <w:tcW w:w="872" w:type="dxa"/>
                  <w:vMerge w:val="continue"/>
                  <w:noWrap w:val="0"/>
                  <w:vAlign w:val="center"/>
                </w:tcPr>
                <w:p w14:paraId="268A9735">
                  <w:pPr>
                    <w:pStyle w:val="100"/>
                    <w:keepNext w:val="0"/>
                    <w:keepLines w:val="0"/>
                    <w:widowControl/>
                    <w:suppressLineNumbers w:val="0"/>
                    <w:spacing w:before="0" w:beforeAutospacing="0" w:after="0" w:afterAutospacing="0" w:line="240" w:lineRule="auto"/>
                    <w:ind w:left="0" w:right="0"/>
                    <w:jc w:val="center"/>
                    <w:rPr>
                      <w:rFonts w:hint="eastAsia" w:cs="Times New Roman"/>
                      <w:color w:val="FF0000"/>
                      <w:sz w:val="18"/>
                      <w:szCs w:val="18"/>
                      <w:highlight w:val="none"/>
                      <w:lang w:val="en-US" w:eastAsia="zh-CN"/>
                    </w:rPr>
                  </w:pPr>
                </w:p>
              </w:tc>
              <w:tc>
                <w:tcPr>
                  <w:tcW w:w="5062" w:type="dxa"/>
                  <w:gridSpan w:val="2"/>
                  <w:noWrap w:val="0"/>
                  <w:vAlign w:val="center"/>
                </w:tcPr>
                <w:p w14:paraId="22D22EE1">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FF0000"/>
                      <w:sz w:val="18"/>
                      <w:szCs w:val="18"/>
                      <w:highlight w:val="none"/>
                      <w:lang w:val="en-US" w:eastAsia="zh-CN"/>
                    </w:rPr>
                  </w:pPr>
                  <w:r>
                    <w:rPr>
                      <w:rFonts w:hint="eastAsia" w:ascii="Times New Roman" w:hAnsi="Times New Roman" w:cs="Times New Roman"/>
                      <w:color w:val="FF0000"/>
                      <w:sz w:val="18"/>
                      <w:szCs w:val="18"/>
                      <w:highlight w:val="none"/>
                      <w:lang w:val="en-US" w:eastAsia="zh-CN"/>
                    </w:rPr>
                    <w:t>环保设施运营及维护</w:t>
                  </w:r>
                </w:p>
              </w:tc>
              <w:tc>
                <w:tcPr>
                  <w:tcW w:w="1503" w:type="dxa"/>
                  <w:noWrap w:val="0"/>
                  <w:vAlign w:val="center"/>
                </w:tcPr>
                <w:p w14:paraId="3C43A97C">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FF0000"/>
                      <w:sz w:val="18"/>
                      <w:szCs w:val="18"/>
                      <w:highlight w:val="none"/>
                      <w:lang w:val="en-US" w:eastAsia="zh-CN"/>
                    </w:rPr>
                  </w:pPr>
                  <w:r>
                    <w:rPr>
                      <w:rFonts w:hint="eastAsia" w:ascii="Times New Roman" w:hAnsi="Times New Roman" w:cs="Times New Roman"/>
                      <w:color w:val="FF0000"/>
                      <w:sz w:val="18"/>
                      <w:szCs w:val="18"/>
                      <w:highlight w:val="none"/>
                      <w:lang w:val="en-US" w:eastAsia="zh-CN"/>
                    </w:rPr>
                    <w:t>2</w:t>
                  </w:r>
                </w:p>
              </w:tc>
            </w:tr>
            <w:tr w14:paraId="76AB86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86" w:type="dxa"/>
                  <w:gridSpan w:val="4"/>
                  <w:noWrap w:val="0"/>
                  <w:vAlign w:val="center"/>
                </w:tcPr>
                <w:p w14:paraId="0451AE13">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eastAsia="宋体" w:cs="Times New Roman"/>
                      <w:color w:val="FF0000"/>
                      <w:sz w:val="18"/>
                      <w:szCs w:val="18"/>
                      <w:highlight w:val="none"/>
                      <w:lang w:val="en-US" w:eastAsia="zh-CN"/>
                    </w:rPr>
                    <w:t>环保投资（万元）</w:t>
                  </w:r>
                </w:p>
              </w:tc>
              <w:tc>
                <w:tcPr>
                  <w:tcW w:w="1503" w:type="dxa"/>
                  <w:noWrap w:val="0"/>
                  <w:vAlign w:val="center"/>
                </w:tcPr>
                <w:p w14:paraId="3B7DDC0F">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cs="Times New Roman"/>
                      <w:color w:val="FF0000"/>
                      <w:sz w:val="18"/>
                      <w:szCs w:val="18"/>
                      <w:highlight w:val="none"/>
                      <w:lang w:val="en-US" w:eastAsia="zh-CN"/>
                    </w:rPr>
                    <w:t>15.5</w:t>
                  </w:r>
                </w:p>
              </w:tc>
            </w:tr>
            <w:tr w14:paraId="667B44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86" w:type="dxa"/>
                  <w:gridSpan w:val="4"/>
                  <w:noWrap w:val="0"/>
                  <w:vAlign w:val="center"/>
                </w:tcPr>
                <w:p w14:paraId="240FE873">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eastAsia="宋体" w:cs="Times New Roman"/>
                      <w:color w:val="FF0000"/>
                      <w:sz w:val="18"/>
                      <w:szCs w:val="18"/>
                      <w:highlight w:val="none"/>
                      <w:lang w:val="en-US" w:eastAsia="zh-CN"/>
                    </w:rPr>
                    <w:t>总投资（万元）</w:t>
                  </w:r>
                </w:p>
              </w:tc>
              <w:tc>
                <w:tcPr>
                  <w:tcW w:w="1503" w:type="dxa"/>
                  <w:noWrap w:val="0"/>
                  <w:vAlign w:val="center"/>
                </w:tcPr>
                <w:p w14:paraId="591F101A">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50</w:t>
                  </w:r>
                </w:p>
              </w:tc>
            </w:tr>
            <w:tr w14:paraId="4EBE25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6586" w:type="dxa"/>
                  <w:gridSpan w:val="4"/>
                  <w:tcBorders>
                    <w:bottom w:val="single" w:color="auto" w:sz="12" w:space="0"/>
                  </w:tcBorders>
                  <w:noWrap w:val="0"/>
                  <w:vAlign w:val="center"/>
                </w:tcPr>
                <w:p w14:paraId="3235D66A">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eastAsia="宋体" w:cs="Times New Roman"/>
                      <w:color w:val="FF0000"/>
                      <w:sz w:val="18"/>
                      <w:szCs w:val="18"/>
                      <w:highlight w:val="none"/>
                      <w:lang w:val="en-US" w:eastAsia="zh-CN"/>
                    </w:rPr>
                    <w:t>占总投资比例（%）</w:t>
                  </w:r>
                </w:p>
              </w:tc>
              <w:tc>
                <w:tcPr>
                  <w:tcW w:w="1503" w:type="dxa"/>
                  <w:tcBorders>
                    <w:bottom w:val="single" w:color="auto" w:sz="12" w:space="0"/>
                  </w:tcBorders>
                  <w:noWrap w:val="0"/>
                  <w:vAlign w:val="center"/>
                </w:tcPr>
                <w:p w14:paraId="019145EE">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31</w:t>
                  </w:r>
                </w:p>
              </w:tc>
            </w:tr>
          </w:tbl>
          <w:p w14:paraId="0C51B72A">
            <w:pPr>
              <w:pStyle w:val="2"/>
              <w:keepNext w:val="0"/>
              <w:keepLines w:val="0"/>
              <w:widowControl w:val="0"/>
              <w:suppressLineNumbers w:val="0"/>
              <w:snapToGrid/>
              <w:spacing w:before="0" w:beforeAutospacing="0" w:after="0" w:afterAutospacing="0" w:line="360" w:lineRule="auto"/>
              <w:ind w:left="0" w:right="0"/>
              <w:rPr>
                <w:rFonts w:hint="default" w:ascii="Times New Roman" w:hAnsi="Times New Roman" w:eastAsia="宋体" w:cs="Times New Roman"/>
                <w:color w:val="auto"/>
                <w:kern w:val="21"/>
                <w:sz w:val="24"/>
                <w:szCs w:val="21"/>
                <w:highlight w:val="none"/>
                <w:lang w:val="en-US" w:eastAsia="zh-CN"/>
              </w:rPr>
            </w:pPr>
          </w:p>
        </w:tc>
      </w:tr>
      <w:tr w14:paraId="7C0B60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758" w:type="dxa"/>
            <w:vAlign w:val="center"/>
          </w:tcPr>
          <w:p w14:paraId="544DF99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p>
          <w:p w14:paraId="188A6A1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工艺流程和产排污环节</w:t>
            </w:r>
          </w:p>
        </w:tc>
        <w:tc>
          <w:tcPr>
            <w:tcW w:w="8313" w:type="dxa"/>
            <w:vAlign w:val="center"/>
          </w:tcPr>
          <w:p w14:paraId="34C8CB1B">
            <w:pPr>
              <w:keepNext w:val="0"/>
              <w:keepLines w:val="0"/>
              <w:pageBreakBefore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textAlignment w:val="auto"/>
              <w:rPr>
                <w:rFonts w:hint="default"/>
                <w:b/>
                <w:bCs/>
                <w:color w:val="auto"/>
                <w:szCs w:val="21"/>
                <w:highlight w:val="none"/>
              </w:rPr>
            </w:pPr>
            <w:r>
              <w:rPr>
                <w:rFonts w:hint="eastAsia" w:ascii="Times New Roman" w:hAnsi="Times New Roman" w:eastAsia="宋体" w:cs="Times New Roman"/>
                <w:b/>
                <w:bCs/>
                <w:color w:val="auto"/>
                <w:kern w:val="2"/>
                <w:sz w:val="21"/>
                <w:szCs w:val="21"/>
                <w:lang w:val="en-US" w:eastAsia="zh-CN" w:bidi="ar-SA"/>
              </w:rPr>
              <w:t>一、</w:t>
            </w:r>
            <w:r>
              <w:rPr>
                <w:rFonts w:hint="default"/>
                <w:b/>
                <w:bCs/>
                <w:color w:val="auto"/>
                <w:szCs w:val="21"/>
                <w:highlight w:val="none"/>
              </w:rPr>
              <w:t>施工期工艺流程分析</w:t>
            </w:r>
          </w:p>
          <w:p w14:paraId="19563E2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w:t>
            </w:r>
            <w:r>
              <w:rPr>
                <w:rFonts w:hint="eastAsia" w:ascii="Times New Roman" w:hAnsi="Times New Roman" w:eastAsia="宋体" w:cs="Times New Roman"/>
                <w:b w:val="0"/>
                <w:bCs w:val="0"/>
                <w:color w:val="auto"/>
                <w:sz w:val="21"/>
                <w:szCs w:val="21"/>
                <w:highlight w:val="none"/>
                <w:lang w:val="en-US" w:eastAsia="zh-CN"/>
              </w:rPr>
              <w:t>新建1座</w:t>
            </w:r>
            <w:r>
              <w:rPr>
                <w:rFonts w:hint="eastAsia" w:cs="Times New Roman"/>
                <w:b w:val="0"/>
                <w:bCs w:val="0"/>
                <w:color w:val="auto"/>
                <w:sz w:val="21"/>
                <w:szCs w:val="21"/>
                <w:highlight w:val="none"/>
                <w:lang w:val="en-US" w:eastAsia="zh-CN"/>
              </w:rPr>
              <w:t>200</w:t>
            </w:r>
            <w:r>
              <w:rPr>
                <w:rFonts w:hint="eastAsia" w:ascii="Times New Roman" w:hAnsi="Times New Roman" w:eastAsia="宋体" w:cs="Times New Roman"/>
                <w:b w:val="0"/>
                <w:bCs w:val="0"/>
                <w:color w:val="auto"/>
                <w:sz w:val="21"/>
                <w:szCs w:val="21"/>
                <w:highlight w:val="none"/>
                <w:lang w:val="en-US" w:eastAsia="zh-CN"/>
              </w:rPr>
              <w:t>t/d烘干塔，1台</w:t>
            </w:r>
            <w:r>
              <w:rPr>
                <w:rFonts w:hint="eastAsia" w:cs="Times New Roman"/>
                <w:b w:val="0"/>
                <w:bCs w:val="0"/>
                <w:color w:val="auto"/>
                <w:sz w:val="21"/>
                <w:szCs w:val="21"/>
                <w:highlight w:val="none"/>
                <w:lang w:val="en-US" w:eastAsia="zh-CN"/>
              </w:rPr>
              <w:t>5t/h</w:t>
            </w:r>
            <w:r>
              <w:rPr>
                <w:rFonts w:hint="eastAsia" w:ascii="Times New Roman" w:hAnsi="Times New Roman" w:eastAsia="宋体" w:cs="Times New Roman"/>
                <w:b w:val="0"/>
                <w:bCs w:val="0"/>
                <w:color w:val="auto"/>
                <w:sz w:val="21"/>
                <w:szCs w:val="21"/>
                <w:highlight w:val="none"/>
                <w:lang w:val="en-US" w:eastAsia="zh-CN"/>
              </w:rPr>
              <w:t>燃生物质热风炉</w:t>
            </w:r>
            <w:r>
              <w:rPr>
                <w:rFonts w:hint="eastAsia" w:cs="Times New Roman"/>
                <w:b w:val="0"/>
                <w:bCs w:val="0"/>
                <w:color w:val="auto"/>
                <w:sz w:val="21"/>
                <w:szCs w:val="21"/>
                <w:highlight w:val="none"/>
                <w:lang w:val="en-US" w:eastAsia="zh-CN"/>
              </w:rPr>
              <w:t>，以及平房仓、潮粮仓、热风炉房等。</w:t>
            </w:r>
          </w:p>
          <w:p w14:paraId="4980F04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color w:val="auto"/>
                <w:sz w:val="21"/>
                <w:szCs w:val="24"/>
                <w:highlight w:val="none"/>
              </w:rPr>
            </w:pPr>
            <w:r>
              <w:rPr>
                <w:rFonts w:hint="default"/>
                <w:color w:val="auto"/>
                <w:sz w:val="21"/>
                <w:szCs w:val="24"/>
                <w:highlight w:val="none"/>
              </w:rPr>
              <w:t>施工期主要分为场地平整、基础工程、主体工程、装饰工程、安装工程等，其建设过程中产生的噪声、扬尘、施工废气、固体废物、施工废水等污染物，其污染物排放量随工序的施工强度变化而变化，施工期结束后环境影响也随之消除。</w:t>
            </w:r>
          </w:p>
          <w:p w14:paraId="151CA39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color w:val="auto"/>
                <w:sz w:val="21"/>
                <w:szCs w:val="24"/>
                <w:highlight w:val="none"/>
              </w:rPr>
            </w:pPr>
            <w:r>
              <w:rPr>
                <w:rFonts w:hint="default"/>
                <w:color w:val="auto"/>
                <w:sz w:val="21"/>
                <w:szCs w:val="24"/>
                <w:highlight w:val="none"/>
              </w:rPr>
              <w:t>施工期的具体工艺流程及产污环节见下图。</w:t>
            </w:r>
          </w:p>
          <w:p w14:paraId="57BF880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default"/>
                <w:color w:val="auto"/>
              </w:rPr>
            </w:pPr>
            <w:r>
              <w:rPr>
                <w:rFonts w:hint="default"/>
                <w:color w:val="auto"/>
              </w:rPr>
              <w:drawing>
                <wp:inline distT="0" distB="0" distL="114300" distR="114300">
                  <wp:extent cx="4407535" cy="1858010"/>
                  <wp:effectExtent l="0" t="0" r="12065" b="889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11"/>
                          <a:stretch>
                            <a:fillRect/>
                          </a:stretch>
                        </pic:blipFill>
                        <pic:spPr>
                          <a:xfrm>
                            <a:off x="0" y="0"/>
                            <a:ext cx="4407535" cy="1858010"/>
                          </a:xfrm>
                          <a:prstGeom prst="rect">
                            <a:avLst/>
                          </a:prstGeom>
                          <a:noFill/>
                          <a:ln>
                            <a:noFill/>
                          </a:ln>
                        </pic:spPr>
                      </pic:pic>
                    </a:graphicData>
                  </a:graphic>
                </wp:inline>
              </w:drawing>
            </w:r>
          </w:p>
          <w:p w14:paraId="1BD01EF6">
            <w:pPr>
              <w:keepNext w:val="0"/>
              <w:keepLines w:val="0"/>
              <w:suppressLineNumbers w:val="0"/>
              <w:spacing w:before="0" w:beforeAutospacing="0" w:after="0" w:afterAutospacing="0" w:line="240" w:lineRule="auto"/>
              <w:ind w:left="0" w:right="0"/>
              <w:jc w:val="center"/>
              <w:rPr>
                <w:rFonts w:hint="default"/>
                <w:color w:val="auto"/>
                <w:lang w:val="en-US" w:eastAsia="zh-CN"/>
              </w:rPr>
            </w:pPr>
            <w:r>
              <w:rPr>
                <w:rFonts w:hint="eastAsia" w:cs="Times New Roman"/>
                <w:b/>
                <w:bCs/>
                <w:snapToGrid w:val="0"/>
                <w:color w:val="auto"/>
                <w:szCs w:val="21"/>
                <w:highlight w:val="none"/>
                <w:lang w:val="en-US" w:eastAsia="zh-CN"/>
              </w:rPr>
              <w:t>图2-1 施工期工艺流程及产污环节图</w:t>
            </w:r>
          </w:p>
          <w:p w14:paraId="789727B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color w:val="auto"/>
                <w:sz w:val="21"/>
                <w:szCs w:val="21"/>
                <w:highlight w:val="none"/>
                <w:lang w:eastAsia="zh-CN"/>
              </w:rPr>
              <w:t>二、</w:t>
            </w:r>
            <w:r>
              <w:rPr>
                <w:rFonts w:hint="default" w:ascii="Times New Roman" w:hAnsi="Times New Roman" w:eastAsia="宋体" w:cs="Times New Roman"/>
                <w:b/>
                <w:color w:val="auto"/>
                <w:kern w:val="21"/>
                <w:sz w:val="21"/>
                <w:szCs w:val="21"/>
                <w:highlight w:val="none"/>
              </w:rPr>
              <w:t>运营期工艺流程</w:t>
            </w:r>
            <w:r>
              <w:rPr>
                <w:rFonts w:hint="eastAsia" w:cs="Times New Roman"/>
                <w:b/>
                <w:color w:val="auto"/>
                <w:kern w:val="21"/>
                <w:sz w:val="21"/>
                <w:szCs w:val="21"/>
                <w:highlight w:val="none"/>
                <w:lang w:val="en-US" w:eastAsia="zh-CN"/>
              </w:rPr>
              <w:t>分析</w:t>
            </w:r>
          </w:p>
          <w:p w14:paraId="18A7F7FA">
            <w:pPr>
              <w:pStyle w:val="2"/>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240" w:lineRule="auto"/>
              <w:ind w:left="0" w:right="113" w:righ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运营期</w:t>
            </w:r>
            <w:r>
              <w:rPr>
                <w:rFonts w:hint="eastAsia" w:cs="Times New Roman"/>
                <w:color w:val="auto"/>
                <w:sz w:val="21"/>
                <w:szCs w:val="21"/>
                <w:highlight w:val="none"/>
                <w:lang w:val="en-US" w:eastAsia="zh-CN"/>
              </w:rPr>
              <w:t>玉米烘干</w:t>
            </w:r>
            <w:r>
              <w:rPr>
                <w:rFonts w:hint="default" w:ascii="Times New Roman" w:hAnsi="Times New Roman" w:cs="Times New Roman"/>
                <w:color w:val="auto"/>
                <w:sz w:val="21"/>
                <w:szCs w:val="21"/>
                <w:highlight w:val="none"/>
              </w:rPr>
              <w:t>工艺流程及产污节点</w:t>
            </w:r>
          </w:p>
          <w:p w14:paraId="65EEDED7">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kern w:val="21"/>
                <w:szCs w:val="21"/>
                <w:highlight w:val="none"/>
              </w:rPr>
            </w:pPr>
            <w:r>
              <w:rPr>
                <w:rFonts w:hint="default"/>
                <w:color w:val="auto"/>
                <w:highlight w:val="none"/>
              </w:rPr>
              <mc:AlternateContent>
                <mc:Choice Requires="wpc">
                  <w:drawing>
                    <wp:inline distT="0" distB="0" distL="114300" distR="114300">
                      <wp:extent cx="4768215" cy="3094355"/>
                      <wp:effectExtent l="0" t="0" r="0" b="0"/>
                      <wp:docPr id="67" name="画布 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 name="直接箭头连接符 11"/>
                              <wps:cNvCnPr>
                                <a:cxnSpLocks noChangeShapeType="1"/>
                              </wps:cNvCnPr>
                              <wps:spPr bwMode="auto">
                                <a:xfrm>
                                  <a:off x="2915221" y="779145"/>
                                  <a:ext cx="0" cy="292100"/>
                                </a:xfrm>
                                <a:prstGeom prst="straightConnector1">
                                  <a:avLst/>
                                </a:prstGeom>
                                <a:noFill/>
                                <a:ln w="9525">
                                  <a:solidFill>
                                    <a:srgbClr val="000000"/>
                                  </a:solidFill>
                                  <a:round/>
                                  <a:tailEnd type="triangle" w="med" len="med"/>
                                </a:ln>
                                <a:effectLst/>
                              </wps:spPr>
                              <wps:bodyPr/>
                            </wps:wsp>
                            <wps:wsp>
                              <wps:cNvPr id="40" name="矩形 40"/>
                              <wps:cNvSpPr/>
                              <wps:spPr>
                                <a:xfrm>
                                  <a:off x="1108075" y="2663826"/>
                                  <a:ext cx="781050" cy="280035"/>
                                </a:xfrm>
                                <a:prstGeom prst="rect">
                                  <a:avLst/>
                                </a:prstGeom>
                                <a:noFill/>
                                <a:ln>
                                  <a:noFill/>
                                </a:ln>
                              </wps:spPr>
                              <wps:txbx>
                                <w:txbxContent>
                                  <w:p w14:paraId="2817DCFB">
                                    <w:pPr>
                                      <w:adjustRightInd w:val="0"/>
                                      <w:snapToGrid w:val="0"/>
                                      <w:jc w:val="center"/>
                                      <w:rPr>
                                        <w:rFonts w:ascii="仿宋" w:hAnsi="仿宋" w:eastAsia="仿宋"/>
                                        <w:szCs w:val="21"/>
                                      </w:rPr>
                                    </w:pPr>
                                    <w:r>
                                      <w:rPr>
                                        <w:rFonts w:ascii="仿宋" w:hAnsi="仿宋" w:eastAsia="仿宋"/>
                                        <w:szCs w:val="21"/>
                                      </w:rPr>
                                      <w:t>空气</w:t>
                                    </w:r>
                                  </w:p>
                                </w:txbxContent>
                              </wps:txbx>
                              <wps:bodyPr anchor="ctr" anchorCtr="0" upright="1"/>
                            </wps:wsp>
                            <wps:wsp>
                              <wps:cNvPr id="41" name="直接箭头连接符 41"/>
                              <wps:cNvCnPr>
                                <a:cxnSpLocks noChangeShapeType="1"/>
                              </wps:cNvCnPr>
                              <wps:spPr bwMode="auto">
                                <a:xfrm>
                                  <a:off x="2915221" y="1723391"/>
                                  <a:ext cx="0" cy="292100"/>
                                </a:xfrm>
                                <a:prstGeom prst="straightConnector1">
                                  <a:avLst/>
                                </a:prstGeom>
                                <a:noFill/>
                                <a:ln w="9525">
                                  <a:solidFill>
                                    <a:srgbClr val="000000"/>
                                  </a:solidFill>
                                  <a:round/>
                                  <a:tailEnd type="triangle" w="med" len="med"/>
                                </a:ln>
                                <a:effectLst/>
                              </wps:spPr>
                              <wps:bodyPr/>
                            </wps:wsp>
                            <wps:wsp>
                              <wps:cNvPr id="42" name="直接箭头连接符 42"/>
                              <wps:cNvCnPr>
                                <a:cxnSpLocks noChangeShapeType="1"/>
                              </wps:cNvCnPr>
                              <wps:spPr bwMode="auto">
                                <a:xfrm>
                                  <a:off x="2915221" y="1268730"/>
                                  <a:ext cx="0" cy="292100"/>
                                </a:xfrm>
                                <a:prstGeom prst="straightConnector1">
                                  <a:avLst/>
                                </a:prstGeom>
                                <a:noFill/>
                                <a:ln w="9525">
                                  <a:solidFill>
                                    <a:srgbClr val="000000"/>
                                  </a:solidFill>
                                  <a:round/>
                                  <a:tailEnd type="triangle" w="med" len="med"/>
                                </a:ln>
                                <a:effectLst/>
                              </wps:spPr>
                              <wps:bodyPr/>
                            </wps:wsp>
                            <wps:wsp>
                              <wps:cNvPr id="43" name="矩形 43"/>
                              <wps:cNvSpPr/>
                              <wps:spPr>
                                <a:xfrm>
                                  <a:off x="2320925" y="995045"/>
                                  <a:ext cx="1149350" cy="283845"/>
                                </a:xfrm>
                                <a:prstGeom prst="rect">
                                  <a:avLst/>
                                </a:prstGeom>
                                <a:noFill/>
                                <a:ln w="25400" cap="flat" cmpd="sng">
                                  <a:solidFill>
                                    <a:srgbClr val="000000"/>
                                  </a:solidFill>
                                  <a:prstDash val="solid"/>
                                  <a:round/>
                                  <a:headEnd type="none" w="med" len="med"/>
                                  <a:tailEnd type="none" w="med" len="med"/>
                                </a:ln>
                              </wps:spPr>
                              <wps:txbx>
                                <w:txbxContent>
                                  <w:p w14:paraId="072808B3">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w:t>
                                    </w:r>
                                    <w:r>
                                      <w:rPr>
                                        <w:rFonts w:ascii="仿宋" w:hAnsi="仿宋" w:eastAsia="仿宋"/>
                                        <w:szCs w:val="21"/>
                                      </w:rPr>
                                      <w:t>前</w:t>
                                    </w:r>
                                    <w:r>
                                      <w:rPr>
                                        <w:rFonts w:hint="eastAsia" w:ascii="仿宋" w:hAnsi="仿宋" w:eastAsia="仿宋"/>
                                        <w:szCs w:val="21"/>
                                      </w:rPr>
                                      <w:t>）</w:t>
                                    </w:r>
                                  </w:p>
                                </w:txbxContent>
                              </wps:txbx>
                              <wps:bodyPr anchor="ctr" anchorCtr="0" upright="1"/>
                            </wps:wsp>
                            <wps:wsp>
                              <wps:cNvPr id="45" name="矩形 45"/>
                              <wps:cNvSpPr/>
                              <wps:spPr>
                                <a:xfrm>
                                  <a:off x="2320925" y="2131696"/>
                                  <a:ext cx="1149350" cy="293370"/>
                                </a:xfrm>
                                <a:prstGeom prst="rect">
                                  <a:avLst/>
                                </a:prstGeom>
                                <a:noFill/>
                                <a:ln w="25400" cap="flat" cmpd="sng">
                                  <a:solidFill>
                                    <a:srgbClr val="000000"/>
                                  </a:solidFill>
                                  <a:prstDash val="solid"/>
                                  <a:round/>
                                  <a:headEnd type="none" w="med" len="med"/>
                                  <a:tailEnd type="none" w="med" len="med"/>
                                </a:ln>
                              </wps:spPr>
                              <wps:txbx>
                                <w:txbxContent>
                                  <w:p w14:paraId="393D1570">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段（烘后）</w:t>
                                    </w:r>
                                  </w:p>
                                </w:txbxContent>
                              </wps:txbx>
                              <wps:bodyPr anchor="ctr" anchorCtr="0" upright="1"/>
                            </wps:wsp>
                            <wps:wsp>
                              <wps:cNvPr id="46" name="矩形 46"/>
                              <wps:cNvSpPr/>
                              <wps:spPr>
                                <a:xfrm>
                                  <a:off x="2320834" y="1560830"/>
                                  <a:ext cx="1148766" cy="296545"/>
                                </a:xfrm>
                                <a:prstGeom prst="rect">
                                  <a:avLst/>
                                </a:prstGeom>
                                <a:noFill/>
                                <a:ln w="25400" cap="flat" cmpd="sng">
                                  <a:solidFill>
                                    <a:srgbClr val="000000"/>
                                  </a:solidFill>
                                  <a:prstDash val="solid"/>
                                  <a:round/>
                                  <a:headEnd type="none" w="med" len="med"/>
                                  <a:tailEnd type="none" w="med" len="med"/>
                                </a:ln>
                              </wps:spPr>
                              <wps:txbx>
                                <w:txbxContent>
                                  <w:p w14:paraId="048CC29F">
                                    <w:pPr>
                                      <w:adjustRightInd w:val="0"/>
                                      <w:snapToGrid w:val="0"/>
                                      <w:jc w:val="center"/>
                                      <w:rPr>
                                        <w:rFonts w:ascii="仿宋" w:hAnsi="仿宋" w:eastAsia="仿宋"/>
                                        <w:szCs w:val="21"/>
                                      </w:rPr>
                                    </w:pPr>
                                    <w:r>
                                      <w:rPr>
                                        <w:rFonts w:hint="eastAsia" w:ascii="仿宋" w:hAnsi="仿宋" w:eastAsia="仿宋"/>
                                        <w:szCs w:val="21"/>
                                      </w:rPr>
                                      <w:t>烘干</w:t>
                                    </w:r>
                                  </w:p>
                                </w:txbxContent>
                              </wps:txbx>
                              <wps:bodyPr anchor="ctr" anchorCtr="0" upright="1"/>
                            </wps:wsp>
                            <wps:wsp>
                              <wps:cNvPr id="47" name="矩形 47"/>
                              <wps:cNvSpPr/>
                              <wps:spPr>
                                <a:xfrm>
                                  <a:off x="2604771" y="2648586"/>
                                  <a:ext cx="617855" cy="276225"/>
                                </a:xfrm>
                                <a:prstGeom prst="rect">
                                  <a:avLst/>
                                </a:prstGeom>
                                <a:noFill/>
                                <a:ln>
                                  <a:noFill/>
                                </a:ln>
                              </wps:spPr>
                              <wps:txbx>
                                <w:txbxContent>
                                  <w:p w14:paraId="3AB432C5">
                                    <w:pPr>
                                      <w:jc w:val="center"/>
                                      <w:rPr>
                                        <w:rFonts w:ascii="仿宋" w:hAnsi="仿宋" w:eastAsia="仿宋"/>
                                        <w:szCs w:val="21"/>
                                      </w:rPr>
                                    </w:pPr>
                                    <w:r>
                                      <w:rPr>
                                        <w:rFonts w:hint="eastAsia" w:ascii="仿宋" w:hAnsi="仿宋" w:eastAsia="仿宋"/>
                                        <w:szCs w:val="21"/>
                                      </w:rPr>
                                      <w:t>产品</w:t>
                                    </w:r>
                                  </w:p>
                                </w:txbxContent>
                              </wps:txbx>
                              <wps:bodyPr anchor="ctr" anchorCtr="0" upright="1"/>
                            </wps:wsp>
                            <wps:wsp>
                              <wps:cNvPr id="51" name="矩形 51"/>
                              <wps:cNvSpPr/>
                              <wps:spPr>
                                <a:xfrm>
                                  <a:off x="2320925" y="426085"/>
                                  <a:ext cx="1148715" cy="296545"/>
                                </a:xfrm>
                                <a:prstGeom prst="rect">
                                  <a:avLst/>
                                </a:prstGeom>
                                <a:noFill/>
                                <a:ln w="28575" cap="flat" cmpd="sng">
                                  <a:solidFill>
                                    <a:srgbClr val="000000"/>
                                  </a:solidFill>
                                  <a:prstDash val="solid"/>
                                  <a:round/>
                                  <a:headEnd type="none" w="med" len="med"/>
                                  <a:tailEnd type="none" w="med" len="med"/>
                                </a:ln>
                              </wps:spPr>
                              <wps:txbx>
                                <w:txbxContent>
                                  <w:p w14:paraId="0B345AFD">
                                    <w:pPr>
                                      <w:adjustRightInd w:val="0"/>
                                      <w:snapToGrid w:val="0"/>
                                      <w:jc w:val="center"/>
                                      <w:rPr>
                                        <w:rFonts w:eastAsia="仿宋"/>
                                        <w:szCs w:val="21"/>
                                      </w:rPr>
                                    </w:pPr>
                                    <w:r>
                                      <w:rPr>
                                        <w:rFonts w:eastAsia="仿宋"/>
                                        <w:szCs w:val="21"/>
                                      </w:rPr>
                                      <w:t>筛选</w:t>
                                    </w:r>
                                  </w:p>
                                </w:txbxContent>
                              </wps:txbx>
                              <wps:bodyPr anchor="ctr" anchorCtr="0" upright="1"/>
                            </wps:wsp>
                            <wps:wsp>
                              <wps:cNvPr id="52" name="直接箭头连接符 52"/>
                              <wps:cNvCnPr>
                                <a:cxnSpLocks noChangeShapeType="1"/>
                              </wps:cNvCnPr>
                              <wps:spPr bwMode="auto">
                                <a:xfrm>
                                  <a:off x="2915221" y="2329816"/>
                                  <a:ext cx="0" cy="292100"/>
                                </a:xfrm>
                                <a:prstGeom prst="straightConnector1">
                                  <a:avLst/>
                                </a:prstGeom>
                                <a:noFill/>
                                <a:ln w="9525">
                                  <a:solidFill>
                                    <a:srgbClr val="000000"/>
                                  </a:solidFill>
                                  <a:round/>
                                  <a:tailEnd type="triangle" w="med" len="med"/>
                                </a:ln>
                                <a:effectLst/>
                              </wps:spPr>
                              <wps:bodyPr/>
                            </wps:wsp>
                            <wps:wsp>
                              <wps:cNvPr id="53" name="矩形 53"/>
                              <wps:cNvSpPr/>
                              <wps:spPr>
                                <a:xfrm>
                                  <a:off x="1013460" y="2127251"/>
                                  <a:ext cx="958215" cy="290830"/>
                                </a:xfrm>
                                <a:prstGeom prst="rect">
                                  <a:avLst/>
                                </a:prstGeom>
                                <a:noFill/>
                                <a:ln w="25400" cap="flat" cmpd="sng">
                                  <a:solidFill>
                                    <a:srgbClr val="000000"/>
                                  </a:solidFill>
                                  <a:prstDash val="solid"/>
                                  <a:round/>
                                  <a:headEnd type="none" w="med" len="med"/>
                                  <a:tailEnd type="none" w="med" len="med"/>
                                </a:ln>
                              </wps:spPr>
                              <wps:txbx>
                                <w:txbxContent>
                                  <w:p w14:paraId="03B3BE48">
                                    <w:pPr>
                                      <w:adjustRightInd w:val="0"/>
                                      <w:snapToGrid w:val="0"/>
                                      <w:jc w:val="center"/>
                                      <w:rPr>
                                        <w:sz w:val="15"/>
                                        <w:szCs w:val="15"/>
                                      </w:rPr>
                                    </w:pPr>
                                    <w:r>
                                      <w:rPr>
                                        <w:rFonts w:ascii="仿宋" w:hAnsi="仿宋" w:eastAsia="仿宋"/>
                                        <w:szCs w:val="21"/>
                                      </w:rPr>
                                      <w:t>热风炉</w:t>
                                    </w:r>
                                    <w:r>
                                      <w:rPr>
                                        <w:rFonts w:hint="eastAsia" w:ascii="仿宋" w:hAnsi="仿宋" w:eastAsia="仿宋" w:cs="仿宋"/>
                                        <w:sz w:val="21"/>
                                        <w:szCs w:val="21"/>
                                      </w:rPr>
                                      <w:t>供热</w:t>
                                    </w:r>
                                  </w:p>
                                </w:txbxContent>
                              </wps:txbx>
                              <wps:bodyPr anchor="ctr" anchorCtr="0" upright="1"/>
                            </wps:wsp>
                            <wps:wsp>
                              <wps:cNvPr id="225" name="直接箭头连接符 225"/>
                              <wps:cNvCnPr>
                                <a:cxnSpLocks noChangeShapeType="1"/>
                              </wps:cNvCnPr>
                              <wps:spPr bwMode="auto">
                                <a:xfrm>
                                  <a:off x="1971675" y="1711326"/>
                                  <a:ext cx="325770" cy="0"/>
                                </a:xfrm>
                                <a:prstGeom prst="straightConnector1">
                                  <a:avLst/>
                                </a:prstGeom>
                                <a:noFill/>
                                <a:ln w="9525">
                                  <a:solidFill>
                                    <a:srgbClr val="000000"/>
                                  </a:solidFill>
                                  <a:round/>
                                  <a:tailEnd type="triangle" w="med" len="med"/>
                                </a:ln>
                                <a:effectLst/>
                              </wps:spPr>
                              <wps:bodyPr/>
                            </wps:wsp>
                            <wps:wsp>
                              <wps:cNvPr id="226" name="矩形 226"/>
                              <wps:cNvSpPr>
                                <a:spLocks noChangeArrowheads="1"/>
                              </wps:cNvSpPr>
                              <wps:spPr bwMode="auto">
                                <a:xfrm>
                                  <a:off x="3064510" y="2698750"/>
                                  <a:ext cx="1703705" cy="254635"/>
                                </a:xfrm>
                                <a:prstGeom prst="rect">
                                  <a:avLst/>
                                </a:prstGeom>
                                <a:noFill/>
                                <a:ln>
                                  <a:noFill/>
                                </a:ln>
                                <a:effectLst/>
                              </wps:spPr>
                              <wps:txbx>
                                <w:txbxContent>
                                  <w:p w14:paraId="39ECDB12">
                                    <w:pPr>
                                      <w:jc w:val="center"/>
                                      <w:rPr>
                                        <w:szCs w:val="21"/>
                                      </w:rPr>
                                    </w:pPr>
                                    <w:r>
                                      <w:rPr>
                                        <w:szCs w:val="21"/>
                                      </w:rPr>
                                      <w:t>注：G废气 S固废 N噪声</w:t>
                                    </w:r>
                                  </w:p>
                                </w:txbxContent>
                              </wps:txbx>
                              <wps:bodyPr rot="0" vert="horz" wrap="square" lIns="91440" tIns="45720" rIns="91440" bIns="45720" anchor="ctr" anchorCtr="0" upright="1">
                                <a:noAutofit/>
                              </wps:bodyPr>
                            </wps:wsp>
                            <wps:wsp>
                              <wps:cNvPr id="230" name="直接箭头连接符 230"/>
                              <wps:cNvCnPr>
                                <a:cxnSpLocks noChangeShapeType="1"/>
                              </wps:cNvCnPr>
                              <wps:spPr bwMode="auto">
                                <a:xfrm flipV="1">
                                  <a:off x="1480185" y="2418081"/>
                                  <a:ext cx="1" cy="292100"/>
                                </a:xfrm>
                                <a:prstGeom prst="straightConnector1">
                                  <a:avLst/>
                                </a:prstGeom>
                                <a:noFill/>
                                <a:ln w="9525">
                                  <a:solidFill>
                                    <a:srgbClr val="000000"/>
                                  </a:solidFill>
                                  <a:round/>
                                  <a:tailEnd type="triangle" w="med" len="med"/>
                                </a:ln>
                                <a:effectLst/>
                              </wps:spPr>
                              <wps:bodyPr/>
                            </wps:wsp>
                            <wps:wsp>
                              <wps:cNvPr id="231" name="矩形 231"/>
                              <wps:cNvSpPr>
                                <a:spLocks noChangeArrowheads="1"/>
                              </wps:cNvSpPr>
                              <wps:spPr bwMode="auto">
                                <a:xfrm>
                                  <a:off x="1013460" y="907415"/>
                                  <a:ext cx="958215" cy="332105"/>
                                </a:xfrm>
                                <a:prstGeom prst="rect">
                                  <a:avLst/>
                                </a:prstGeom>
                                <a:noFill/>
                                <a:ln w="25400">
                                  <a:solidFill>
                                    <a:srgbClr val="000000"/>
                                  </a:solidFill>
                                  <a:round/>
                                </a:ln>
                                <a:effectLst/>
                              </wps:spPr>
                              <wps:txbx>
                                <w:txbxContent>
                                  <w:p w14:paraId="46A553CE">
                                    <w:pPr>
                                      <w:adjustRightInd w:val="0"/>
                                      <w:snapToGrid w:val="0"/>
                                      <w:jc w:val="center"/>
                                      <w:rPr>
                                        <w:rFonts w:eastAsia="仿宋"/>
                                        <w:szCs w:val="21"/>
                                      </w:rPr>
                                    </w:pPr>
                                    <w:r>
                                      <w:rPr>
                                        <w:rFonts w:eastAsia="仿宋"/>
                                        <w:szCs w:val="21"/>
                                      </w:rPr>
                                      <w:t>布袋除尘器</w:t>
                                    </w:r>
                                  </w:p>
                                </w:txbxContent>
                              </wps:txbx>
                              <wps:bodyPr rot="0" vert="horz" wrap="square" lIns="91440" tIns="45720" rIns="91440" bIns="45720" anchor="ctr" anchorCtr="0" upright="1">
                                <a:noAutofit/>
                              </wps:bodyPr>
                            </wps:wsp>
                            <wps:wsp>
                              <wps:cNvPr id="237" name="直接箭头连接符 237"/>
                              <wps:cNvCnPr>
                                <a:cxnSpLocks noChangeShapeType="1"/>
                              </wps:cNvCnPr>
                              <wps:spPr bwMode="auto">
                                <a:xfrm>
                                  <a:off x="3479165" y="1171575"/>
                                  <a:ext cx="187325" cy="6985"/>
                                </a:xfrm>
                                <a:prstGeom prst="straightConnector1">
                                  <a:avLst/>
                                </a:prstGeom>
                                <a:noFill/>
                                <a:ln w="9525">
                                  <a:solidFill>
                                    <a:srgbClr val="000000"/>
                                  </a:solidFill>
                                  <a:round/>
                                  <a:tailEnd type="triangle" w="med" len="med"/>
                                </a:ln>
                                <a:effectLst/>
                              </wps:spPr>
                              <wps:bodyPr/>
                            </wps:wsp>
                            <wps:wsp>
                              <wps:cNvPr id="240" name="直接箭头连接符 240"/>
                              <wps:cNvCnPr>
                                <a:cxnSpLocks noChangeShapeType="1"/>
                              </wps:cNvCnPr>
                              <wps:spPr bwMode="auto">
                                <a:xfrm>
                                  <a:off x="3470871" y="1701801"/>
                                  <a:ext cx="187333" cy="6350"/>
                                </a:xfrm>
                                <a:prstGeom prst="straightConnector1">
                                  <a:avLst/>
                                </a:prstGeom>
                                <a:noFill/>
                                <a:ln w="9525">
                                  <a:solidFill>
                                    <a:srgbClr val="000000"/>
                                  </a:solidFill>
                                  <a:round/>
                                  <a:tailEnd type="triangle" w="med" len="med"/>
                                </a:ln>
                                <a:effectLst/>
                              </wps:spPr>
                              <wps:bodyPr/>
                            </wps:wsp>
                            <wps:wsp>
                              <wps:cNvPr id="244" name="矩形 244"/>
                              <wps:cNvSpPr>
                                <a:spLocks noChangeArrowheads="1"/>
                              </wps:cNvSpPr>
                              <wps:spPr bwMode="auto">
                                <a:xfrm>
                                  <a:off x="3593465" y="1031875"/>
                                  <a:ext cx="708025" cy="283845"/>
                                </a:xfrm>
                                <a:prstGeom prst="rect">
                                  <a:avLst/>
                                </a:prstGeom>
                                <a:noFill/>
                                <a:ln>
                                  <a:noFill/>
                                </a:ln>
                                <a:effectLst/>
                              </wps:spPr>
                              <wps:txbx>
                                <w:txbxContent>
                                  <w:p w14:paraId="1C2D7C9D">
                                    <w:pPr>
                                      <w:adjustRightInd w:val="0"/>
                                      <w:snapToGrid w:val="0"/>
                                      <w:jc w:val="center"/>
                                      <w:rPr>
                                        <w:szCs w:val="21"/>
                                      </w:rPr>
                                    </w:pPr>
                                    <w:r>
                                      <w:rPr>
                                        <w:szCs w:val="21"/>
                                      </w:rPr>
                                      <w:t>N、</w:t>
                                    </w:r>
                                    <w:r>
                                      <w:rPr>
                                        <w:rFonts w:eastAsia="Arial Unicode MS"/>
                                        <w:sz w:val="18"/>
                                        <w:szCs w:val="18"/>
                                      </w:rPr>
                                      <w:t>G</w:t>
                                    </w:r>
                                  </w:p>
                                  <w:p w14:paraId="2023C330">
                                    <w:pPr>
                                      <w:adjustRightInd w:val="0"/>
                                      <w:snapToGrid w:val="0"/>
                                      <w:jc w:val="center"/>
                                      <w:rPr>
                                        <w:szCs w:val="21"/>
                                      </w:rPr>
                                    </w:pPr>
                                  </w:p>
                                </w:txbxContent>
                              </wps:txbx>
                              <wps:bodyPr rot="0" vert="horz" wrap="square" lIns="91440" tIns="45720" rIns="91440" bIns="45720" anchor="ctr" anchorCtr="0" upright="1">
                                <a:noAutofit/>
                              </wps:bodyPr>
                            </wps:wsp>
                            <wps:wsp>
                              <wps:cNvPr id="252" name="矩形 252"/>
                              <wps:cNvSpPr>
                                <a:spLocks noChangeArrowheads="1"/>
                              </wps:cNvSpPr>
                              <wps:spPr bwMode="auto">
                                <a:xfrm>
                                  <a:off x="0" y="919480"/>
                                  <a:ext cx="848995" cy="288290"/>
                                </a:xfrm>
                                <a:prstGeom prst="rect">
                                  <a:avLst/>
                                </a:prstGeom>
                                <a:noFill/>
                                <a:ln>
                                  <a:noFill/>
                                </a:ln>
                                <a:effectLst/>
                              </wps:spPr>
                              <wps:txbx>
                                <w:txbxContent>
                                  <w:p w14:paraId="0FA40127">
                                    <w:pPr>
                                      <w:adjustRightInd w:val="0"/>
                                      <w:snapToGrid w:val="0"/>
                                      <w:jc w:val="center"/>
                                      <w:rPr>
                                        <w:szCs w:val="21"/>
                                      </w:rPr>
                                    </w:pPr>
                                    <w:r>
                                      <w:rPr>
                                        <w:szCs w:val="21"/>
                                      </w:rPr>
                                      <w:t>G、S、N</w:t>
                                    </w:r>
                                  </w:p>
                                </w:txbxContent>
                              </wps:txbx>
                              <wps:bodyPr rot="0" vert="horz" wrap="square" lIns="91440" tIns="45720" rIns="91440" bIns="45720" anchor="ctr" anchorCtr="0" upright="1">
                                <a:noAutofit/>
                              </wps:bodyPr>
                            </wps:wsp>
                            <wps:wsp>
                              <wps:cNvPr id="3167" name="矩形 3167"/>
                              <wps:cNvSpPr>
                                <a:spLocks noChangeArrowheads="1"/>
                              </wps:cNvSpPr>
                              <wps:spPr bwMode="auto">
                                <a:xfrm>
                                  <a:off x="3658870" y="2124075"/>
                                  <a:ext cx="587375" cy="295910"/>
                                </a:xfrm>
                                <a:prstGeom prst="rect">
                                  <a:avLst/>
                                </a:prstGeom>
                                <a:noFill/>
                                <a:ln>
                                  <a:noFill/>
                                </a:ln>
                                <a:effectLst/>
                              </wps:spPr>
                              <wps:txbx>
                                <w:txbxContent>
                                  <w:p w14:paraId="2623998A">
                                    <w:pPr>
                                      <w:adjustRightInd w:val="0"/>
                                      <w:snapToGrid w:val="0"/>
                                      <w:rPr>
                                        <w:szCs w:val="21"/>
                                      </w:rPr>
                                    </w:pPr>
                                    <w:r>
                                      <w:rPr>
                                        <w:szCs w:val="21"/>
                                      </w:rPr>
                                      <w:t>N</w:t>
                                    </w:r>
                                    <w:r>
                                      <w:rPr>
                                        <w:rFonts w:hint="eastAsia"/>
                                        <w:szCs w:val="21"/>
                                      </w:rPr>
                                      <w:t>、G</w:t>
                                    </w:r>
                                  </w:p>
                                </w:txbxContent>
                              </wps:txbx>
                              <wps:bodyPr rot="0" vert="horz" wrap="square" lIns="91440" tIns="45720" rIns="91440" bIns="45720" anchor="ctr" anchorCtr="0" upright="1">
                                <a:noAutofit/>
                              </wps:bodyPr>
                            </wps:wsp>
                            <wps:wsp>
                              <wps:cNvPr id="54" name="矩形 54"/>
                              <wps:cNvSpPr>
                                <a:spLocks noChangeArrowheads="1"/>
                              </wps:cNvSpPr>
                              <wps:spPr bwMode="auto">
                                <a:xfrm>
                                  <a:off x="220980" y="2127885"/>
                                  <a:ext cx="593090" cy="314325"/>
                                </a:xfrm>
                                <a:prstGeom prst="rect">
                                  <a:avLst/>
                                </a:prstGeom>
                                <a:noFill/>
                                <a:ln>
                                  <a:noFill/>
                                </a:ln>
                                <a:effectLst/>
                              </wps:spPr>
                              <wps:txbx>
                                <w:txbxContent>
                                  <w:p w14:paraId="41D954D1">
                                    <w:pPr>
                                      <w:jc w:val="center"/>
                                      <w:rPr>
                                        <w:szCs w:val="21"/>
                                      </w:rPr>
                                    </w:pPr>
                                    <w:r>
                                      <w:rPr>
                                        <w:szCs w:val="21"/>
                                      </w:rPr>
                                      <w:t>S、N</w:t>
                                    </w:r>
                                  </w:p>
                                </w:txbxContent>
                              </wps:txbx>
                              <wps:bodyPr rot="0" vert="horz" wrap="square" lIns="91440" tIns="45720" rIns="91440" bIns="45720" anchor="ctr" anchorCtr="0" upright="1">
                                <a:noAutofit/>
                              </wps:bodyPr>
                            </wps:wsp>
                            <wps:wsp>
                              <wps:cNvPr id="55" name="矩形 55"/>
                              <wps:cNvSpPr>
                                <a:spLocks noChangeArrowheads="1"/>
                              </wps:cNvSpPr>
                              <wps:spPr bwMode="auto">
                                <a:xfrm>
                                  <a:off x="3658204" y="1538605"/>
                                  <a:ext cx="708057" cy="290830"/>
                                </a:xfrm>
                                <a:prstGeom prst="rect">
                                  <a:avLst/>
                                </a:prstGeom>
                                <a:noFill/>
                                <a:ln>
                                  <a:noFill/>
                                </a:ln>
                                <a:effectLst/>
                              </wps:spPr>
                              <wps:txbx>
                                <w:txbxContent>
                                  <w:p w14:paraId="5FB131AE">
                                    <w:pPr>
                                      <w:adjustRightInd w:val="0"/>
                                      <w:snapToGrid w:val="0"/>
                                      <w:rPr>
                                        <w:szCs w:val="21"/>
                                      </w:rPr>
                                    </w:pPr>
                                    <w:r>
                                      <w:rPr>
                                        <w:szCs w:val="21"/>
                                      </w:rPr>
                                      <w:t>N、G</w:t>
                                    </w:r>
                                  </w:p>
                                </w:txbxContent>
                              </wps:txbx>
                              <wps:bodyPr rot="0" vert="horz" wrap="square" lIns="91440" tIns="45720" rIns="91440" bIns="45720" anchor="ctr" anchorCtr="0" upright="1">
                                <a:noAutofit/>
                              </wps:bodyPr>
                            </wps:wsp>
                            <wps:wsp>
                              <wps:cNvPr id="56" name="直接箭头连接符 56"/>
                              <wps:cNvCnPr>
                                <a:cxnSpLocks noChangeShapeType="1"/>
                              </wps:cNvCnPr>
                              <wps:spPr bwMode="auto">
                                <a:xfrm>
                                  <a:off x="3471545" y="2272665"/>
                                  <a:ext cx="186690" cy="6350"/>
                                </a:xfrm>
                                <a:prstGeom prst="straightConnector1">
                                  <a:avLst/>
                                </a:prstGeom>
                                <a:noFill/>
                                <a:ln w="9525">
                                  <a:solidFill>
                                    <a:srgbClr val="000000"/>
                                  </a:solidFill>
                                  <a:round/>
                                  <a:tailEnd type="triangle" w="med" len="med"/>
                                </a:ln>
                                <a:effectLst/>
                              </wps:spPr>
                              <wps:bodyPr/>
                            </wps:wsp>
                            <wps:wsp>
                              <wps:cNvPr id="57" name="直接箭头连接符 57"/>
                              <wps:cNvCnPr>
                                <a:cxnSpLocks noChangeShapeType="1"/>
                              </wps:cNvCnPr>
                              <wps:spPr bwMode="auto">
                                <a:xfrm flipH="1">
                                  <a:off x="814070" y="2294891"/>
                                  <a:ext cx="160019" cy="1"/>
                                </a:xfrm>
                                <a:prstGeom prst="straightConnector1">
                                  <a:avLst/>
                                </a:prstGeom>
                                <a:noFill/>
                                <a:ln w="9525">
                                  <a:solidFill>
                                    <a:srgbClr val="000000"/>
                                  </a:solidFill>
                                  <a:round/>
                                  <a:tailEnd type="triangle" w="med" len="med"/>
                                </a:ln>
                                <a:effectLst/>
                              </wps:spPr>
                              <wps:bodyPr/>
                            </wps:wsp>
                            <wps:wsp>
                              <wps:cNvPr id="38" name="直接箭头连接符 38"/>
                              <wps:cNvCnPr>
                                <a:cxnSpLocks noChangeShapeType="1"/>
                              </wps:cNvCnPr>
                              <wps:spPr bwMode="auto">
                                <a:xfrm flipH="1">
                                  <a:off x="838200" y="1071245"/>
                                  <a:ext cx="159384" cy="1"/>
                                </a:xfrm>
                                <a:prstGeom prst="straightConnector1">
                                  <a:avLst/>
                                </a:prstGeom>
                                <a:noFill/>
                                <a:ln w="9525">
                                  <a:solidFill>
                                    <a:srgbClr val="000000"/>
                                  </a:solidFill>
                                  <a:round/>
                                  <a:tailEnd type="triangle" w="med" len="med"/>
                                </a:ln>
                                <a:effectLst/>
                              </wps:spPr>
                              <wps:bodyPr/>
                            </wps:wsp>
                            <wps:wsp>
                              <wps:cNvPr id="58" name="矩形 58"/>
                              <wps:cNvSpPr/>
                              <wps:spPr>
                                <a:xfrm>
                                  <a:off x="2487296" y="0"/>
                                  <a:ext cx="845185" cy="276225"/>
                                </a:xfrm>
                                <a:prstGeom prst="rect">
                                  <a:avLst/>
                                </a:prstGeom>
                                <a:noFill/>
                                <a:ln>
                                  <a:noFill/>
                                </a:ln>
                              </wps:spPr>
                              <wps:txbx>
                                <w:txbxContent>
                                  <w:p w14:paraId="5943F416">
                                    <w:pPr>
                                      <w:pStyle w:val="30"/>
                                      <w:adjustRightInd w:val="0"/>
                                      <w:snapToGrid w:val="0"/>
                                      <w:spacing w:before="0" w:beforeAutospacing="0" w:after="0" w:afterAutospacing="0"/>
                                      <w:jc w:val="center"/>
                                      <w:rPr>
                                        <w:rFonts w:ascii="仿宋" w:hAnsi="仿宋" w:eastAsia="仿宋"/>
                                        <w:sz w:val="21"/>
                                        <w:szCs w:val="21"/>
                                      </w:rPr>
                                    </w:pPr>
                                    <w:r>
                                      <w:rPr>
                                        <w:rFonts w:hint="eastAsia" w:ascii="仿宋" w:hAnsi="仿宋" w:eastAsia="仿宋"/>
                                        <w:color w:val="000000"/>
                                        <w:sz w:val="21"/>
                                        <w:szCs w:val="21"/>
                                      </w:rPr>
                                      <w:t>原料</w:t>
                                    </w:r>
                                  </w:p>
                                </w:txbxContent>
                              </wps:txbx>
                              <wps:bodyPr anchor="ctr" anchorCtr="0" upright="1"/>
                            </wps:wsp>
                            <wps:wsp>
                              <wps:cNvPr id="59" name="直接箭头连接符 59"/>
                              <wps:cNvCnPr/>
                              <wps:spPr>
                                <a:xfrm>
                                  <a:off x="2905761" y="233680"/>
                                  <a:ext cx="0" cy="183515"/>
                                </a:xfrm>
                                <a:prstGeom prst="straightConnector1">
                                  <a:avLst/>
                                </a:prstGeom>
                                <a:ln w="9525" cap="flat" cmpd="sng">
                                  <a:solidFill>
                                    <a:srgbClr val="000000"/>
                                  </a:solidFill>
                                  <a:prstDash val="solid"/>
                                  <a:round/>
                                  <a:headEnd type="none" w="med" len="med"/>
                                  <a:tailEnd type="triangle" w="med" len="med"/>
                                </a:ln>
                              </wps:spPr>
                              <wps:bodyPr/>
                            </wps:wsp>
                            <wps:wsp>
                              <wps:cNvPr id="60" name="矩形 60"/>
                              <wps:cNvSpPr>
                                <a:spLocks noChangeArrowheads="1"/>
                              </wps:cNvSpPr>
                              <wps:spPr bwMode="auto">
                                <a:xfrm>
                                  <a:off x="3635375" y="384810"/>
                                  <a:ext cx="746760" cy="379095"/>
                                </a:xfrm>
                                <a:prstGeom prst="rect">
                                  <a:avLst/>
                                </a:prstGeom>
                                <a:noFill/>
                                <a:ln>
                                  <a:noFill/>
                                </a:ln>
                                <a:effectLst/>
                              </wps:spPr>
                              <wps:txbx>
                                <w:txbxContent>
                                  <w:p w14:paraId="7BB00B34">
                                    <w:pPr>
                                      <w:pStyle w:val="30"/>
                                      <w:adjustRightInd w:val="0"/>
                                      <w:snapToGrid w:val="0"/>
                                      <w:spacing w:before="0" w:beforeAutospacing="0" w:after="0" w:afterAutospacing="0"/>
                                      <w:rPr>
                                        <w:rFonts w:ascii="Times New Roman" w:hAnsi="Times New Roman" w:eastAsia="Arial Unicode MS"/>
                                        <w:color w:val="FF0000"/>
                                        <w:sz w:val="21"/>
                                        <w:szCs w:val="21"/>
                                      </w:rPr>
                                    </w:pPr>
                                    <w:r>
                                      <w:rPr>
                                        <w:rFonts w:ascii="Times New Roman" w:hAnsi="Times New Roman" w:eastAsia="Arial Unicode MS"/>
                                        <w:color w:val="000000"/>
                                        <w:sz w:val="21"/>
                                        <w:szCs w:val="21"/>
                                      </w:rPr>
                                      <w:t>N</w:t>
                                    </w:r>
                                    <w:r>
                                      <w:rPr>
                                        <w:rFonts w:ascii="Times New Roman" w:hAnsi="Times New Roman" w:eastAsia="Arial Unicode MS"/>
                                        <w:sz w:val="21"/>
                                        <w:szCs w:val="21"/>
                                      </w:rPr>
                                      <w:t>、S、G</w:t>
                                    </w:r>
                                  </w:p>
                                </w:txbxContent>
                              </wps:txbx>
                              <wps:bodyPr rot="0" vert="horz" wrap="square" lIns="91440" tIns="45720" rIns="91440" bIns="45720" anchor="ctr" anchorCtr="0" upright="1">
                                <a:noAutofit/>
                              </wps:bodyPr>
                            </wps:wsp>
                            <wps:wsp>
                              <wps:cNvPr id="61" name="直接箭头连接符 61"/>
                              <wps:cNvCnPr>
                                <a:cxnSpLocks noChangeShapeType="1"/>
                              </wps:cNvCnPr>
                              <wps:spPr bwMode="auto">
                                <a:xfrm>
                                  <a:off x="3467735" y="586740"/>
                                  <a:ext cx="187325" cy="6350"/>
                                </a:xfrm>
                                <a:prstGeom prst="straightConnector1">
                                  <a:avLst/>
                                </a:prstGeom>
                                <a:noFill/>
                                <a:ln w="9525">
                                  <a:solidFill>
                                    <a:srgbClr val="000000"/>
                                  </a:solidFill>
                                  <a:round/>
                                  <a:tailEnd type="triangle" w="med" len="med"/>
                                </a:ln>
                                <a:effectLst/>
                              </wps:spPr>
                              <wps:bodyPr/>
                            </wps:wsp>
                            <wps:wsp>
                              <wps:cNvPr id="62" name="矩形 62"/>
                              <wps:cNvSpPr>
                                <a:spLocks noChangeArrowheads="1"/>
                              </wps:cNvSpPr>
                              <wps:spPr bwMode="auto">
                                <a:xfrm>
                                  <a:off x="1013460" y="1543050"/>
                                  <a:ext cx="958215" cy="303530"/>
                                </a:xfrm>
                                <a:prstGeom prst="rect">
                                  <a:avLst/>
                                </a:prstGeom>
                                <a:noFill/>
                                <a:ln w="25400">
                                  <a:solidFill>
                                    <a:srgbClr val="000000"/>
                                  </a:solidFill>
                                  <a:round/>
                                </a:ln>
                                <a:effectLst/>
                              </wps:spPr>
                              <wps:txbx>
                                <w:txbxContent>
                                  <w:p w14:paraId="166A3AFD">
                                    <w:pPr>
                                      <w:adjustRightInd w:val="0"/>
                                      <w:snapToGrid w:val="0"/>
                                      <w:jc w:val="center"/>
                                      <w:rPr>
                                        <w:rFonts w:eastAsia="仿宋"/>
                                        <w:szCs w:val="21"/>
                                      </w:rPr>
                                    </w:pPr>
                                    <w:r>
                                      <w:rPr>
                                        <w:rFonts w:hint="eastAsia" w:eastAsia="仿宋"/>
                                        <w:szCs w:val="21"/>
                                      </w:rPr>
                                      <w:t>换热器</w:t>
                                    </w:r>
                                  </w:p>
                                </w:txbxContent>
                              </wps:txbx>
                              <wps:bodyPr rot="0" vert="horz" wrap="square" lIns="91440" tIns="45720" rIns="91440" bIns="45720" anchor="ctr" anchorCtr="0" upright="1">
                                <a:noAutofit/>
                              </wps:bodyPr>
                            </wps:wsp>
                            <wps:wsp>
                              <wps:cNvPr id="63" name="直接箭头连接符 63"/>
                              <wps:cNvCnPr>
                                <a:cxnSpLocks noChangeShapeType="1"/>
                              </wps:cNvCnPr>
                              <wps:spPr bwMode="auto">
                                <a:xfrm flipV="1">
                                  <a:off x="1505585" y="1245870"/>
                                  <a:ext cx="1" cy="292100"/>
                                </a:xfrm>
                                <a:prstGeom prst="straightConnector1">
                                  <a:avLst/>
                                </a:prstGeom>
                                <a:noFill/>
                                <a:ln w="9525">
                                  <a:solidFill>
                                    <a:srgbClr val="000000"/>
                                  </a:solidFill>
                                  <a:round/>
                                  <a:tailEnd type="triangle" w="med" len="med"/>
                                </a:ln>
                                <a:effectLst/>
                              </wps:spPr>
                              <wps:bodyPr/>
                            </wps:wsp>
                            <wps:wsp>
                              <wps:cNvPr id="64" name="直接箭头连接符 64"/>
                              <wps:cNvCnPr>
                                <a:cxnSpLocks noChangeShapeType="1"/>
                              </wps:cNvCnPr>
                              <wps:spPr bwMode="auto">
                                <a:xfrm flipV="1">
                                  <a:off x="1487170" y="1835151"/>
                                  <a:ext cx="0" cy="292100"/>
                                </a:xfrm>
                                <a:prstGeom prst="straightConnector1">
                                  <a:avLst/>
                                </a:prstGeom>
                                <a:noFill/>
                                <a:ln w="9525">
                                  <a:solidFill>
                                    <a:srgbClr val="000000"/>
                                  </a:solidFill>
                                  <a:round/>
                                  <a:tailEnd type="triangle" w="med" len="med"/>
                                </a:ln>
                                <a:effectLst/>
                              </wps:spPr>
                              <wps:bodyPr/>
                            </wps:wsp>
                            <wps:wsp>
                              <wps:cNvPr id="65" name="直接箭头连接符 65"/>
                              <wps:cNvCnPr>
                                <a:cxnSpLocks noChangeShapeType="1"/>
                              </wps:cNvCnPr>
                              <wps:spPr bwMode="auto">
                                <a:xfrm flipH="1">
                                  <a:off x="838200" y="1691006"/>
                                  <a:ext cx="160019" cy="0"/>
                                </a:xfrm>
                                <a:prstGeom prst="straightConnector1">
                                  <a:avLst/>
                                </a:prstGeom>
                                <a:noFill/>
                                <a:ln w="9525">
                                  <a:solidFill>
                                    <a:srgbClr val="000000"/>
                                  </a:solidFill>
                                  <a:round/>
                                  <a:tailEnd type="triangle" w="med" len="med"/>
                                </a:ln>
                                <a:effectLst/>
                              </wps:spPr>
                              <wps:bodyPr/>
                            </wps:wsp>
                            <wps:wsp>
                              <wps:cNvPr id="66" name="矩形 66"/>
                              <wps:cNvSpPr>
                                <a:spLocks noChangeArrowheads="1"/>
                              </wps:cNvSpPr>
                              <wps:spPr bwMode="auto">
                                <a:xfrm>
                                  <a:off x="351155" y="1537970"/>
                                  <a:ext cx="593090" cy="314325"/>
                                </a:xfrm>
                                <a:prstGeom prst="rect">
                                  <a:avLst/>
                                </a:prstGeom>
                                <a:noFill/>
                                <a:ln>
                                  <a:noFill/>
                                </a:ln>
                                <a:effectLst/>
                              </wps:spPr>
                              <wps:txbx>
                                <w:txbxContent>
                                  <w:p w14:paraId="7F6A4965">
                                    <w:pPr>
                                      <w:jc w:val="center"/>
                                      <w:rPr>
                                        <w:szCs w:val="21"/>
                                      </w:rPr>
                                    </w:pPr>
                                    <w:r>
                                      <w:rPr>
                                        <w:szCs w:val="21"/>
                                      </w:rPr>
                                      <w:t>N</w:t>
                                    </w:r>
                                  </w:p>
                                </w:txbxContent>
                              </wps:txbx>
                              <wps:bodyPr rot="0" vert="horz" wrap="square" lIns="91440" tIns="45720" rIns="91440" bIns="45720" anchor="ctr" anchorCtr="0" upright="1">
                                <a:noAutofit/>
                              </wps:bodyPr>
                            </wps:wsp>
                          </wpc:wpc>
                        </a:graphicData>
                      </a:graphic>
                    </wp:inline>
                  </w:drawing>
                </mc:Choice>
                <mc:Fallback>
                  <w:pict>
                    <v:group id="_x0000_s1026" o:spid="_x0000_s1026" o:spt="203" style="height:243.65pt;width:375.45pt;" coordsize="4768215,3094355" editas="canvas" o:gfxdata="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">
                      <o:lock v:ext="edit" aspectratio="f"/>
                      <v:shape id="_x0000_s1026" o:spid="_x0000_s1026" style="position:absolute;left:0;top:0;height:3094355;width:4768215;" filled="f" stroked="f" coordsize="21600,21600" o:gfxdata="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">
                        <v:fill on="f" focussize="0,0"/>
                        <v:stroke on="f"/>
                        <v:imagedata o:title=""/>
                        <o:lock v:ext="edit" aspectratio="t"/>
                      </v:shape>
                      <v:shape id="_x0000_s1026" o:spid="_x0000_s1026" o:spt="32" type="#_x0000_t32" style="position:absolute;left:2915221;top:779145;height:292100;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MnDuu&#10;2AAAAAUBAAAPAAAAAAAAAAEAIAAAACIAAABkcnMvZG93bnJldi54bWxQSwECFAAUAAAACACHTuJA&#10;x6U6eCECAAAGBAAADgAAAAAAAAABACAAAAAnAQAAZHJzL2Uyb0RvYy54bWxQSwUGAAAAAAYABgBZ&#10;AQAAugUAAAAA&#10;">
                        <v:fill on="f" focussize="0,0"/>
                        <v:stroke color="#000000" joinstyle="round" endarrow="block"/>
                        <v:imagedata o:title=""/>
                        <o:lock v:ext="edit" aspectratio="f"/>
                      </v:shape>
                      <v:rect id="_x0000_s1026" o:spid="_x0000_s1026" o:spt="1" style="position:absolute;left:1108075;top:2663826;height:280035;width:781050;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aw+loNMAAAAFAQAADwAAAAAAAAABACAAAAAiAAAAZHJzL2Rvd25yZXYueG1sUEsBAhQA&#10;FAAAAAgAh07iQGO+3kC+AQAAaQMAAA4AAAAAAAAAAQAgAAAAIgEAAGRycy9lMm9Eb2MueG1sUEsF&#10;BgAAAAAGAAYAWQEAAFIFAAAAAA==&#10;">
                        <v:fill on="f" focussize="0,0"/>
                        <v:stroke on="f"/>
                        <v:imagedata o:title=""/>
                        <o:lock v:ext="edit" aspectratio="f"/>
                        <v:textbox>
                          <w:txbxContent>
                            <w:p w14:paraId="2817DCFB">
                              <w:pPr>
                                <w:adjustRightInd w:val="0"/>
                                <w:snapToGrid w:val="0"/>
                                <w:jc w:val="center"/>
                                <w:rPr>
                                  <w:rFonts w:ascii="仿宋" w:hAnsi="仿宋" w:eastAsia="仿宋"/>
                                  <w:szCs w:val="21"/>
                                </w:rPr>
                              </w:pPr>
                              <w:r>
                                <w:rPr>
                                  <w:rFonts w:ascii="仿宋" w:hAnsi="仿宋" w:eastAsia="仿宋"/>
                                  <w:szCs w:val="21"/>
                                </w:rPr>
                                <w:t>空气</w:t>
                              </w:r>
                            </w:p>
                          </w:txbxContent>
                        </v:textbox>
                      </v:rect>
                      <v:shape id="_x0000_s1026" o:spid="_x0000_s1026" o:spt="32" type="#_x0000_t32" style="position:absolute;left:2915221;top:1723391;height:292100;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Jw7&#10;rtgAAAAFAQAADwAAAAAAAAABACAAAAAiAAAAZHJzL2Rvd25yZXYueG1sUEsBAhQAFAAAAAgAh07i&#10;QNk9YGciAgAABwQAAA4AAAAAAAAAAQAgAAAAJwEAAGRycy9lMm9Eb2MueG1sUEsFBgAAAAAGAAYA&#10;WQEAALsFAAAAAA==&#10;">
                        <v:fill on="f" focussize="0,0"/>
                        <v:stroke color="#000000" joinstyle="round" endarrow="block"/>
                        <v:imagedata o:title=""/>
                        <o:lock v:ext="edit" aspectratio="f"/>
                      </v:shape>
                      <v:shape id="_x0000_s1026" o:spid="_x0000_s1026" o:spt="32" type="#_x0000_t32" style="position:absolute;left:2915221;top:1268730;height:292100;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Jw7&#10;rtgAAAAFAQAADwAAAAAAAAABACAAAAAiAAAAZHJzL2Rvd25yZXYueG1sUEsBAhQAFAAAAAgAh07i&#10;QEsJc3siAgAABwQAAA4AAAAAAAAAAQAgAAAAJwEAAGRycy9lMm9Eb2MueG1sUEsFBgAAAAAGAAYA&#10;WQEAALsFAAAAAA==&#10;">
                        <v:fill on="f" focussize="0,0"/>
                        <v:stroke color="#000000" joinstyle="round" endarrow="block"/>
                        <v:imagedata o:title=""/>
                        <o:lock v:ext="edit" aspectratio="f"/>
                      </v:shape>
                      <v:rect id="_x0000_s1026" o:spid="_x0000_s1026" o:spt="1" style="position:absolute;left:2320925;top:995045;height:283845;width:1149350;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ut0sm9cAAAAFAQAADwAA&#10;AAAAAAABACAAAAAiAAAAZHJzL2Rvd25yZXYueG1sUEsBAhQAFAAAAAgAh07iQL8aM4sXAgAAKQQA&#10;AA4AAAAAAAAAAQAgAAAAJgEAAGRycy9lMm9Eb2MueG1sUEsFBgAAAAAGAAYAWQEAAK8FAAAAAA==&#10;">
                        <v:fill on="f" focussize="0,0"/>
                        <v:stroke weight="2pt" color="#000000" joinstyle="round"/>
                        <v:imagedata o:title=""/>
                        <o:lock v:ext="edit" aspectratio="f"/>
                        <v:textbox>
                          <w:txbxContent>
                            <w:p w14:paraId="072808B3">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w:t>
                              </w:r>
                              <w:r>
                                <w:rPr>
                                  <w:rFonts w:ascii="仿宋" w:hAnsi="仿宋" w:eastAsia="仿宋"/>
                                  <w:szCs w:val="21"/>
                                </w:rPr>
                                <w:t>前</w:t>
                              </w:r>
                              <w:r>
                                <w:rPr>
                                  <w:rFonts w:hint="eastAsia" w:ascii="仿宋" w:hAnsi="仿宋" w:eastAsia="仿宋"/>
                                  <w:szCs w:val="21"/>
                                </w:rPr>
                                <w:t>）</w:t>
                              </w:r>
                            </w:p>
                          </w:txbxContent>
                        </v:textbox>
                      </v:rect>
                      <v:rect id="_x0000_s1026" o:spid="_x0000_s1026" o:spt="1" style="position:absolute;left:2320925;top:2131696;height:293370;width:1149350;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63Syb1wAAAAUBAAAPAAAA&#10;AAAAAAEAIAAAACIAAABkcnMvZG93bnJldi54bWxQSwECFAAUAAAACACHTuJAK0H1SRYCAAAqBAAA&#10;DgAAAAAAAAABACAAAAAmAQAAZHJzL2Uyb0RvYy54bWxQSwUGAAAAAAYABgBZAQAArgUAAAAA&#10;">
                        <v:fill on="f" focussize="0,0"/>
                        <v:stroke weight="2pt" color="#000000" joinstyle="round"/>
                        <v:imagedata o:title=""/>
                        <o:lock v:ext="edit" aspectratio="f"/>
                        <v:textbox>
                          <w:txbxContent>
                            <w:p w14:paraId="393D1570">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段（烘后）</w:t>
                              </w:r>
                            </w:p>
                          </w:txbxContent>
                        </v:textbox>
                      </v:rect>
                      <v:rect id="_x0000_s1026" o:spid="_x0000_s1026" o:spt="1" style="position:absolute;left:2320834;top:1560830;height:296545;width:1148766;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63Syb1wAAAAUBAAAPAAAA&#10;AAAAAAEAIAAAACIAAABkcnMvZG93bnJldi54bWxQSwECFAAUAAAACACHTuJAkpc1aBYCAAAqBAAA&#10;DgAAAAAAAAABACAAAAAmAQAAZHJzL2Uyb0RvYy54bWxQSwUGAAAAAAYABgBZAQAArgUAAAAA&#10;">
                        <v:fill on="f" focussize="0,0"/>
                        <v:stroke weight="2pt" color="#000000" joinstyle="round"/>
                        <v:imagedata o:title=""/>
                        <o:lock v:ext="edit" aspectratio="f"/>
                        <v:textbox>
                          <w:txbxContent>
                            <w:p w14:paraId="048CC29F">
                              <w:pPr>
                                <w:adjustRightInd w:val="0"/>
                                <w:snapToGrid w:val="0"/>
                                <w:jc w:val="center"/>
                                <w:rPr>
                                  <w:rFonts w:ascii="仿宋" w:hAnsi="仿宋" w:eastAsia="仿宋"/>
                                  <w:szCs w:val="21"/>
                                </w:rPr>
                              </w:pPr>
                              <w:r>
                                <w:rPr>
                                  <w:rFonts w:hint="eastAsia" w:ascii="仿宋" w:hAnsi="仿宋" w:eastAsia="仿宋"/>
                                  <w:szCs w:val="21"/>
                                </w:rPr>
                                <w:t>烘干</w:t>
                              </w:r>
                            </w:p>
                          </w:txbxContent>
                        </v:textbox>
                      </v:rect>
                      <v:rect id="_x0000_s1026" o:spid="_x0000_s1026" o:spt="1" style="position:absolute;left:2604771;top:2648586;height:276225;width:61785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aw+loNMAAAAFAQAADwAAAAAAAAABACAAAAAiAAAAZHJzL2Rvd25yZXYueG1sUEsBAhQA&#10;FAAAAAgAh07iQMIYnPa+AQAAaQMAAA4AAAAAAAAAAQAgAAAAIgEAAGRycy9lMm9Eb2MueG1sUEsF&#10;BgAAAAAGAAYAWQEAAFIFAAAAAA==&#10;">
                        <v:fill on="f" focussize="0,0"/>
                        <v:stroke on="f"/>
                        <v:imagedata o:title=""/>
                        <o:lock v:ext="edit" aspectratio="f"/>
                        <v:textbox>
                          <w:txbxContent>
                            <w:p w14:paraId="3AB432C5">
                              <w:pPr>
                                <w:jc w:val="center"/>
                                <w:rPr>
                                  <w:rFonts w:ascii="仿宋" w:hAnsi="仿宋" w:eastAsia="仿宋"/>
                                  <w:szCs w:val="21"/>
                                </w:rPr>
                              </w:pPr>
                              <w:r>
                                <w:rPr>
                                  <w:rFonts w:hint="eastAsia" w:ascii="仿宋" w:hAnsi="仿宋" w:eastAsia="仿宋"/>
                                  <w:szCs w:val="21"/>
                                </w:rPr>
                                <w:t>产品</w:t>
                              </w:r>
                            </w:p>
                          </w:txbxContent>
                        </v:textbox>
                      </v:rect>
                      <v:rect id="_x0000_s1026" o:spid="_x0000_s1026" o:spt="1" style="position:absolute;left:2320925;top:426085;height:296545;width:1148715;v-text-anchor:middle;" filled="f" stroked="t" coordsize="21600,21600" o:gfxdata="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C+Xea1gAAAAUBAAAPAAAA&#10;AAAAAAEAIAAAACIAAABkcnMvZG93bnJldi54bWxQSwECFAAUAAAACACHTuJA/l1HIxcCAAApBAAA&#10;DgAAAAAAAAABACAAAAAlAQAAZHJzL2Uyb0RvYy54bWxQSwUGAAAAAAYABgBZAQAArgUAAAAA&#10;">
                        <v:fill on="f" focussize="0,0"/>
                        <v:stroke weight="2.25pt" color="#000000" joinstyle="round"/>
                        <v:imagedata o:title=""/>
                        <o:lock v:ext="edit" aspectratio="f"/>
                        <v:textbox>
                          <w:txbxContent>
                            <w:p w14:paraId="0B345AFD">
                              <w:pPr>
                                <w:adjustRightInd w:val="0"/>
                                <w:snapToGrid w:val="0"/>
                                <w:jc w:val="center"/>
                                <w:rPr>
                                  <w:rFonts w:eastAsia="仿宋"/>
                                  <w:szCs w:val="21"/>
                                </w:rPr>
                              </w:pPr>
                              <w:r>
                                <w:rPr>
                                  <w:rFonts w:eastAsia="仿宋"/>
                                  <w:szCs w:val="21"/>
                                </w:rPr>
                                <w:t>筛选</w:t>
                              </w:r>
                            </w:p>
                          </w:txbxContent>
                        </v:textbox>
                      </v:rect>
                      <v:shape id="_x0000_s1026" o:spid="_x0000_s1026" o:spt="32" type="#_x0000_t32" style="position:absolute;left:2915221;top:2329816;height:292100;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Jw7&#10;rtgAAAAFAQAADwAAAAAAAAABACAAAAAiAAAAZHJzL2Rvd25yZXYueG1sUEsBAhQAFAAAAAgAh07i&#10;QGkpdhYiAgAABwQAAA4AAAAAAAAAAQAgAAAAJwEAAGRycy9lMm9Eb2MueG1sUEsFBgAAAAAGAAYA&#10;WQEAALsFAAAAAA==&#10;">
                        <v:fill on="f" focussize="0,0"/>
                        <v:stroke color="#000000" joinstyle="round" endarrow="block"/>
                        <v:imagedata o:title=""/>
                        <o:lock v:ext="edit" aspectratio="f"/>
                      </v:shape>
                      <v:rect id="_x0000_s1026" o:spid="_x0000_s1026" o:spt="1" style="position:absolute;left:1013460;top:2127251;height:290830;width:958215;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ut0sm9cAAAAFAQAADwAA&#10;AAAAAAABACAAAAAiAAAAZHJzL2Rvd25yZXYueG1sUEsBAhQAFAAAAAgAh07iQMOVsIIXAgAAKQQA&#10;AA4AAAAAAAAAAQAgAAAAJgEAAGRycy9lMm9Eb2MueG1sUEsFBgAAAAAGAAYAWQEAAK8FAAAAAA==&#10;">
                        <v:fill on="f" focussize="0,0"/>
                        <v:stroke weight="2pt" color="#000000" joinstyle="round"/>
                        <v:imagedata o:title=""/>
                        <o:lock v:ext="edit" aspectratio="f"/>
                        <v:textbox>
                          <w:txbxContent>
                            <w:p w14:paraId="03B3BE48">
                              <w:pPr>
                                <w:adjustRightInd w:val="0"/>
                                <w:snapToGrid w:val="0"/>
                                <w:jc w:val="center"/>
                                <w:rPr>
                                  <w:sz w:val="15"/>
                                  <w:szCs w:val="15"/>
                                </w:rPr>
                              </w:pPr>
                              <w:r>
                                <w:rPr>
                                  <w:rFonts w:ascii="仿宋" w:hAnsi="仿宋" w:eastAsia="仿宋"/>
                                  <w:szCs w:val="21"/>
                                </w:rPr>
                                <w:t>热风炉</w:t>
                              </w:r>
                              <w:r>
                                <w:rPr>
                                  <w:rFonts w:hint="eastAsia" w:ascii="仿宋" w:hAnsi="仿宋" w:eastAsia="仿宋" w:cs="仿宋"/>
                                  <w:sz w:val="21"/>
                                  <w:szCs w:val="21"/>
                                </w:rPr>
                                <w:t>供热</w:t>
                              </w:r>
                            </w:p>
                          </w:txbxContent>
                        </v:textbox>
                      </v:rect>
                      <v:shape id="_x0000_s1026" o:spid="_x0000_s1026" o:spt="32" type="#_x0000_t32" style="position:absolute;left:1971675;top:1711326;height:0;width:32577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MnDuu&#10;2AAAAAUBAAAPAAAAAAAAAAEAIAAAACIAAABkcnMvZG93bnJldi54bWxQSwECFAAUAAAACACHTuJA&#10;zPwEhiECAAAJBAAADgAAAAAAAAABACAAAAAnAQAAZHJzL2Uyb0RvYy54bWxQSwUGAAAAAAYABgBZ&#10;AQAAugUAAAAA&#10;">
                        <v:fill on="f" focussize="0,0"/>
                        <v:stroke color="#000000" joinstyle="round" endarrow="block"/>
                        <v:imagedata o:title=""/>
                        <o:lock v:ext="edit" aspectratio="f"/>
                      </v:shape>
                      <v:rect id="_x0000_s1026" o:spid="_x0000_s1026" o:spt="1" style="position:absolute;left:3064510;top:2698750;height:254635;width:170370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w+loNMAAAAF&#10;AQAADwAAAAAAAAABACAAAAAiAAAAZHJzL2Rvd25yZXYueG1sUEsBAhQAFAAAAAgAh07iQHA8/3Yh&#10;AgAAKAQAAA4AAAAAAAAAAQAgAAAAIgEAAGRycy9lMm9Eb2MueG1sUEsFBgAAAAAGAAYAWQEAALUF&#10;AAAAAA==&#10;">
                        <v:fill on="f" focussize="0,0"/>
                        <v:stroke on="f"/>
                        <v:imagedata o:title=""/>
                        <o:lock v:ext="edit" aspectratio="f"/>
                        <v:textbox>
                          <w:txbxContent>
                            <w:p w14:paraId="39ECDB12">
                              <w:pPr>
                                <w:jc w:val="center"/>
                                <w:rPr>
                                  <w:szCs w:val="21"/>
                                </w:rPr>
                              </w:pPr>
                              <w:r>
                                <w:rPr>
                                  <w:szCs w:val="21"/>
                                </w:rPr>
                                <w:t>注：G废气 S固废 N噪声</w:t>
                              </w:r>
                            </w:p>
                          </w:txbxContent>
                        </v:textbox>
                      </v:rect>
                      <v:shape id="_x0000_s1026" o:spid="_x0000_s1026" o:spt="32" type="#_x0000_t32" style="position:absolute;left:1480185;top:2418081;flip:y;height:292100;width:1;"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wAE9DXAAAABQEAAA8AAAAAAAAAAQAgAAAAIgAAAGRycy9kb3ducmV2LnhtbFBLAQIUABQAAAAI&#10;AIdO4kA5D3INJwIAABMEAAAOAAAAAAAAAAEAIAAAACYBAABkcnMvZTJvRG9jLnhtbFBLBQYAAAAA&#10;BgAGAFkBAAC/BQAAAAA=&#10;">
                        <v:fill on="f" focussize="0,0"/>
                        <v:stroke color="#000000" joinstyle="round" endarrow="block"/>
                        <v:imagedata o:title=""/>
                        <o:lock v:ext="edit" aspectratio="f"/>
                      </v:shape>
                      <v:rect id="_x0000_s1026" o:spid="_x0000_s1026" o:spt="1" style="position:absolute;left:1013460;top:907415;height:332105;width:958215;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t0sm9cAAAAFAQAADwAAAAAAAAABACAAAAAiAAAA&#10;ZHJzL2Rvd25yZXYueG1sUEsBAhQAFAAAAAgAh07iQGPpVjBBAgAAYwQAAA4AAAAAAAAAAQAgAAAA&#10;JgEAAGRycy9lMm9Eb2MueG1sUEsFBgAAAAAGAAYAWQEAANkFAAAAAA==&#10;">
                        <v:fill on="f" focussize="0,0"/>
                        <v:stroke weight="2pt" color="#000000" joinstyle="round"/>
                        <v:imagedata o:title=""/>
                        <o:lock v:ext="edit" aspectratio="f"/>
                        <v:textbox>
                          <w:txbxContent>
                            <w:p w14:paraId="46A553CE">
                              <w:pPr>
                                <w:adjustRightInd w:val="0"/>
                                <w:snapToGrid w:val="0"/>
                                <w:jc w:val="center"/>
                                <w:rPr>
                                  <w:rFonts w:eastAsia="仿宋"/>
                                  <w:szCs w:val="21"/>
                                </w:rPr>
                              </w:pPr>
                              <w:r>
                                <w:rPr>
                                  <w:rFonts w:eastAsia="仿宋"/>
                                  <w:szCs w:val="21"/>
                                </w:rPr>
                                <w:t>布袋除尘器</w:t>
                              </w:r>
                            </w:p>
                          </w:txbxContent>
                        </v:textbox>
                      </v:rect>
                      <v:shape id="_x0000_s1026" o:spid="_x0000_s1026" o:spt="32" type="#_x0000_t32" style="position:absolute;left:3479165;top:1171575;height:6985;width:187325;"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TJw7rtgAAAAFAQAADwAAAAAAAAABACAAAAAiAAAAZHJzL2Rvd25yZXYueG1sUEsBAhQAFAAAAAgA&#10;h07iQMNXzpMlAgAADAQAAA4AAAAAAAAAAQAgAAAAJwEAAGRycy9lMm9Eb2MueG1sUEsFBgAAAAAG&#10;AAYAWQEAAL4FAAAAAA==&#10;">
                        <v:fill on="f" focussize="0,0"/>
                        <v:stroke color="#000000" joinstyle="round" endarrow="block"/>
                        <v:imagedata o:title=""/>
                        <o:lock v:ext="edit" aspectratio="f"/>
                      </v:shape>
                      <v:shape id="_x0000_s1026" o:spid="_x0000_s1026" o:spt="32" type="#_x0000_t32" style="position:absolute;left:3470871;top:1701801;height:6350;width:187333;"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TJw7rtgAAAAFAQAADwAAAAAAAAABACAAAAAiAAAAZHJzL2Rvd25yZXYueG1sUEsBAhQAFAAA&#10;AAgAh07iQHScvAkoAgAADAQAAA4AAAAAAAAAAQAgAAAAJwEAAGRycy9lMm9Eb2MueG1sUEsFBgAA&#10;AAAGAAYAWQEAAMEFAAAAAA==&#10;">
                        <v:fill on="f" focussize="0,0"/>
                        <v:stroke color="#000000" joinstyle="round" endarrow="block"/>
                        <v:imagedata o:title=""/>
                        <o:lock v:ext="edit" aspectratio="f"/>
                      </v:shape>
                      <v:rect id="_x0000_s1026" o:spid="_x0000_s1026" o:spt="1" style="position:absolute;left:3593465;top:1031875;height:283845;width:70802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w+loNMAAAAF&#10;AQAADwAAAAAAAAABACAAAAAiAAAAZHJzL2Rvd25yZXYueG1sUEsBAhQAFAAAAAgAh07iQLQDLHAh&#10;AgAAJwQAAA4AAAAAAAAAAQAgAAAAIgEAAGRycy9lMm9Eb2MueG1sUEsFBgAAAAAGAAYAWQEAALUF&#10;AAAAAA==&#10;">
                        <v:fill on="f" focussize="0,0"/>
                        <v:stroke on="f"/>
                        <v:imagedata o:title=""/>
                        <o:lock v:ext="edit" aspectratio="f"/>
                        <v:textbox>
                          <w:txbxContent>
                            <w:p w14:paraId="1C2D7C9D">
                              <w:pPr>
                                <w:adjustRightInd w:val="0"/>
                                <w:snapToGrid w:val="0"/>
                                <w:jc w:val="center"/>
                                <w:rPr>
                                  <w:szCs w:val="21"/>
                                </w:rPr>
                              </w:pPr>
                              <w:r>
                                <w:rPr>
                                  <w:szCs w:val="21"/>
                                </w:rPr>
                                <w:t>N、</w:t>
                              </w:r>
                              <w:r>
                                <w:rPr>
                                  <w:rFonts w:eastAsia="Arial Unicode MS"/>
                                  <w:sz w:val="18"/>
                                  <w:szCs w:val="18"/>
                                </w:rPr>
                                <w:t>G</w:t>
                              </w:r>
                            </w:p>
                            <w:p w14:paraId="2023C330">
                              <w:pPr>
                                <w:adjustRightInd w:val="0"/>
                                <w:snapToGrid w:val="0"/>
                                <w:jc w:val="center"/>
                                <w:rPr>
                                  <w:szCs w:val="21"/>
                                </w:rPr>
                              </w:pPr>
                            </w:p>
                          </w:txbxContent>
                        </v:textbox>
                      </v:rect>
                      <v:rect id="_x0000_s1026" o:spid="_x0000_s1026" o:spt="1" style="position:absolute;left:0;top:919480;height:288290;width:84899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w+loNMAAAAFAQAADwAAAAAA&#10;AAABACAAAAAiAAAAZHJzL2Rvd25yZXYueG1sUEsBAhQAFAAAAAgAh07iQGFGN04YAgAAIAQAAA4A&#10;AAAAAAAAAQAgAAAAIgEAAGRycy9lMm9Eb2MueG1sUEsFBgAAAAAGAAYAWQEAAKwFAAAAAA==&#10;">
                        <v:fill on="f" focussize="0,0"/>
                        <v:stroke on="f"/>
                        <v:imagedata o:title=""/>
                        <o:lock v:ext="edit" aspectratio="f"/>
                        <v:textbox>
                          <w:txbxContent>
                            <w:p w14:paraId="0FA40127">
                              <w:pPr>
                                <w:adjustRightInd w:val="0"/>
                                <w:snapToGrid w:val="0"/>
                                <w:jc w:val="center"/>
                                <w:rPr>
                                  <w:szCs w:val="21"/>
                                </w:rPr>
                              </w:pPr>
                              <w:r>
                                <w:rPr>
                                  <w:szCs w:val="21"/>
                                </w:rPr>
                                <w:t>G、S、N</w:t>
                              </w:r>
                            </w:p>
                          </w:txbxContent>
                        </v:textbox>
                      </v:rect>
                      <v:rect id="_x0000_s1026" o:spid="_x0000_s1026" o:spt="1" style="position:absolute;left:3658870;top:2124075;height:295910;width:58737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w+loNMAAAAF&#10;AQAADwAAAAAAAAABACAAAAAiAAAAZHJzL2Rvd25yZXYueG1sUEsBAhQAFAAAAAgAh07iQGaNP/Ah&#10;AgAAKQQAAA4AAAAAAAAAAQAgAAAAIgEAAGRycy9lMm9Eb2MueG1sUEsFBgAAAAAGAAYAWQEAALUF&#10;AAAAAA==&#10;">
                        <v:fill on="f" focussize="0,0"/>
                        <v:stroke on="f"/>
                        <v:imagedata o:title=""/>
                        <o:lock v:ext="edit" aspectratio="f"/>
                        <v:textbox>
                          <w:txbxContent>
                            <w:p w14:paraId="2623998A">
                              <w:pPr>
                                <w:adjustRightInd w:val="0"/>
                                <w:snapToGrid w:val="0"/>
                                <w:rPr>
                                  <w:szCs w:val="21"/>
                                </w:rPr>
                              </w:pPr>
                              <w:r>
                                <w:rPr>
                                  <w:szCs w:val="21"/>
                                </w:rPr>
                                <w:t>N</w:t>
                              </w:r>
                              <w:r>
                                <w:rPr>
                                  <w:rFonts w:hint="eastAsia"/>
                                  <w:szCs w:val="21"/>
                                </w:rPr>
                                <w:t>、G</w:t>
                              </w:r>
                            </w:p>
                          </w:txbxContent>
                        </v:textbox>
                      </v:rect>
                      <v:rect id="_x0000_s1026" o:spid="_x0000_s1026" o:spt="1" style="position:absolute;left:220980;top:2127885;height:314325;width:593090;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w+loNMAAAAFAQAA&#10;DwAAAAAAAAABACAAAAAiAAAAZHJzL2Rvd25yZXYueG1sUEsBAhQAFAAAAAgAh07iQAvIZ3ceAgAA&#10;JAQAAA4AAAAAAAAAAQAgAAAAIgEAAGRycy9lMm9Eb2MueG1sUEsFBgAAAAAGAAYAWQEAALIFAAAA&#10;AA==&#10;">
                        <v:fill on="f" focussize="0,0"/>
                        <v:stroke on="f"/>
                        <v:imagedata o:title=""/>
                        <o:lock v:ext="edit" aspectratio="f"/>
                        <v:textbox>
                          <w:txbxContent>
                            <w:p w14:paraId="41D954D1">
                              <w:pPr>
                                <w:jc w:val="center"/>
                                <w:rPr>
                                  <w:szCs w:val="21"/>
                                </w:rPr>
                              </w:pPr>
                              <w:r>
                                <w:rPr>
                                  <w:szCs w:val="21"/>
                                </w:rPr>
                                <w:t>S、N</w:t>
                              </w:r>
                            </w:p>
                          </w:txbxContent>
                        </v:textbox>
                      </v:rect>
                      <v:rect id="_x0000_s1026" o:spid="_x0000_s1026" o:spt="1" style="position:absolute;left:3658204;top:1538605;height:290830;width:708057;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w+loNMAAAAF&#10;AQAADwAAAAAAAAABACAAAAAiAAAAZHJzL2Rvd25yZXYueG1sUEsBAhQAFAAAAAgAh07iQHcUtlgh&#10;AgAAJQQAAA4AAAAAAAAAAQAgAAAAIgEAAGRycy9lMm9Eb2MueG1sUEsFBgAAAAAGAAYAWQEAALUF&#10;AAAAAA==&#10;">
                        <v:fill on="f" focussize="0,0"/>
                        <v:stroke on="f"/>
                        <v:imagedata o:title=""/>
                        <o:lock v:ext="edit" aspectratio="f"/>
                        <v:textbox>
                          <w:txbxContent>
                            <w:p w14:paraId="5FB131AE">
                              <w:pPr>
                                <w:adjustRightInd w:val="0"/>
                                <w:snapToGrid w:val="0"/>
                                <w:rPr>
                                  <w:szCs w:val="21"/>
                                </w:rPr>
                              </w:pPr>
                              <w:r>
                                <w:rPr>
                                  <w:szCs w:val="21"/>
                                </w:rPr>
                                <w:t>N、G</w:t>
                              </w:r>
                            </w:p>
                          </w:txbxContent>
                        </v:textbox>
                      </v:rect>
                      <v:shape id="_x0000_s1026" o:spid="_x0000_s1026" o:spt="32" type="#_x0000_t32" style="position:absolute;left:3471545;top:2272665;height:6350;width:18669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TJw7rtgAAAAFAQAADwAAAAAAAAABACAAAAAiAAAAZHJzL2Rvd25yZXYueG1sUEsBAhQAFAAA&#10;AAgAh07iQFVtI1goAgAACgQAAA4AAAAAAAAAAQAgAAAAJwEAAGRycy9lMm9Eb2MueG1sUEsFBgAA&#10;AAAGAAYAWQEAAMEFAAAAAA==&#10;">
                        <v:fill on="f" focussize="0,0"/>
                        <v:stroke color="#000000" joinstyle="round" endarrow="block"/>
                        <v:imagedata o:title=""/>
                        <o:lock v:ext="edit" aspectratio="f"/>
                      </v:shape>
                      <v:shape id="_x0000_s1026" o:spid="_x0000_s1026" o:spt="32" type="#_x0000_t32" style="position:absolute;left:814070;top:2294891;flip:x;height:1;width:160019;"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fAAT0NcAAAAFAQAADwAAAAAAAAABACAAAAAiAAAAZHJzL2Rvd25yZXYueG1sUEsBAhQAFAAA&#10;AAgAh07iQNwoRjMpAgAAEAQAAA4AAAAAAAAAAQAgAAAAJgEAAGRycy9lMm9Eb2MueG1sUEsFBgAA&#10;AAAGAAYAWQEAAMEFAAAAAA==&#10;">
                        <v:fill on="f" focussize="0,0"/>
                        <v:stroke color="#000000" joinstyle="round" endarrow="block"/>
                        <v:imagedata o:title=""/>
                        <o:lock v:ext="edit" aspectratio="f"/>
                      </v:shape>
                      <v:shape id="_x0000_s1026" o:spid="_x0000_s1026" o:spt="32" type="#_x0000_t32" style="position:absolute;left:838200;top:1071245;flip:x;height:1;width:159384;"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wAE9DXAAAABQEAAA8AAAAAAAAAAQAgAAAAIgAAAGRycy9kb3ducmV2LnhtbFBLAQIUABQAAAAI&#10;AIdO4kB7ybYUJwIAABAEAAAOAAAAAAAAAAEAIAAAACYBAABkcnMvZTJvRG9jLnhtbFBLBQYAAAAA&#10;BgAGAFkBAAC/BQAAAAA=&#10;">
                        <v:fill on="f" focussize="0,0"/>
                        <v:stroke color="#000000" joinstyle="round" endarrow="block"/>
                        <v:imagedata o:title=""/>
                        <o:lock v:ext="edit" aspectratio="f"/>
                      </v:shape>
                      <v:rect id="_x0000_s1026" o:spid="_x0000_s1026" o:spt="1" style="position:absolute;left:2487296;top:0;height:276225;width:845185;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aw+loNMAAAAFAQAADwAAAAAAAAABACAAAAAiAAAAZHJzL2Rvd25yZXYueG1sUEsBAhQAFAAAAAgA&#10;h07iQCqKzvm4AQAAYwMAAA4AAAAAAAAAAQAgAAAAIgEAAGRycy9lMm9Eb2MueG1sUEsFBgAAAAAG&#10;AAYAWQEAAEwFAAAAAA==&#10;">
                        <v:fill on="f" focussize="0,0"/>
                        <v:stroke on="f"/>
                        <v:imagedata o:title=""/>
                        <o:lock v:ext="edit" aspectratio="f"/>
                        <v:textbox>
                          <w:txbxContent>
                            <w:p w14:paraId="5943F416">
                              <w:pPr>
                                <w:pStyle w:val="30"/>
                                <w:adjustRightInd w:val="0"/>
                                <w:snapToGrid w:val="0"/>
                                <w:spacing w:before="0" w:beforeAutospacing="0" w:after="0" w:afterAutospacing="0"/>
                                <w:jc w:val="center"/>
                                <w:rPr>
                                  <w:rFonts w:ascii="仿宋" w:hAnsi="仿宋" w:eastAsia="仿宋"/>
                                  <w:sz w:val="21"/>
                                  <w:szCs w:val="21"/>
                                </w:rPr>
                              </w:pPr>
                              <w:r>
                                <w:rPr>
                                  <w:rFonts w:hint="eastAsia" w:ascii="仿宋" w:hAnsi="仿宋" w:eastAsia="仿宋"/>
                                  <w:color w:val="000000"/>
                                  <w:sz w:val="21"/>
                                  <w:szCs w:val="21"/>
                                </w:rPr>
                                <w:t>原料</w:t>
                              </w:r>
                            </w:p>
                          </w:txbxContent>
                        </v:textbox>
                      </v:rect>
                      <v:shape id="_x0000_s1026" o:spid="_x0000_s1026" o:spt="32" type="#_x0000_t32" style="position:absolute;left:2905761;top:233680;height:183515;width:0;"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MnDuu2AAAAAUBAAAPAAAA&#10;AAAAAAEAIAAAACIAAABkcnMvZG93bnJldi54bWxQSwECFAAUAAAACACHTuJA4k1c1xUCAAAGBAAA&#10;DgAAAAAAAAABACAAAAAnAQAAZHJzL2Uyb0RvYy54bWxQSwUGAAAAAAYABgBZAQAArgUAAAAA&#10;">
                        <v:fill on="f" focussize="0,0"/>
                        <v:stroke color="#000000" joinstyle="round" endarrow="block"/>
                        <v:imagedata o:title=""/>
                        <o:lock v:ext="edit" aspectratio="f"/>
                      </v:shape>
                      <v:rect id="_x0000_s1026" o:spid="_x0000_s1026" o:spt="1" style="position:absolute;left:3635375;top:384810;height:379095;width:746760;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sPpaDTAAAABQEAAA8A&#10;AAAAAAAAAQAgAAAAIgAAAGRycy9kb3ducmV2LnhtbFBLAQIUABQAAAAIAIdO4kC7ofEkHAIAACQE&#10;AAAOAAAAAAAAAAEAIAAAACIBAABkcnMvZTJvRG9jLnhtbFBLBQYAAAAABgAGAFkBAACwBQAAAAA=&#10;">
                        <v:fill on="f" focussize="0,0"/>
                        <v:stroke on="f"/>
                        <v:imagedata o:title=""/>
                        <o:lock v:ext="edit" aspectratio="f"/>
                        <v:textbox>
                          <w:txbxContent>
                            <w:p w14:paraId="7BB00B34">
                              <w:pPr>
                                <w:pStyle w:val="30"/>
                                <w:adjustRightInd w:val="0"/>
                                <w:snapToGrid w:val="0"/>
                                <w:spacing w:before="0" w:beforeAutospacing="0" w:after="0" w:afterAutospacing="0"/>
                                <w:rPr>
                                  <w:rFonts w:ascii="Times New Roman" w:hAnsi="Times New Roman" w:eastAsia="Arial Unicode MS"/>
                                  <w:color w:val="FF0000"/>
                                  <w:sz w:val="21"/>
                                  <w:szCs w:val="21"/>
                                </w:rPr>
                              </w:pPr>
                              <w:r>
                                <w:rPr>
                                  <w:rFonts w:ascii="Times New Roman" w:hAnsi="Times New Roman" w:eastAsia="Arial Unicode MS"/>
                                  <w:color w:val="000000"/>
                                  <w:sz w:val="21"/>
                                  <w:szCs w:val="21"/>
                                </w:rPr>
                                <w:t>N</w:t>
                              </w:r>
                              <w:r>
                                <w:rPr>
                                  <w:rFonts w:ascii="Times New Roman" w:hAnsi="Times New Roman" w:eastAsia="Arial Unicode MS"/>
                                  <w:sz w:val="21"/>
                                  <w:szCs w:val="21"/>
                                </w:rPr>
                                <w:t>、S、G</w:t>
                              </w:r>
                            </w:p>
                          </w:txbxContent>
                        </v:textbox>
                      </v:rect>
                      <v:shape id="_x0000_s1026" o:spid="_x0000_s1026" o:spt="32" type="#_x0000_t32" style="position:absolute;left:3467735;top:586740;height:6350;width:187325;" filled="f" stroked="t" coordsize="21600,21600" o:gfxdata="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yc&#10;O67YAAAABQEAAA8AAAAAAAAAAQAgAAAAIgAAAGRycy9kb3ducmV2LnhtbFBLAQIUABQAAAAIAIdO&#10;4kCTdS2oIwIAAAkEAAAOAAAAAAAAAAEAIAAAACcBAABkcnMvZTJvRG9jLnhtbFBLBQYAAAAABgAG&#10;AFkBAAC8BQAAAAA=&#10;">
                        <v:fill on="f" focussize="0,0"/>
                        <v:stroke color="#000000" joinstyle="round" endarrow="block"/>
                        <v:imagedata o:title=""/>
                        <o:lock v:ext="edit" aspectratio="f"/>
                      </v:shape>
                      <v:rect id="_x0000_s1026" o:spid="_x0000_s1026" o:spt="1" style="position:absolute;left:1013460;top:1543050;height:303530;width:958215;v-text-anchor:middle;" filled="f" stroked="t" coordsize="21600,21600" o:gfxdata="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t0sm9cAAAAFAQAADwAAAAAAAAABACAAAAAiAAAA&#10;ZHJzL2Rvd25yZXYueG1sUEsBAhQAFAAAAAgAh07iQOmzltVBAgAAYgQAAA4AAAAAAAAAAQAgAAAA&#10;JgEAAGRycy9lMm9Eb2MueG1sUEsFBgAAAAAGAAYAWQEAANkFAAAAAA==&#10;">
                        <v:fill on="f" focussize="0,0"/>
                        <v:stroke weight="2pt" color="#000000" joinstyle="round"/>
                        <v:imagedata o:title=""/>
                        <o:lock v:ext="edit" aspectratio="f"/>
                        <v:textbox>
                          <w:txbxContent>
                            <w:p w14:paraId="166A3AFD">
                              <w:pPr>
                                <w:adjustRightInd w:val="0"/>
                                <w:snapToGrid w:val="0"/>
                                <w:jc w:val="center"/>
                                <w:rPr>
                                  <w:rFonts w:eastAsia="仿宋"/>
                                  <w:szCs w:val="21"/>
                                </w:rPr>
                              </w:pPr>
                              <w:r>
                                <w:rPr>
                                  <w:rFonts w:hint="eastAsia" w:eastAsia="仿宋"/>
                                  <w:szCs w:val="21"/>
                                </w:rPr>
                                <w:t>换热器</w:t>
                              </w:r>
                            </w:p>
                          </w:txbxContent>
                        </v:textbox>
                      </v:rect>
                      <v:shape id="_x0000_s1026" o:spid="_x0000_s1026" o:spt="32" type="#_x0000_t32" style="position:absolute;left:1505585;top:1245870;flip:y;height:292100;width:1;"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fAAT0NcAAAAFAQAADwAAAAAAAAABACAAAAAiAAAAZHJzL2Rvd25yZXYueG1sUEsBAhQAFAAAAAgA&#10;h07iQEKp1gQmAgAAEQQAAA4AAAAAAAAAAQAgAAAAJgEAAGRycy9lMm9Eb2MueG1sUEsFBgAAAAAG&#10;AAYAWQEAAL4FAAAAAA==&#10;">
                        <v:fill on="f" focussize="0,0"/>
                        <v:stroke color="#000000" joinstyle="round" endarrow="block"/>
                        <v:imagedata o:title=""/>
                        <o:lock v:ext="edit" aspectratio="f"/>
                      </v:shape>
                      <v:shape id="_x0000_s1026" o:spid="_x0000_s1026" o:spt="32" type="#_x0000_t32" style="position:absolute;left:1487170;top:1835151;flip:y;height:292100;width:0;"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wAE9DXAAAABQEAAA8AAAAAAAAAAQAgAAAAIgAAAGRycy9kb3ducmV2LnhtbFBLAQIUABQAAAAI&#10;AIdO4kAwFyesJwIAABEEAAAOAAAAAAAAAAEAIAAAACYBAABkcnMvZTJvRG9jLnhtbFBLBQYAAAAA&#10;BgAGAFkBAAC/BQAAAAA=&#10;">
                        <v:fill on="f" focussize="0,0"/>
                        <v:stroke color="#000000" joinstyle="round" endarrow="block"/>
                        <v:imagedata o:title=""/>
                        <o:lock v:ext="edit" aspectratio="f"/>
                      </v:shape>
                      <v:shape id="_x0000_s1026" o:spid="_x0000_s1026" o:spt="32" type="#_x0000_t32" style="position:absolute;left:838200;top:1691006;flip:x;height:0;width:160019;" filled="f" stroked="t" coordsize="21600,21600" o:gfxdata="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HwAE9DXAAAABQEAAA8AAAAAAAAAAQAgAAAAIgAAAGRycy9kb3ducmV2LnhtbFBLAQIUABQAAAAI&#10;AIdO4kC7NdjPJwIAABAEAAAOAAAAAAAAAAEAIAAAACYBAABkcnMvZTJvRG9jLnhtbFBLBQYAAAAA&#10;BgAGAFkBAAC/BQAAAAA=&#10;">
                        <v:fill on="f" focussize="0,0"/>
                        <v:stroke color="#000000" joinstyle="round" endarrow="block"/>
                        <v:imagedata o:title=""/>
                        <o:lock v:ext="edit" aspectratio="f"/>
                      </v:shape>
                      <v:rect id="_x0000_s1026" o:spid="_x0000_s1026" o:spt="1" style="position:absolute;left:351155;top:1537970;height:314325;width:593090;v-text-anchor:middle;" filled="f" stroked="f" coordsize="21600,21600" o:gfxdata="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GsPpaDTAAAABQEA&#10;AA8AAAAAAAAAAQAgAAAAIgAAAGRycy9kb3ducmV2LnhtbFBLAQIUABQAAAAIAIdO4kA89bbcHwIA&#10;ACQEAAAOAAAAAAAAAAEAIAAAACIBAABkcnMvZTJvRG9jLnhtbFBLBQYAAAAABgAGAFkBAACzBQAA&#10;AAA=&#10;">
                        <v:fill on="f" focussize="0,0"/>
                        <v:stroke on="f"/>
                        <v:imagedata o:title=""/>
                        <o:lock v:ext="edit" aspectratio="f"/>
                        <v:textbox>
                          <w:txbxContent>
                            <w:p w14:paraId="7F6A4965">
                              <w:pPr>
                                <w:jc w:val="center"/>
                                <w:rPr>
                                  <w:szCs w:val="21"/>
                                </w:rPr>
                              </w:pPr>
                              <w:r>
                                <w:rPr>
                                  <w:szCs w:val="21"/>
                                </w:rPr>
                                <w:t>N</w:t>
                              </w:r>
                            </w:p>
                          </w:txbxContent>
                        </v:textbox>
                      </v:rect>
                      <w10:wrap type="none"/>
                      <w10:anchorlock/>
                    </v:group>
                  </w:pict>
                </mc:Fallback>
              </mc:AlternateContent>
            </w:r>
          </w:p>
          <w:p w14:paraId="002EB89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napToGrid w:val="0"/>
                <w:color w:val="auto"/>
                <w:szCs w:val="21"/>
                <w:highlight w:val="none"/>
              </w:rPr>
            </w:pPr>
            <w:r>
              <w:rPr>
                <w:rFonts w:hint="default" w:ascii="Times New Roman" w:hAnsi="Times New Roman" w:eastAsia="宋体" w:cs="Times New Roman"/>
                <w:b/>
                <w:bCs/>
                <w:snapToGrid w:val="0"/>
                <w:color w:val="auto"/>
                <w:szCs w:val="21"/>
                <w:highlight w:val="none"/>
              </w:rPr>
              <w:t>图2-</w:t>
            </w:r>
            <w:r>
              <w:rPr>
                <w:rFonts w:hint="eastAsia" w:cs="Times New Roman"/>
                <w:b/>
                <w:bCs/>
                <w:snapToGrid w:val="0"/>
                <w:color w:val="auto"/>
                <w:szCs w:val="21"/>
                <w:highlight w:val="none"/>
                <w:lang w:val="en-US" w:eastAsia="zh-CN"/>
              </w:rPr>
              <w:t>2玉米烘干工艺</w:t>
            </w:r>
            <w:r>
              <w:rPr>
                <w:rFonts w:hint="default" w:ascii="Times New Roman" w:hAnsi="Times New Roman" w:eastAsia="宋体" w:cs="Times New Roman"/>
                <w:b/>
                <w:bCs/>
                <w:snapToGrid w:val="0"/>
                <w:color w:val="auto"/>
                <w:szCs w:val="21"/>
                <w:highlight w:val="none"/>
              </w:rPr>
              <w:t>流程及产污环节图</w:t>
            </w:r>
          </w:p>
          <w:p w14:paraId="1D848B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both"/>
              <w:textAlignment w:val="auto"/>
              <w:rPr>
                <w:rFonts w:hint="eastAsia" w:ascii="宋体" w:hAnsi="宋体" w:eastAsia="宋体" w:cs="宋体"/>
                <w:b/>
                <w:bCs/>
                <w:color w:val="auto"/>
                <w:kern w:val="21"/>
                <w:sz w:val="21"/>
                <w:szCs w:val="21"/>
                <w:highlight w:val="none"/>
                <w:lang w:eastAsia="zh-CN"/>
              </w:rPr>
            </w:pPr>
            <w:r>
              <w:rPr>
                <w:rFonts w:hint="eastAsia" w:ascii="宋体" w:hAnsi="宋体" w:eastAsia="宋体" w:cs="宋体"/>
                <w:b/>
                <w:bCs/>
                <w:color w:val="auto"/>
                <w:kern w:val="21"/>
                <w:sz w:val="21"/>
                <w:szCs w:val="21"/>
                <w:highlight w:val="none"/>
                <w:lang w:eastAsia="zh-CN"/>
              </w:rPr>
              <w:t>工艺流程简述：</w:t>
            </w:r>
          </w:p>
          <w:p w14:paraId="2EA42E3D">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（1）进仓工艺流程</w:t>
            </w:r>
          </w:p>
          <w:p w14:paraId="22CA7C52">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湿粮经汽车运输至厂区内，称量后经输送</w:t>
            </w:r>
            <w:r>
              <w:rPr>
                <w:rFonts w:hint="eastAsia" w:cs="Times New Roman"/>
                <w:color w:val="auto"/>
                <w:spacing w:val="0"/>
                <w:sz w:val="21"/>
                <w:szCs w:val="21"/>
                <w:highlight w:val="none"/>
                <w:lang w:val="en-US" w:eastAsia="zh-CN"/>
              </w:rPr>
              <w:t>带</w:t>
            </w:r>
            <w:r>
              <w:rPr>
                <w:rFonts w:hint="default" w:ascii="Times New Roman" w:hAnsi="Times New Roman" w:eastAsia="宋体" w:cs="Times New Roman"/>
                <w:color w:val="auto"/>
                <w:spacing w:val="0"/>
                <w:sz w:val="21"/>
                <w:szCs w:val="21"/>
                <w:highlight w:val="none"/>
              </w:rPr>
              <w:t>送至</w:t>
            </w:r>
            <w:r>
              <w:rPr>
                <w:rFonts w:hint="eastAsia" w:cs="Times New Roman"/>
                <w:color w:val="auto"/>
                <w:spacing w:val="0"/>
                <w:sz w:val="21"/>
                <w:szCs w:val="21"/>
                <w:highlight w:val="none"/>
                <w:lang w:val="en-US" w:eastAsia="zh-CN"/>
              </w:rPr>
              <w:t>筛分机</w:t>
            </w:r>
            <w:r>
              <w:rPr>
                <w:rFonts w:hint="default" w:ascii="Times New Roman" w:hAnsi="Times New Roman" w:eastAsia="宋体" w:cs="Times New Roman"/>
                <w:color w:val="auto"/>
                <w:spacing w:val="0"/>
                <w:sz w:val="21"/>
                <w:szCs w:val="21"/>
                <w:highlight w:val="none"/>
              </w:rPr>
              <w:t>内筛分</w:t>
            </w:r>
            <w:r>
              <w:rPr>
                <w:rFonts w:hint="eastAsia" w:cs="Times New Roman"/>
                <w:color w:val="auto"/>
                <w:spacing w:val="0"/>
                <w:sz w:val="21"/>
                <w:szCs w:val="21"/>
                <w:highlight w:val="none"/>
                <w:lang w:eastAsia="zh-CN"/>
              </w:rPr>
              <w:t>，</w:t>
            </w:r>
            <w:r>
              <w:rPr>
                <w:rFonts w:hint="eastAsia" w:cs="Times New Roman"/>
                <w:color w:val="auto"/>
                <w:spacing w:val="0"/>
                <w:sz w:val="21"/>
                <w:szCs w:val="21"/>
                <w:highlight w:val="none"/>
                <w:lang w:val="en-US" w:eastAsia="zh-CN"/>
              </w:rPr>
              <w:t>筛分杂质及粉尘经设备自带布袋除尘器收集，</w:t>
            </w:r>
            <w:r>
              <w:rPr>
                <w:rFonts w:hint="eastAsia" w:cs="Times New Roman"/>
                <w:color w:val="auto"/>
                <w:spacing w:val="0"/>
                <w:sz w:val="21"/>
                <w:szCs w:val="21"/>
                <w:highlight w:val="none"/>
                <w:lang w:eastAsia="zh-CN"/>
              </w:rPr>
              <w:t>筛分后的净粮</w:t>
            </w:r>
            <w:r>
              <w:rPr>
                <w:rFonts w:hint="default" w:ascii="Times New Roman" w:hAnsi="Times New Roman" w:eastAsia="宋体" w:cs="Times New Roman"/>
                <w:color w:val="auto"/>
                <w:spacing w:val="0"/>
                <w:sz w:val="21"/>
                <w:szCs w:val="21"/>
                <w:highlight w:val="none"/>
              </w:rPr>
              <w:t>由提升机送至</w:t>
            </w:r>
            <w:r>
              <w:rPr>
                <w:rFonts w:hint="eastAsia" w:cs="Times New Roman"/>
                <w:color w:val="auto"/>
                <w:spacing w:val="0"/>
                <w:sz w:val="21"/>
                <w:szCs w:val="21"/>
                <w:highlight w:val="none"/>
                <w:lang w:val="en-US" w:eastAsia="zh-CN"/>
              </w:rPr>
              <w:t>潮粮仓，烘干时再由提升机送至</w:t>
            </w:r>
            <w:r>
              <w:rPr>
                <w:rFonts w:hint="default" w:ascii="Times New Roman" w:hAnsi="Times New Roman" w:eastAsia="宋体" w:cs="Times New Roman"/>
                <w:color w:val="auto"/>
                <w:spacing w:val="0"/>
                <w:sz w:val="21"/>
                <w:szCs w:val="21"/>
                <w:highlight w:val="none"/>
              </w:rPr>
              <w:t>烘干塔内进行烘干，烘干塔配有1台</w:t>
            </w:r>
            <w:r>
              <w:rPr>
                <w:rFonts w:hint="eastAsia" w:cs="Times New Roman"/>
                <w:color w:val="auto"/>
                <w:spacing w:val="0"/>
                <w:sz w:val="21"/>
                <w:szCs w:val="21"/>
                <w:highlight w:val="none"/>
                <w:lang w:val="en-US" w:eastAsia="zh-CN"/>
              </w:rPr>
              <w:t>5</w:t>
            </w:r>
            <w:r>
              <w:rPr>
                <w:rFonts w:hint="eastAsia" w:cs="Times New Roman"/>
                <w:b w:val="0"/>
                <w:bCs w:val="0"/>
                <w:color w:val="auto"/>
                <w:kern w:val="0"/>
                <w:sz w:val="21"/>
                <w:szCs w:val="21"/>
                <w:highlight w:val="none"/>
                <w:lang w:val="en-US" w:eastAsia="zh-CN"/>
              </w:rPr>
              <w:t>t/h</w:t>
            </w:r>
            <w:r>
              <w:rPr>
                <w:rFonts w:hint="default" w:ascii="Times New Roman" w:hAnsi="Times New Roman" w:eastAsia="宋体" w:cs="Times New Roman"/>
                <w:color w:val="auto"/>
                <w:spacing w:val="0"/>
                <w:sz w:val="21"/>
                <w:szCs w:val="21"/>
                <w:highlight w:val="none"/>
              </w:rPr>
              <w:t>的</w:t>
            </w:r>
            <w:r>
              <w:rPr>
                <w:rFonts w:hint="eastAsia" w:cs="Times New Roman"/>
                <w:color w:val="auto"/>
                <w:spacing w:val="0"/>
                <w:sz w:val="21"/>
                <w:szCs w:val="21"/>
                <w:highlight w:val="none"/>
                <w:lang w:val="en-US" w:eastAsia="zh-CN"/>
              </w:rPr>
              <w:t>燃生物质</w:t>
            </w:r>
            <w:r>
              <w:rPr>
                <w:rFonts w:hint="default" w:ascii="Times New Roman" w:hAnsi="Times New Roman" w:eastAsia="宋体" w:cs="Times New Roman"/>
                <w:color w:val="auto"/>
                <w:spacing w:val="0"/>
                <w:sz w:val="21"/>
                <w:szCs w:val="21"/>
                <w:highlight w:val="none"/>
              </w:rPr>
              <w:t>热风炉，热风炉产生的热量经过换热器将冷空气加热，热空气通过热风机经管道送入烘干塔，热空气与塔内的湿粮接触，层层蒸发掉粮食内多余的水份，烘干后干燥的</w:t>
            </w:r>
            <w:r>
              <w:rPr>
                <w:rFonts w:hint="eastAsia" w:cs="Times New Roman"/>
                <w:color w:val="auto"/>
                <w:spacing w:val="0"/>
                <w:sz w:val="21"/>
                <w:szCs w:val="21"/>
                <w:highlight w:val="none"/>
                <w:lang w:val="en-US" w:eastAsia="zh-CN"/>
              </w:rPr>
              <w:t>玉米</w:t>
            </w:r>
            <w:r>
              <w:rPr>
                <w:rFonts w:hint="default" w:ascii="Times New Roman" w:hAnsi="Times New Roman" w:eastAsia="宋体" w:cs="Times New Roman"/>
                <w:color w:val="auto"/>
                <w:spacing w:val="0"/>
                <w:sz w:val="21"/>
                <w:szCs w:val="21"/>
                <w:highlight w:val="none"/>
              </w:rPr>
              <w:t>进入</w:t>
            </w:r>
            <w:r>
              <w:rPr>
                <w:rFonts w:hint="eastAsia" w:cs="Times New Roman"/>
                <w:color w:val="auto"/>
                <w:spacing w:val="0"/>
                <w:sz w:val="21"/>
                <w:szCs w:val="21"/>
                <w:highlight w:val="none"/>
                <w:lang w:val="en-US" w:eastAsia="zh-CN"/>
              </w:rPr>
              <w:t>干粮仓或库房，</w:t>
            </w:r>
            <w:r>
              <w:rPr>
                <w:rFonts w:hint="default" w:ascii="Times New Roman" w:hAnsi="Times New Roman" w:eastAsia="宋体" w:cs="Times New Roman"/>
                <w:color w:val="auto"/>
                <w:spacing w:val="0"/>
                <w:sz w:val="21"/>
                <w:szCs w:val="21"/>
                <w:highlight w:val="none"/>
              </w:rPr>
              <w:t>储存</w:t>
            </w:r>
            <w:r>
              <w:rPr>
                <w:rFonts w:hint="eastAsia" w:cs="Times New Roman"/>
                <w:color w:val="auto"/>
                <w:spacing w:val="0"/>
                <w:sz w:val="21"/>
                <w:szCs w:val="21"/>
                <w:highlight w:val="none"/>
                <w:lang w:eastAsia="zh-CN"/>
              </w:rPr>
              <w:t>，</w:t>
            </w:r>
            <w:r>
              <w:rPr>
                <w:rFonts w:hint="eastAsia" w:cs="Times New Roman"/>
                <w:color w:val="auto"/>
                <w:spacing w:val="0"/>
                <w:sz w:val="21"/>
                <w:szCs w:val="21"/>
                <w:highlight w:val="none"/>
                <w:lang w:val="en-US" w:eastAsia="zh-CN"/>
              </w:rPr>
              <w:t>外售</w:t>
            </w:r>
            <w:r>
              <w:rPr>
                <w:rFonts w:hint="default" w:ascii="Times New Roman" w:hAnsi="Times New Roman" w:eastAsia="宋体" w:cs="Times New Roman"/>
                <w:color w:val="auto"/>
                <w:spacing w:val="0"/>
                <w:sz w:val="21"/>
                <w:szCs w:val="21"/>
                <w:highlight w:val="none"/>
              </w:rPr>
              <w:t>。</w:t>
            </w:r>
          </w:p>
          <w:p w14:paraId="02788833">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（2）热气输送至烘干塔流程</w:t>
            </w:r>
          </w:p>
          <w:p w14:paraId="0C1128ED">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冷空气由鼓风机送至燃</w:t>
            </w:r>
            <w:r>
              <w:rPr>
                <w:rFonts w:hint="eastAsia" w:cs="Times New Roman"/>
                <w:color w:val="auto"/>
                <w:spacing w:val="0"/>
                <w:sz w:val="21"/>
                <w:szCs w:val="21"/>
                <w:highlight w:val="none"/>
                <w:lang w:val="en-US" w:eastAsia="zh-CN"/>
              </w:rPr>
              <w:t>生物质</w:t>
            </w:r>
            <w:r>
              <w:rPr>
                <w:rFonts w:hint="default" w:ascii="Times New Roman" w:hAnsi="Times New Roman" w:eastAsia="宋体" w:cs="Times New Roman"/>
                <w:color w:val="auto"/>
                <w:spacing w:val="0"/>
                <w:sz w:val="21"/>
                <w:szCs w:val="21"/>
                <w:highlight w:val="none"/>
              </w:rPr>
              <w:t>热风炉内，经热风炉加热后形成高温烟气，冷空气经换热器与高温烟气进行热交换后，变为热空气，经风机送至烘干塔内进行烘干粮食，烘干后的热空气由塔顶排放，交换后的烟气经</w:t>
            </w:r>
            <w:r>
              <w:rPr>
                <w:rFonts w:hint="eastAsia" w:cs="Times New Roman"/>
                <w:color w:val="auto"/>
                <w:sz w:val="21"/>
                <w:szCs w:val="21"/>
                <w:highlight w:val="none"/>
                <w:lang w:eastAsia="zh-CN"/>
              </w:rPr>
              <w:t>烟囱</w:t>
            </w:r>
            <w:r>
              <w:rPr>
                <w:rFonts w:hint="default" w:ascii="Times New Roman" w:hAnsi="Times New Roman" w:eastAsia="宋体" w:cs="Times New Roman"/>
                <w:color w:val="auto"/>
                <w:spacing w:val="0"/>
                <w:sz w:val="21"/>
                <w:szCs w:val="21"/>
                <w:highlight w:val="none"/>
              </w:rPr>
              <w:t>排放。</w:t>
            </w:r>
          </w:p>
          <w:p w14:paraId="6A3840CE">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（3）烘干塔内工艺流程</w:t>
            </w:r>
          </w:p>
          <w:p w14:paraId="609AB296">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在干燥段内，由于粮食自重，自上而下流动，热风进入，朝上方向穿过粮层，热风在穿过粮层时，与粮粒间进行湿热传递，热风将热量转给粮粒，使之温度升高，与粮食接触温度最高不超过60℃，粮粒受热升温，水分蒸发到空气中，干燥介质携带着水汽变成废气经烘干塔口排出。在这个过程中，粮食温度升得越高，水分就蒸发得越快。为保证粮食的品质，即加工性和食用性，干燥段内粮食温升和干燥时间是受到严格控制的，其原则是既要降低粮食的水分，又不能损害粮食的品质。在烘干段内没有布置通风角状管的部位为缓苏段，烘干的热粮向下流动到缓苏段，缓苏段内不通热风，其主要作用是减缓在干燥过程中粮粒内形成的应力，促进谷粒内部水分逐渐向外移动，使粮粒表面和内部的水分趋于平衡。缓苏工艺实施既有利于下一阶段的干燥，又能确保烘后粮的品质。</w:t>
            </w:r>
          </w:p>
          <w:p w14:paraId="1A99D6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bCs/>
                <w:color w:val="auto"/>
                <w:spacing w:val="0"/>
                <w:kern w:val="0"/>
                <w:sz w:val="21"/>
                <w:szCs w:val="21"/>
                <w:highlight w:val="none"/>
                <w:lang w:val="en-US" w:eastAsia="zh-CN" w:bidi="ar-SA"/>
              </w:rPr>
            </w:pPr>
            <w:r>
              <w:rPr>
                <w:rFonts w:hint="default" w:ascii="Times New Roman" w:hAnsi="Times New Roman" w:eastAsia="宋体" w:cs="Times New Roman"/>
                <w:color w:val="auto"/>
                <w:spacing w:val="0"/>
                <w:sz w:val="21"/>
                <w:szCs w:val="21"/>
                <w:highlight w:val="none"/>
                <w:lang w:val="en-US" w:eastAsia="zh-CN"/>
              </w:rPr>
              <w:t>本项目运营期工程主要排污节点见表</w:t>
            </w:r>
            <w:r>
              <w:rPr>
                <w:rFonts w:hint="eastAsia" w:ascii="Times New Roman" w:hAnsi="Times New Roman" w:eastAsia="宋体" w:cs="Times New Roman"/>
                <w:color w:val="auto"/>
                <w:spacing w:val="0"/>
                <w:sz w:val="21"/>
                <w:szCs w:val="21"/>
                <w:highlight w:val="none"/>
                <w:lang w:val="en-US" w:eastAsia="zh-CN"/>
              </w:rPr>
              <w:t>2</w:t>
            </w:r>
            <w:r>
              <w:rPr>
                <w:rFonts w:hint="default" w:ascii="Times New Roman" w:hAnsi="Times New Roman" w:eastAsia="宋体" w:cs="Times New Roman"/>
                <w:color w:val="auto"/>
                <w:spacing w:val="0"/>
                <w:sz w:val="21"/>
                <w:szCs w:val="21"/>
                <w:highlight w:val="none"/>
                <w:lang w:val="en-US" w:eastAsia="zh-CN"/>
              </w:rPr>
              <w:t>-</w:t>
            </w:r>
            <w:r>
              <w:rPr>
                <w:rFonts w:hint="eastAsia" w:cs="Times New Roman"/>
                <w:color w:val="auto"/>
                <w:spacing w:val="0"/>
                <w:sz w:val="21"/>
                <w:szCs w:val="21"/>
                <w:highlight w:val="none"/>
                <w:lang w:val="en-US" w:eastAsia="zh-CN"/>
              </w:rPr>
              <w:t>8</w:t>
            </w:r>
            <w:r>
              <w:rPr>
                <w:rFonts w:hint="default" w:ascii="Times New Roman" w:hAnsi="Times New Roman" w:eastAsia="宋体" w:cs="Times New Roman"/>
                <w:color w:val="auto"/>
                <w:spacing w:val="0"/>
                <w:sz w:val="21"/>
                <w:szCs w:val="21"/>
                <w:highlight w:val="none"/>
                <w:lang w:val="en-US" w:eastAsia="zh-CN"/>
              </w:rPr>
              <w:t>。</w:t>
            </w:r>
          </w:p>
          <w:p w14:paraId="50DF4A35">
            <w:pPr>
              <w:keepNext w:val="0"/>
              <w:keepLines w:val="0"/>
              <w:widowControl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pacing w:val="0"/>
                <w:kern w:val="0"/>
                <w:sz w:val="21"/>
                <w:szCs w:val="21"/>
                <w:highlight w:val="none"/>
                <w:lang w:val="en-US" w:eastAsia="zh-CN" w:bidi="ar-SA"/>
              </w:rPr>
            </w:pPr>
            <w:r>
              <w:rPr>
                <w:rFonts w:hint="default" w:ascii="Times New Roman" w:hAnsi="Times New Roman" w:eastAsia="宋体" w:cs="Times New Roman"/>
                <w:b/>
                <w:bCs/>
                <w:color w:val="auto"/>
                <w:spacing w:val="0"/>
                <w:kern w:val="0"/>
                <w:sz w:val="21"/>
                <w:szCs w:val="21"/>
                <w:highlight w:val="none"/>
                <w:lang w:val="en-US" w:eastAsia="zh-CN" w:bidi="ar-SA"/>
              </w:rPr>
              <w:t>表</w:t>
            </w:r>
            <w:r>
              <w:rPr>
                <w:rFonts w:hint="eastAsia" w:ascii="Times New Roman" w:hAnsi="Times New Roman" w:eastAsia="宋体" w:cs="Times New Roman"/>
                <w:b/>
                <w:bCs/>
                <w:color w:val="auto"/>
                <w:spacing w:val="0"/>
                <w:kern w:val="0"/>
                <w:sz w:val="21"/>
                <w:szCs w:val="21"/>
                <w:highlight w:val="none"/>
                <w:lang w:val="en-US" w:eastAsia="zh-CN" w:bidi="ar-SA"/>
              </w:rPr>
              <w:t>2</w:t>
            </w:r>
            <w:r>
              <w:rPr>
                <w:rFonts w:hint="default" w:ascii="Times New Roman" w:hAnsi="Times New Roman" w:eastAsia="宋体" w:cs="Times New Roman"/>
                <w:b/>
                <w:bCs/>
                <w:color w:val="auto"/>
                <w:spacing w:val="0"/>
                <w:kern w:val="0"/>
                <w:sz w:val="21"/>
                <w:szCs w:val="21"/>
                <w:highlight w:val="none"/>
                <w:lang w:val="en-US" w:eastAsia="zh-CN" w:bidi="ar-SA"/>
              </w:rPr>
              <w:t>-</w:t>
            </w:r>
            <w:r>
              <w:rPr>
                <w:rFonts w:hint="eastAsia" w:cs="Times New Roman"/>
                <w:b/>
                <w:bCs/>
                <w:color w:val="auto"/>
                <w:spacing w:val="0"/>
                <w:kern w:val="0"/>
                <w:sz w:val="21"/>
                <w:szCs w:val="21"/>
                <w:highlight w:val="none"/>
                <w:lang w:val="en-US" w:eastAsia="zh-CN" w:bidi="ar-SA"/>
              </w:rPr>
              <w:t>8</w:t>
            </w:r>
            <w:r>
              <w:rPr>
                <w:rFonts w:hint="default" w:ascii="Times New Roman" w:hAnsi="Times New Roman" w:eastAsia="宋体" w:cs="Times New Roman"/>
                <w:b/>
                <w:bCs/>
                <w:color w:val="auto"/>
                <w:spacing w:val="0"/>
                <w:kern w:val="0"/>
                <w:sz w:val="21"/>
                <w:szCs w:val="21"/>
                <w:highlight w:val="none"/>
                <w:lang w:val="en-US" w:eastAsia="zh-CN" w:bidi="ar-SA"/>
              </w:rPr>
              <w:t xml:space="preserve"> 本项目运营期工程主要排污节点一览表</w:t>
            </w:r>
          </w:p>
          <w:tbl>
            <w:tblPr>
              <w:tblStyle w:val="3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1520"/>
              <w:gridCol w:w="1583"/>
              <w:gridCol w:w="1033"/>
              <w:gridCol w:w="3266"/>
            </w:tblGrid>
            <w:tr w14:paraId="28780AC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tcBorders>
                    <w:top w:val="single" w:color="auto" w:sz="12" w:space="0"/>
                  </w:tcBorders>
                  <w:noWrap w:val="0"/>
                  <w:vAlign w:val="center"/>
                </w:tcPr>
                <w:p w14:paraId="3CDCA92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项目</w:t>
                  </w:r>
                </w:p>
              </w:tc>
              <w:tc>
                <w:tcPr>
                  <w:tcW w:w="1513" w:type="dxa"/>
                  <w:tcBorders>
                    <w:top w:val="single" w:color="auto" w:sz="12" w:space="0"/>
                  </w:tcBorders>
                  <w:noWrap w:val="0"/>
                  <w:vAlign w:val="center"/>
                </w:tcPr>
                <w:p w14:paraId="2E2D8AB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污染源</w:t>
                  </w:r>
                </w:p>
              </w:tc>
              <w:tc>
                <w:tcPr>
                  <w:tcW w:w="1576" w:type="dxa"/>
                  <w:tcBorders>
                    <w:top w:val="single" w:color="auto" w:sz="12" w:space="0"/>
                  </w:tcBorders>
                  <w:noWrap w:val="0"/>
                  <w:vAlign w:val="center"/>
                </w:tcPr>
                <w:p w14:paraId="3F5EAD4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污染物</w:t>
                  </w:r>
                </w:p>
              </w:tc>
              <w:tc>
                <w:tcPr>
                  <w:tcW w:w="1028" w:type="dxa"/>
                  <w:tcBorders>
                    <w:top w:val="single" w:color="auto" w:sz="12" w:space="0"/>
                  </w:tcBorders>
                  <w:noWrap w:val="0"/>
                  <w:vAlign w:val="center"/>
                </w:tcPr>
                <w:p w14:paraId="7310A5E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排放特点</w:t>
                  </w:r>
                </w:p>
              </w:tc>
              <w:tc>
                <w:tcPr>
                  <w:tcW w:w="3250" w:type="dxa"/>
                  <w:tcBorders>
                    <w:top w:val="single" w:color="auto" w:sz="12" w:space="0"/>
                  </w:tcBorders>
                  <w:noWrap w:val="0"/>
                  <w:vAlign w:val="center"/>
                </w:tcPr>
                <w:p w14:paraId="600A154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治理措施</w:t>
                  </w:r>
                </w:p>
              </w:tc>
            </w:tr>
            <w:tr w14:paraId="5D85A2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restart"/>
                  <w:noWrap w:val="0"/>
                  <w:vAlign w:val="center"/>
                </w:tcPr>
                <w:p w14:paraId="4894741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废气</w:t>
                  </w:r>
                </w:p>
              </w:tc>
              <w:tc>
                <w:tcPr>
                  <w:tcW w:w="1513" w:type="dxa"/>
                  <w:noWrap w:val="0"/>
                  <w:vAlign w:val="center"/>
                </w:tcPr>
                <w:p w14:paraId="7F4AE25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z w:val="18"/>
                      <w:szCs w:val="18"/>
                      <w:highlight w:val="none"/>
                      <w:lang w:eastAsia="zh-CN"/>
                    </w:rPr>
                    <w:t>热风炉</w:t>
                  </w:r>
                  <w:r>
                    <w:rPr>
                      <w:rFonts w:hint="eastAsia" w:cs="Times New Roman"/>
                      <w:color w:val="auto"/>
                      <w:sz w:val="18"/>
                      <w:szCs w:val="18"/>
                      <w:highlight w:val="none"/>
                      <w:lang w:eastAsia="zh-CN"/>
                    </w:rPr>
                    <w:t>烟囱</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DA00</w:t>
                  </w:r>
                  <w:r>
                    <w:rPr>
                      <w:rFonts w:hint="eastAsia" w:cs="Times New Roman"/>
                      <w:color w:val="auto"/>
                      <w:sz w:val="18"/>
                      <w:szCs w:val="18"/>
                      <w:highlight w:val="none"/>
                      <w:lang w:val="en-US" w:eastAsia="zh-CN"/>
                    </w:rPr>
                    <w:t>1</w:t>
                  </w:r>
                  <w:r>
                    <w:rPr>
                      <w:rFonts w:hint="eastAsia" w:ascii="Times New Roman" w:hAnsi="Times New Roman" w:cs="Times New Roman"/>
                      <w:color w:val="auto"/>
                      <w:sz w:val="18"/>
                      <w:szCs w:val="18"/>
                      <w:highlight w:val="none"/>
                      <w:lang w:eastAsia="zh-CN"/>
                    </w:rPr>
                    <w:t>）</w:t>
                  </w:r>
                </w:p>
              </w:tc>
              <w:tc>
                <w:tcPr>
                  <w:tcW w:w="1576" w:type="dxa"/>
                  <w:noWrap w:val="0"/>
                  <w:vAlign w:val="center"/>
                </w:tcPr>
                <w:p w14:paraId="4F69D40F">
                  <w:pPr>
                    <w:pStyle w:val="132"/>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sz w:val="18"/>
                      <w:szCs w:val="18"/>
                      <w:highlight w:val="none"/>
                      <w:lang w:val="en-US" w:eastAsia="zh-CN"/>
                    </w:rPr>
                  </w:pPr>
                  <w:r>
                    <w:rPr>
                      <w:rFonts w:hint="eastAsia" w:ascii="Times New Roman" w:hAnsi="Times New Roman" w:cs="Times New Roman"/>
                      <w:color w:val="auto"/>
                      <w:sz w:val="18"/>
                      <w:szCs w:val="18"/>
                      <w:highlight w:val="none"/>
                      <w:lang w:val="en-US" w:eastAsia="zh-CN"/>
                    </w:rPr>
                    <w:t>NO</w:t>
                  </w:r>
                  <w:r>
                    <w:rPr>
                      <w:rFonts w:hint="eastAsia" w:ascii="Times New Roman" w:hAnsi="Times New Roman" w:cs="Times New Roman"/>
                      <w:color w:val="auto"/>
                      <w:sz w:val="18"/>
                      <w:szCs w:val="18"/>
                      <w:highlight w:val="none"/>
                      <w:vertAlign w:val="subscript"/>
                      <w:lang w:val="en-US" w:eastAsia="zh-CN"/>
                    </w:rPr>
                    <w:t>X</w:t>
                  </w:r>
                  <w:r>
                    <w:rPr>
                      <w:rFonts w:hint="default" w:ascii="Times New Roman" w:hAnsi="Times New Roman" w:cs="Times New Roman"/>
                      <w:color w:val="auto"/>
                      <w:sz w:val="18"/>
                      <w:szCs w:val="18"/>
                      <w:highlight w:val="none"/>
                      <w:lang w:eastAsia="zh-CN"/>
                    </w:rPr>
                    <w:t>、</w:t>
                  </w:r>
                  <w:r>
                    <w:rPr>
                      <w:rFonts w:hint="eastAsia" w:cs="Times New Roman"/>
                      <w:color w:val="auto"/>
                      <w:sz w:val="18"/>
                      <w:szCs w:val="18"/>
                      <w:highlight w:val="none"/>
                      <w:lang w:val="en-US" w:eastAsia="zh-CN"/>
                    </w:rPr>
                    <w:t>颗粒物</w:t>
                  </w:r>
                  <w:r>
                    <w:rPr>
                      <w:rFonts w:hint="default"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eastAsia="zh-CN"/>
                    </w:rPr>
                    <w:t>烟气黑度</w:t>
                  </w:r>
                  <w:r>
                    <w:rPr>
                      <w:rFonts w:hint="default" w:ascii="Times New Roman" w:hAnsi="Times New Roman" w:cs="Times New Roman"/>
                      <w:color w:val="auto"/>
                      <w:sz w:val="18"/>
                      <w:szCs w:val="18"/>
                      <w:highlight w:val="none"/>
                    </w:rPr>
                    <w:t>、SO</w:t>
                  </w:r>
                  <w:r>
                    <w:rPr>
                      <w:rFonts w:hint="default" w:ascii="Times New Roman" w:hAnsi="Times New Roman" w:cs="Times New Roman"/>
                      <w:color w:val="auto"/>
                      <w:sz w:val="18"/>
                      <w:szCs w:val="18"/>
                      <w:highlight w:val="none"/>
                      <w:vertAlign w:val="subscript"/>
                    </w:rPr>
                    <w:t>2</w:t>
                  </w:r>
                </w:p>
              </w:tc>
              <w:tc>
                <w:tcPr>
                  <w:tcW w:w="1028" w:type="dxa"/>
                  <w:vMerge w:val="restart"/>
                  <w:noWrap w:val="0"/>
                  <w:vAlign w:val="center"/>
                </w:tcPr>
                <w:p w14:paraId="32492F35">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250" w:type="dxa"/>
                  <w:noWrap w:val="0"/>
                  <w:vAlign w:val="center"/>
                </w:tcPr>
                <w:p w14:paraId="48E1186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pacing w:val="0"/>
                      <w:sz w:val="18"/>
                      <w:szCs w:val="18"/>
                      <w:highlight w:val="none"/>
                      <w:lang w:eastAsia="zh-CN"/>
                    </w:rPr>
                  </w:pPr>
                  <w:r>
                    <w:rPr>
                      <w:rFonts w:hint="default" w:ascii="Times New Roman" w:hAnsi="Times New Roman" w:eastAsia="宋体" w:cs="Times New Roman"/>
                      <w:color w:val="auto"/>
                      <w:sz w:val="18"/>
                      <w:szCs w:val="18"/>
                      <w:highlight w:val="none"/>
                    </w:rPr>
                    <w:t>布袋除尘器</w:t>
                  </w:r>
                  <w:r>
                    <w:rPr>
                      <w:rFonts w:hint="default"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15</w:t>
                  </w:r>
                  <w:r>
                    <w:rPr>
                      <w:rFonts w:hint="default" w:ascii="Times New Roman" w:hAnsi="Times New Roman" w:eastAsia="宋体" w:cs="Times New Roman"/>
                      <w:color w:val="auto"/>
                      <w:sz w:val="18"/>
                      <w:szCs w:val="18"/>
                      <w:highlight w:val="none"/>
                    </w:rPr>
                    <w:t>m高</w:t>
                  </w:r>
                  <w:r>
                    <w:rPr>
                      <w:rFonts w:hint="eastAsia" w:cs="Times New Roman"/>
                      <w:color w:val="auto"/>
                      <w:sz w:val="18"/>
                      <w:szCs w:val="18"/>
                      <w:highlight w:val="none"/>
                      <w:lang w:eastAsia="zh-CN"/>
                    </w:rPr>
                    <w:t>烟囱</w:t>
                  </w:r>
                  <w:r>
                    <w:rPr>
                      <w:rFonts w:hint="default" w:ascii="Times New Roman" w:hAnsi="Times New Roman" w:eastAsia="宋体" w:cs="Times New Roman"/>
                      <w:color w:val="auto"/>
                      <w:sz w:val="18"/>
                      <w:szCs w:val="18"/>
                      <w:highlight w:val="none"/>
                    </w:rPr>
                    <w:t>排放</w:t>
                  </w:r>
                </w:p>
              </w:tc>
            </w:tr>
            <w:tr w14:paraId="5FD3B9D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noWrap w:val="0"/>
                  <w:vAlign w:val="center"/>
                </w:tcPr>
                <w:p w14:paraId="60B144D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513" w:type="dxa"/>
                  <w:noWrap w:val="0"/>
                  <w:vAlign w:val="center"/>
                </w:tcPr>
                <w:p w14:paraId="4BA905BF">
                  <w:pPr>
                    <w:keepNext w:val="0"/>
                    <w:keepLines w:val="0"/>
                    <w:pageBreakBefore w:val="0"/>
                    <w:widowControl/>
                    <w:suppressLineNumbers w:val="0"/>
                    <w:tabs>
                      <w:tab w:val="left" w:pos="5760"/>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eastAsia="zh-CN"/>
                    </w:rPr>
                    <w:t>输送</w:t>
                  </w:r>
                  <w:r>
                    <w:rPr>
                      <w:rFonts w:hint="default" w:ascii="Times New Roman" w:hAnsi="Times New Roman" w:cs="Times New Roman"/>
                      <w:color w:val="auto"/>
                      <w:sz w:val="18"/>
                      <w:szCs w:val="18"/>
                      <w:highlight w:val="none"/>
                      <w:lang w:eastAsia="zh-CN"/>
                    </w:rPr>
                    <w:t>、筛分、</w:t>
                  </w:r>
                </w:p>
                <w:p w14:paraId="7E991FC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储存</w:t>
                  </w:r>
                </w:p>
              </w:tc>
              <w:tc>
                <w:tcPr>
                  <w:tcW w:w="1576" w:type="dxa"/>
                  <w:noWrap w:val="0"/>
                  <w:vAlign w:val="center"/>
                </w:tcPr>
                <w:p w14:paraId="7247BE71">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1028" w:type="dxa"/>
                  <w:vMerge w:val="continue"/>
                  <w:noWrap w:val="0"/>
                  <w:vAlign w:val="center"/>
                </w:tcPr>
                <w:p w14:paraId="37CF9157">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250" w:type="dxa"/>
                  <w:noWrap w:val="0"/>
                  <w:vAlign w:val="center"/>
                </w:tcPr>
                <w:p w14:paraId="4762E95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color w:val="auto"/>
                      <w:sz w:val="18"/>
                      <w:szCs w:val="18"/>
                      <w:highlight w:val="none"/>
                      <w:lang w:val="en-US" w:eastAsia="zh-CN"/>
                    </w:rPr>
                  </w:pPr>
                  <w:r>
                    <w:rPr>
                      <w:rFonts w:hint="default" w:ascii="Times New Roman" w:hAnsi="Times New Roman" w:cs="Times New Roman"/>
                      <w:color w:val="auto"/>
                      <w:sz w:val="18"/>
                      <w:szCs w:val="18"/>
                      <w:highlight w:val="none"/>
                    </w:rPr>
                    <w:t>装卸工段</w:t>
                  </w:r>
                  <w:r>
                    <w:rPr>
                      <w:rFonts w:hint="eastAsia" w:ascii="Times New Roman" w:hAnsi="Times New Roman" w:eastAsia="宋体" w:cs="Times New Roman"/>
                      <w:color w:val="auto"/>
                      <w:spacing w:val="0"/>
                      <w:kern w:val="0"/>
                      <w:sz w:val="18"/>
                      <w:szCs w:val="18"/>
                      <w:highlight w:val="none"/>
                      <w:lang w:val="en-US" w:eastAsia="zh-CN" w:bidi="ar"/>
                    </w:rPr>
                    <w:t>采用</w:t>
                  </w:r>
                  <w:r>
                    <w:rPr>
                      <w:rFonts w:hint="default" w:ascii="Times New Roman" w:hAnsi="Times New Roman" w:eastAsia="宋体" w:cs="Times New Roman"/>
                      <w:color w:val="auto"/>
                      <w:spacing w:val="0"/>
                      <w:kern w:val="0"/>
                      <w:sz w:val="18"/>
                      <w:szCs w:val="18"/>
                      <w:highlight w:val="none"/>
                      <w:lang w:val="en-US" w:eastAsia="zh-CN" w:bidi="ar"/>
                    </w:rPr>
                    <w:t>密闭性良好的设备，全封闭输送机、原粮入</w:t>
                  </w:r>
                  <w:r>
                    <w:rPr>
                      <w:rFonts w:hint="eastAsia" w:cs="Times New Roman"/>
                      <w:color w:val="auto"/>
                      <w:spacing w:val="0"/>
                      <w:kern w:val="0"/>
                      <w:sz w:val="18"/>
                      <w:szCs w:val="18"/>
                      <w:highlight w:val="none"/>
                      <w:lang w:val="en-US" w:eastAsia="zh-CN" w:bidi="ar"/>
                    </w:rPr>
                    <w:t>仓</w:t>
                  </w:r>
                  <w:r>
                    <w:rPr>
                      <w:rFonts w:hint="default" w:ascii="Times New Roman" w:hAnsi="Times New Roman" w:eastAsia="宋体" w:cs="Times New Roman"/>
                      <w:color w:val="auto"/>
                      <w:spacing w:val="0"/>
                      <w:kern w:val="0"/>
                      <w:sz w:val="18"/>
                      <w:szCs w:val="18"/>
                      <w:highlight w:val="none"/>
                      <w:lang w:val="en-US" w:eastAsia="zh-CN" w:bidi="ar"/>
                    </w:rPr>
                    <w:t>采取封闭和减小装卸高度</w:t>
                  </w:r>
                  <w:r>
                    <w:rPr>
                      <w:rFonts w:hint="default" w:ascii="Times New Roman" w:hAnsi="Times New Roman" w:cs="Times New Roman"/>
                      <w:color w:val="auto"/>
                      <w:sz w:val="18"/>
                      <w:szCs w:val="18"/>
                      <w:highlight w:val="none"/>
                    </w:rPr>
                    <w:t>等降尘措施，运输过程中采用封闭输送</w:t>
                  </w:r>
                  <w:r>
                    <w:rPr>
                      <w:rFonts w:hint="eastAsia" w:ascii="Times New Roman" w:hAnsi="Times New Roman" w:cs="Times New Roman"/>
                      <w:color w:val="auto"/>
                      <w:sz w:val="18"/>
                      <w:szCs w:val="18"/>
                      <w:highlight w:val="none"/>
                      <w:lang w:eastAsia="zh-CN"/>
                    </w:rPr>
                    <w:t>；清粮采用全密闭</w:t>
                  </w:r>
                  <w:r>
                    <w:rPr>
                      <w:rFonts w:hint="eastAsia" w:cs="Times New Roman"/>
                      <w:color w:val="auto"/>
                      <w:sz w:val="18"/>
                      <w:szCs w:val="18"/>
                      <w:highlight w:val="none"/>
                      <w:lang w:val="en-US" w:eastAsia="zh-CN"/>
                    </w:rPr>
                    <w:t>筛分机</w:t>
                  </w:r>
                  <w:r>
                    <w:rPr>
                      <w:rFonts w:hint="eastAsia" w:ascii="Times New Roman" w:hAnsi="Times New Roman" w:cs="Times New Roman"/>
                      <w:color w:val="auto"/>
                      <w:sz w:val="18"/>
                      <w:szCs w:val="18"/>
                      <w:highlight w:val="none"/>
                      <w:lang w:eastAsia="zh-CN"/>
                    </w:rPr>
                    <w:t>，产生的粉尘经设备</w:t>
                  </w:r>
                  <w:r>
                    <w:rPr>
                      <w:rFonts w:hint="eastAsia" w:cs="Times New Roman"/>
                      <w:color w:val="auto"/>
                      <w:sz w:val="18"/>
                      <w:szCs w:val="18"/>
                      <w:highlight w:val="none"/>
                      <w:lang w:eastAsia="zh-CN"/>
                    </w:rPr>
                    <w:t>自带滤袋</w:t>
                  </w:r>
                  <w:r>
                    <w:rPr>
                      <w:rFonts w:hint="eastAsia" w:ascii="Times New Roman" w:hAnsi="Times New Roman" w:cs="Times New Roman"/>
                      <w:color w:val="auto"/>
                      <w:sz w:val="18"/>
                      <w:szCs w:val="18"/>
                      <w:highlight w:val="none"/>
                      <w:lang w:eastAsia="zh-CN"/>
                    </w:rPr>
                    <w:t>处理后</w:t>
                  </w:r>
                  <w:r>
                    <w:rPr>
                      <w:rFonts w:hint="eastAsia" w:cs="Times New Roman"/>
                      <w:color w:val="auto"/>
                      <w:sz w:val="18"/>
                      <w:szCs w:val="18"/>
                      <w:highlight w:val="none"/>
                      <w:lang w:eastAsia="zh-CN"/>
                    </w:rPr>
                    <w:t>无组织</w:t>
                  </w:r>
                  <w:r>
                    <w:rPr>
                      <w:rFonts w:hint="eastAsia" w:ascii="Times New Roman" w:hAnsi="Times New Roman" w:cs="Times New Roman"/>
                      <w:color w:val="auto"/>
                      <w:sz w:val="18"/>
                      <w:szCs w:val="18"/>
                      <w:highlight w:val="none"/>
                      <w:lang w:eastAsia="zh-CN"/>
                    </w:rPr>
                    <w:t>排放；烘干塔内部自带重力沉降室，烘干塔底部四周设置防尘挡板，粉尘受挡板</w:t>
                  </w:r>
                  <w:r>
                    <w:rPr>
                      <w:rFonts w:hint="eastAsia" w:cs="Times New Roman"/>
                      <w:color w:val="auto"/>
                      <w:sz w:val="18"/>
                      <w:szCs w:val="18"/>
                      <w:highlight w:val="none"/>
                      <w:lang w:eastAsia="zh-CN"/>
                    </w:rPr>
                    <w:t>隔</w:t>
                  </w:r>
                  <w:r>
                    <w:rPr>
                      <w:rFonts w:hint="eastAsia" w:ascii="Times New Roman" w:hAnsi="Times New Roman" w:cs="Times New Roman"/>
                      <w:color w:val="auto"/>
                      <w:sz w:val="18"/>
                      <w:szCs w:val="18"/>
                      <w:highlight w:val="none"/>
                      <w:lang w:eastAsia="zh-CN"/>
                    </w:rPr>
                    <w:t>挡后受重力作用回落到烘干塔底部收尘设施中</w:t>
                  </w:r>
                  <w:r>
                    <w:rPr>
                      <w:rFonts w:hint="default" w:ascii="Times New Roman" w:hAnsi="Times New Roman" w:cs="Times New Roman"/>
                      <w:color w:val="auto"/>
                      <w:sz w:val="18"/>
                      <w:szCs w:val="18"/>
                      <w:highlight w:val="none"/>
                      <w:lang w:eastAsia="zh-CN"/>
                    </w:rPr>
                    <w:t>。</w:t>
                  </w:r>
                </w:p>
              </w:tc>
            </w:tr>
            <w:tr w14:paraId="15BB6BF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noWrap w:val="0"/>
                  <w:vAlign w:val="center"/>
                </w:tcPr>
                <w:p w14:paraId="7A58FD0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513" w:type="dxa"/>
                  <w:noWrap w:val="0"/>
                  <w:vAlign w:val="center"/>
                </w:tcPr>
                <w:p w14:paraId="05B126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lang w:eastAsia="zh-CN"/>
                    </w:rPr>
                  </w:pPr>
                  <w:r>
                    <w:rPr>
                      <w:rFonts w:hint="eastAsia" w:cs="Times New Roman"/>
                      <w:bCs/>
                      <w:color w:val="auto"/>
                      <w:kern w:val="0"/>
                      <w:sz w:val="18"/>
                      <w:szCs w:val="18"/>
                      <w:highlight w:val="none"/>
                      <w:lang w:val="en-US" w:eastAsia="zh-CN"/>
                    </w:rPr>
                    <w:t>热风炉房、灰渣间</w:t>
                  </w:r>
                </w:p>
              </w:tc>
              <w:tc>
                <w:tcPr>
                  <w:tcW w:w="1576" w:type="dxa"/>
                  <w:noWrap w:val="0"/>
                  <w:vAlign w:val="center"/>
                </w:tcPr>
                <w:p w14:paraId="73DD1B0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1028" w:type="dxa"/>
                  <w:vMerge w:val="continue"/>
                  <w:noWrap w:val="0"/>
                  <w:vAlign w:val="center"/>
                </w:tcPr>
                <w:p w14:paraId="7163C3C9">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250" w:type="dxa"/>
                  <w:noWrap w:val="0"/>
                  <w:vAlign w:val="center"/>
                </w:tcPr>
                <w:p w14:paraId="0D13F0E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洒水降尘</w:t>
                  </w:r>
                </w:p>
              </w:tc>
            </w:tr>
            <w:tr w14:paraId="6FD31C2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noWrap w:val="0"/>
                  <w:vAlign w:val="center"/>
                </w:tcPr>
                <w:p w14:paraId="23F8A4A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废水</w:t>
                  </w:r>
                </w:p>
              </w:tc>
              <w:tc>
                <w:tcPr>
                  <w:tcW w:w="1513" w:type="dxa"/>
                  <w:noWrap w:val="0"/>
                  <w:vAlign w:val="center"/>
                </w:tcPr>
                <w:p w14:paraId="1663FBB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w:t>
                  </w:r>
                </w:p>
              </w:tc>
              <w:tc>
                <w:tcPr>
                  <w:tcW w:w="1576" w:type="dxa"/>
                  <w:noWrap w:val="0"/>
                  <w:vAlign w:val="center"/>
                </w:tcPr>
                <w:p w14:paraId="593E868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w:t>
                  </w:r>
                </w:p>
              </w:tc>
              <w:tc>
                <w:tcPr>
                  <w:tcW w:w="1028" w:type="dxa"/>
                  <w:noWrap w:val="0"/>
                  <w:vAlign w:val="center"/>
                </w:tcPr>
                <w:p w14:paraId="2261DD5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eastAsia" w:cs="Times New Roman"/>
                      <w:color w:val="auto"/>
                      <w:spacing w:val="0"/>
                      <w:kern w:val="2"/>
                      <w:sz w:val="18"/>
                      <w:szCs w:val="18"/>
                      <w:highlight w:val="none"/>
                      <w:lang w:val="en-US" w:eastAsia="zh-CN" w:bidi="ar-SA"/>
                    </w:rPr>
                    <w:t>/</w:t>
                  </w:r>
                </w:p>
              </w:tc>
              <w:tc>
                <w:tcPr>
                  <w:tcW w:w="3250" w:type="dxa"/>
                  <w:noWrap w:val="0"/>
                  <w:vAlign w:val="center"/>
                </w:tcPr>
                <w:p w14:paraId="6E2A9AD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eastAsia" w:cs="Times New Roman"/>
                      <w:color w:val="auto"/>
                      <w:spacing w:val="0"/>
                      <w:kern w:val="2"/>
                      <w:sz w:val="18"/>
                      <w:szCs w:val="18"/>
                      <w:highlight w:val="none"/>
                      <w:lang w:val="en-US" w:eastAsia="zh-CN" w:bidi="ar-SA"/>
                    </w:rPr>
                    <w:t>/</w:t>
                  </w:r>
                </w:p>
              </w:tc>
            </w:tr>
            <w:tr w14:paraId="2C4989B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noWrap w:val="0"/>
                  <w:vAlign w:val="center"/>
                </w:tcPr>
                <w:p w14:paraId="5318A9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1513" w:type="dxa"/>
                  <w:noWrap w:val="0"/>
                  <w:vAlign w:val="center"/>
                </w:tcPr>
                <w:p w14:paraId="07D57E1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kern w:val="21"/>
                      <w:sz w:val="18"/>
                      <w:szCs w:val="18"/>
                      <w:highlight w:val="none"/>
                    </w:rPr>
                    <w:t>设备运行</w:t>
                  </w:r>
                </w:p>
              </w:tc>
              <w:tc>
                <w:tcPr>
                  <w:tcW w:w="1576" w:type="dxa"/>
                  <w:noWrap w:val="0"/>
                  <w:vAlign w:val="center"/>
                </w:tcPr>
                <w:p w14:paraId="2D096AF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1028" w:type="dxa"/>
                  <w:noWrap w:val="0"/>
                  <w:vAlign w:val="center"/>
                </w:tcPr>
                <w:p w14:paraId="04D3E3A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250" w:type="dxa"/>
                  <w:noWrap w:val="0"/>
                  <w:vAlign w:val="center"/>
                </w:tcPr>
                <w:p w14:paraId="16F6DAF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sz w:val="18"/>
                      <w:szCs w:val="18"/>
                      <w:highlight w:val="none"/>
                    </w:rPr>
                    <w:t>低噪声设备，采取</w:t>
                  </w:r>
                  <w:r>
                    <w:rPr>
                      <w:rFonts w:hint="eastAsia" w:cs="Times New Roman"/>
                      <w:color w:val="auto"/>
                      <w:sz w:val="18"/>
                      <w:szCs w:val="18"/>
                      <w:highlight w:val="none"/>
                      <w:lang w:val="en-US" w:eastAsia="zh-CN"/>
                    </w:rPr>
                    <w:t>基础</w:t>
                  </w:r>
                  <w:r>
                    <w:rPr>
                      <w:rFonts w:hint="default" w:ascii="Times New Roman" w:hAnsi="Times New Roman" w:eastAsia="宋体" w:cs="Times New Roman"/>
                      <w:color w:val="auto"/>
                      <w:sz w:val="18"/>
                      <w:szCs w:val="18"/>
                      <w:highlight w:val="none"/>
                    </w:rPr>
                    <w:t>减振、隔声</w:t>
                  </w:r>
                  <w:r>
                    <w:rPr>
                      <w:rFonts w:hint="eastAsia" w:cs="Times New Roman"/>
                      <w:color w:val="auto"/>
                      <w:sz w:val="18"/>
                      <w:szCs w:val="18"/>
                      <w:highlight w:val="none"/>
                      <w:lang w:val="en-US" w:eastAsia="zh-CN"/>
                    </w:rPr>
                    <w:t>等</w:t>
                  </w:r>
                </w:p>
              </w:tc>
            </w:tr>
            <w:tr w14:paraId="0367672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restart"/>
                  <w:noWrap w:val="0"/>
                  <w:vAlign w:val="center"/>
                </w:tcPr>
                <w:p w14:paraId="47CB1F5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固体废物</w:t>
                  </w:r>
                </w:p>
              </w:tc>
              <w:tc>
                <w:tcPr>
                  <w:tcW w:w="1513" w:type="dxa"/>
                  <w:vMerge w:val="restart"/>
                  <w:noWrap w:val="0"/>
                  <w:vAlign w:val="center"/>
                </w:tcPr>
                <w:p w14:paraId="4BE68D0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热风炉</w:t>
                  </w:r>
                </w:p>
              </w:tc>
              <w:tc>
                <w:tcPr>
                  <w:tcW w:w="1576" w:type="dxa"/>
                  <w:noWrap w:val="0"/>
                  <w:vAlign w:val="center"/>
                </w:tcPr>
                <w:p w14:paraId="698DF6FE">
                  <w:pPr>
                    <w:pStyle w:val="132"/>
                    <w:keepNext w:val="0"/>
                    <w:keepLines w:val="0"/>
                    <w:suppressLineNumbers w:val="0"/>
                    <w:spacing w:before="0" w:beforeAutospacing="0" w:after="0" w:afterAutospacing="0" w:line="240" w:lineRule="auto"/>
                    <w:ind w:left="0" w:right="0"/>
                    <w:rPr>
                      <w:rFonts w:hint="eastAsia"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rPr>
                    <w:t>热风炉</w:t>
                  </w:r>
                  <w:r>
                    <w:rPr>
                      <w:rFonts w:hint="eastAsia" w:cs="Times New Roman"/>
                      <w:color w:val="auto"/>
                      <w:sz w:val="18"/>
                      <w:szCs w:val="18"/>
                      <w:highlight w:val="none"/>
                      <w:lang w:eastAsia="zh-CN"/>
                    </w:rPr>
                    <w:t>灰渣</w:t>
                  </w:r>
                </w:p>
              </w:tc>
              <w:tc>
                <w:tcPr>
                  <w:tcW w:w="1028" w:type="dxa"/>
                  <w:vMerge w:val="restart"/>
                  <w:noWrap w:val="0"/>
                  <w:vAlign w:val="center"/>
                </w:tcPr>
                <w:p w14:paraId="2CF3EF3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250" w:type="dxa"/>
                  <w:noWrap w:val="0"/>
                  <w:vAlign w:val="center"/>
                </w:tcPr>
                <w:p w14:paraId="65AF8A46">
                  <w:pPr>
                    <w:pStyle w:val="132"/>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rPr>
                    <w:t>集中收集</w:t>
                  </w:r>
                  <w:r>
                    <w:rPr>
                      <w:rFonts w:hint="eastAsia" w:cs="Times New Roman"/>
                      <w:color w:val="auto"/>
                      <w:sz w:val="18"/>
                      <w:szCs w:val="18"/>
                      <w:highlight w:val="none"/>
                      <w:lang w:val="en-US" w:eastAsia="zh-CN"/>
                    </w:rPr>
                    <w:t>存储于灰渣间，定期清运，不在厂区长期储存，外售综合利用</w:t>
                  </w:r>
                </w:p>
              </w:tc>
            </w:tr>
            <w:tr w14:paraId="1EEC0B2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noWrap w:val="0"/>
                  <w:vAlign w:val="center"/>
                </w:tcPr>
                <w:p w14:paraId="55D6C9C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auto"/>
                      <w:spacing w:val="0"/>
                      <w:sz w:val="18"/>
                      <w:szCs w:val="18"/>
                      <w:highlight w:val="none"/>
                      <w:lang w:val="en-US" w:eastAsia="zh-CN"/>
                    </w:rPr>
                  </w:pPr>
                </w:p>
              </w:tc>
              <w:tc>
                <w:tcPr>
                  <w:tcW w:w="1513" w:type="dxa"/>
                  <w:vMerge w:val="continue"/>
                  <w:noWrap w:val="0"/>
                  <w:vAlign w:val="center"/>
                </w:tcPr>
                <w:p w14:paraId="747C76D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eastAsia="zh-CN"/>
                    </w:rPr>
                  </w:pPr>
                </w:p>
              </w:tc>
              <w:tc>
                <w:tcPr>
                  <w:tcW w:w="1576" w:type="dxa"/>
                  <w:noWrap w:val="0"/>
                  <w:vAlign w:val="center"/>
                </w:tcPr>
                <w:p w14:paraId="75EAEC15">
                  <w:pPr>
                    <w:pStyle w:val="132"/>
                    <w:keepNext w:val="0"/>
                    <w:keepLines w:val="0"/>
                    <w:suppressLineNumbers w:val="0"/>
                    <w:spacing w:before="0" w:beforeAutospacing="0" w:after="0" w:afterAutospacing="0" w:line="240" w:lineRule="auto"/>
                    <w:ind w:left="0" w:right="0"/>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废布袋</w:t>
                  </w:r>
                </w:p>
              </w:tc>
              <w:tc>
                <w:tcPr>
                  <w:tcW w:w="1028" w:type="dxa"/>
                  <w:vMerge w:val="continue"/>
                  <w:noWrap w:val="0"/>
                  <w:vAlign w:val="center"/>
                </w:tcPr>
                <w:p w14:paraId="384880B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250" w:type="dxa"/>
                  <w:noWrap w:val="0"/>
                  <w:vAlign w:val="center"/>
                </w:tcPr>
                <w:p w14:paraId="0938F8B5">
                  <w:pPr>
                    <w:pStyle w:val="132"/>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由除尘器厂家更换后回收</w:t>
                  </w:r>
                </w:p>
              </w:tc>
            </w:tr>
            <w:tr w14:paraId="4DE30BE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noWrap w:val="0"/>
                  <w:vAlign w:val="center"/>
                </w:tcPr>
                <w:p w14:paraId="554AB33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513" w:type="dxa"/>
                  <w:noWrap w:val="0"/>
                  <w:vAlign w:val="center"/>
                </w:tcPr>
                <w:p w14:paraId="05A82D3B">
                  <w:pPr>
                    <w:pStyle w:val="132"/>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kern w:val="2"/>
                      <w:sz w:val="18"/>
                      <w:szCs w:val="18"/>
                      <w:highlight w:val="none"/>
                      <w:lang w:val="en-US" w:eastAsia="zh-CN" w:bidi="ar-SA"/>
                    </w:rPr>
                  </w:pPr>
                  <w:r>
                    <w:rPr>
                      <w:rFonts w:hint="eastAsia" w:cs="Times New Roman"/>
                      <w:color w:val="auto"/>
                      <w:sz w:val="18"/>
                      <w:szCs w:val="18"/>
                      <w:highlight w:val="none"/>
                      <w:lang w:val="en-US" w:eastAsia="zh-CN"/>
                    </w:rPr>
                    <w:t>工艺粉尘</w:t>
                  </w:r>
                </w:p>
              </w:tc>
              <w:tc>
                <w:tcPr>
                  <w:tcW w:w="1576" w:type="dxa"/>
                  <w:noWrap w:val="0"/>
                  <w:vAlign w:val="center"/>
                </w:tcPr>
                <w:p w14:paraId="7EAA6C72">
                  <w:pPr>
                    <w:pStyle w:val="132"/>
                    <w:keepNext w:val="0"/>
                    <w:keepLines w:val="0"/>
                    <w:suppressLineNumbers w:val="0"/>
                    <w:spacing w:before="0" w:beforeAutospacing="0" w:after="0" w:afterAutospacing="0" w:line="240" w:lineRule="auto"/>
                    <w:ind w:left="0" w:right="0"/>
                    <w:rPr>
                      <w:rFonts w:hint="default" w:ascii="Times New Roman" w:hAnsi="Times New Roman" w:cs="Times New Roman"/>
                      <w:color w:val="auto"/>
                      <w:spacing w:val="0"/>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及输送装卸、烘干</w:t>
                  </w:r>
                  <w:r>
                    <w:rPr>
                      <w:rFonts w:hint="default" w:ascii="Times New Roman" w:hAnsi="Times New Roman" w:cs="Times New Roman"/>
                      <w:color w:val="auto"/>
                      <w:sz w:val="18"/>
                      <w:szCs w:val="18"/>
                      <w:highlight w:val="none"/>
                    </w:rPr>
                    <w:t>粉尘</w:t>
                  </w:r>
                </w:p>
              </w:tc>
              <w:tc>
                <w:tcPr>
                  <w:tcW w:w="1028" w:type="dxa"/>
                  <w:vMerge w:val="continue"/>
                  <w:noWrap w:val="0"/>
                  <w:vAlign w:val="center"/>
                </w:tcPr>
                <w:p w14:paraId="5C20E24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pacing w:val="0"/>
                      <w:sz w:val="18"/>
                      <w:szCs w:val="18"/>
                      <w:highlight w:val="none"/>
                    </w:rPr>
                  </w:pPr>
                </w:p>
              </w:tc>
              <w:tc>
                <w:tcPr>
                  <w:tcW w:w="3250" w:type="dxa"/>
                  <w:noWrap w:val="0"/>
                  <w:vAlign w:val="center"/>
                </w:tcPr>
                <w:p w14:paraId="0E1C39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kern w:val="2"/>
                      <w:sz w:val="18"/>
                      <w:szCs w:val="18"/>
                      <w:highlight w:val="none"/>
                      <w:lang w:val="en-US" w:eastAsia="zh-CN" w:bidi="ar-SA"/>
                    </w:rPr>
                  </w:pPr>
                  <w:r>
                    <w:rPr>
                      <w:rFonts w:hint="eastAsia" w:cs="Times New Roman"/>
                      <w:color w:val="auto"/>
                      <w:sz w:val="18"/>
                      <w:szCs w:val="18"/>
                      <w:highlight w:val="none"/>
                      <w:lang w:val="en-US" w:eastAsia="zh-CN"/>
                    </w:rPr>
                    <w:t>初清杂质及输送装卸过程产生的砂石杂质外售建材企业综合利用，烘干粉尘外售农户用作牲畜饲料综合利用，</w:t>
                  </w:r>
                </w:p>
              </w:tc>
            </w:tr>
            <w:tr w14:paraId="19410E0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2" w:type="dxa"/>
                  <w:vMerge w:val="continue"/>
                  <w:tcBorders>
                    <w:bottom w:val="single" w:color="auto" w:sz="12" w:space="0"/>
                  </w:tcBorders>
                  <w:noWrap w:val="0"/>
                  <w:vAlign w:val="center"/>
                </w:tcPr>
                <w:p w14:paraId="1BB4465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513" w:type="dxa"/>
                  <w:tcBorders>
                    <w:bottom w:val="single" w:color="auto" w:sz="12" w:space="0"/>
                  </w:tcBorders>
                  <w:noWrap w:val="0"/>
                  <w:vAlign w:val="center"/>
                </w:tcPr>
                <w:p w14:paraId="25FECAF0">
                  <w:pPr>
                    <w:pStyle w:val="132"/>
                    <w:keepNext w:val="0"/>
                    <w:keepLines w:val="0"/>
                    <w:suppressLineNumbers w:val="0"/>
                    <w:spacing w:before="0" w:beforeAutospacing="0" w:after="0" w:afterAutospacing="0" w:line="240" w:lineRule="auto"/>
                    <w:ind w:left="0" w:leftChars="0" w:right="0" w:rightChars="0"/>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设备维护</w:t>
                  </w:r>
                </w:p>
              </w:tc>
              <w:tc>
                <w:tcPr>
                  <w:tcW w:w="1576" w:type="dxa"/>
                  <w:tcBorders>
                    <w:bottom w:val="single" w:color="auto" w:sz="12" w:space="0"/>
                  </w:tcBorders>
                  <w:noWrap w:val="0"/>
                  <w:vAlign w:val="center"/>
                </w:tcPr>
                <w:p w14:paraId="1899C187">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val="en-US" w:eastAsia="zh-CN"/>
                    </w:rPr>
                    <w:t>废机油、废机油桶、废弃含油抹布手套。</w:t>
                  </w:r>
                </w:p>
              </w:tc>
              <w:tc>
                <w:tcPr>
                  <w:tcW w:w="1028" w:type="dxa"/>
                  <w:tcBorders>
                    <w:bottom w:val="single" w:color="auto" w:sz="12" w:space="0"/>
                  </w:tcBorders>
                  <w:noWrap w:val="0"/>
                  <w:vAlign w:val="center"/>
                </w:tcPr>
                <w:p w14:paraId="32E6F20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pacing w:val="0"/>
                      <w:sz w:val="18"/>
                      <w:szCs w:val="18"/>
                      <w:highlight w:val="none"/>
                    </w:rPr>
                  </w:pPr>
                  <w:r>
                    <w:rPr>
                      <w:rFonts w:hint="eastAsia" w:cs="Times New Roman"/>
                      <w:color w:val="auto"/>
                      <w:spacing w:val="0"/>
                      <w:sz w:val="18"/>
                      <w:szCs w:val="18"/>
                      <w:highlight w:val="none"/>
                      <w:lang w:val="en-US" w:eastAsia="zh-CN"/>
                    </w:rPr>
                    <w:t>间断</w:t>
                  </w:r>
                </w:p>
              </w:tc>
              <w:tc>
                <w:tcPr>
                  <w:tcW w:w="3250" w:type="dxa"/>
                  <w:tcBorders>
                    <w:bottom w:val="single" w:color="auto" w:sz="12" w:space="0"/>
                  </w:tcBorders>
                  <w:noWrap w:val="0"/>
                  <w:vAlign w:val="center"/>
                </w:tcPr>
                <w:p w14:paraId="5432B6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rPr>
                  </w:pPr>
                  <w:r>
                    <w:rPr>
                      <w:rFonts w:hint="eastAsia" w:cs="Times New Roman"/>
                      <w:color w:val="auto"/>
                      <w:kern w:val="2"/>
                      <w:sz w:val="18"/>
                      <w:szCs w:val="18"/>
                      <w:highlight w:val="none"/>
                      <w:lang w:val="en-US" w:eastAsia="zh-CN" w:bidi="ar-SA"/>
                    </w:rPr>
                    <w:t>暂存危险废物贮存点，委托有资质单位处理</w:t>
                  </w:r>
                </w:p>
              </w:tc>
            </w:tr>
          </w:tbl>
          <w:p w14:paraId="5AFEDDBF">
            <w:pPr>
              <w:pStyle w:val="33"/>
              <w:keepNext w:val="0"/>
              <w:keepLines w:val="0"/>
              <w:suppressLineNumbers w:val="0"/>
              <w:spacing w:before="0" w:beforeAutospacing="0" w:after="0" w:afterAutospacing="0"/>
              <w:ind w:left="0" w:right="0"/>
              <w:rPr>
                <w:rFonts w:hint="default"/>
                <w:color w:val="auto"/>
                <w:highlight w:val="none"/>
                <w:lang w:val="en-US" w:eastAsia="zh-CN"/>
              </w:rPr>
            </w:pPr>
          </w:p>
        </w:tc>
      </w:tr>
      <w:tr w14:paraId="05C5EA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96" w:hRule="atLeast"/>
          <w:jc w:val="center"/>
        </w:trPr>
        <w:tc>
          <w:tcPr>
            <w:tcW w:w="758" w:type="dxa"/>
            <w:vAlign w:val="center"/>
          </w:tcPr>
          <w:p w14:paraId="25C0B9A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与项目有关的原有环境污染问题</w:t>
            </w:r>
          </w:p>
        </w:tc>
        <w:tc>
          <w:tcPr>
            <w:tcW w:w="8313" w:type="dxa"/>
            <w:vAlign w:val="center"/>
          </w:tcPr>
          <w:p w14:paraId="2214E6C1">
            <w:pPr>
              <w:pStyle w:val="33"/>
              <w:keepNext w:val="0"/>
              <w:keepLines w:val="0"/>
              <w:pageBreakBefore w:val="0"/>
              <w:widowControl/>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113" w:rightChars="0" w:firstLine="420" w:firstLineChars="200"/>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eastAsia"/>
                <w:color w:val="FF0000"/>
                <w:highlight w:val="none"/>
                <w:lang w:val="en-US" w:eastAsia="zh-CN"/>
              </w:rPr>
              <w:t>本项目为新建项目，</w:t>
            </w:r>
            <w:r>
              <w:rPr>
                <w:rFonts w:hint="default"/>
                <w:bCs/>
                <w:color w:val="FF0000"/>
                <w:szCs w:val="21"/>
              </w:rPr>
              <w:t>不存在</w:t>
            </w:r>
            <w:r>
              <w:rPr>
                <w:rFonts w:hint="default" w:ascii="Times New Roman" w:hAnsi="Times New Roman" w:cs="Times New Roman"/>
                <w:color w:val="FF0000"/>
                <w:kern w:val="21"/>
                <w:szCs w:val="21"/>
                <w:highlight w:val="none"/>
              </w:rPr>
              <w:t>与项目有关的</w:t>
            </w:r>
            <w:r>
              <w:rPr>
                <w:rFonts w:hint="default"/>
                <w:bCs/>
                <w:color w:val="FF0000"/>
                <w:szCs w:val="21"/>
              </w:rPr>
              <w:t>原有环境问题。</w:t>
            </w:r>
          </w:p>
        </w:tc>
      </w:tr>
    </w:tbl>
    <w:p w14:paraId="7123292C">
      <w:pPr>
        <w:pStyle w:val="30"/>
        <w:spacing w:before="0" w:beforeAutospacing="0" w:after="158" w:afterLines="50" w:afterAutospacing="0"/>
        <w:jc w:val="center"/>
        <w:outlineLvl w:val="0"/>
        <w:rPr>
          <w:rFonts w:hint="default" w:ascii="Times New Roman" w:hAnsi="Times New Roman" w:eastAsia="仿宋_GB2312" w:cs="Times New Roman"/>
          <w:b/>
          <w:bCs/>
          <w:color w:val="auto"/>
          <w:highlight w:val="none"/>
        </w:rPr>
        <w:sectPr>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5BF8BA40">
      <w:pPr>
        <w:pStyle w:val="30"/>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bookmarkStart w:id="5" w:name="_Toc8233"/>
      <w:r>
        <w:rPr>
          <w:rFonts w:hint="default" w:ascii="Times New Roman" w:hAnsi="Times New Roman" w:eastAsia="黑体" w:cs="Times New Roman"/>
          <w:snapToGrid w:val="0"/>
          <w:color w:val="auto"/>
          <w:kern w:val="21"/>
          <w:sz w:val="30"/>
          <w:szCs w:val="30"/>
          <w:highlight w:val="none"/>
        </w:rPr>
        <w:t>三、区域环境质量现状、环境保护目标及评价标准</w:t>
      </w:r>
      <w:bookmarkEnd w:id="5"/>
    </w:p>
    <w:tbl>
      <w:tblPr>
        <w:tblStyle w:val="36"/>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8286"/>
      </w:tblGrid>
      <w:tr w14:paraId="2749C7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32" w:hRule="atLeast"/>
          <w:jc w:val="center"/>
        </w:trPr>
        <w:tc>
          <w:tcPr>
            <w:tcW w:w="452" w:type="pct"/>
            <w:vAlign w:val="center"/>
          </w:tcPr>
          <w:p w14:paraId="62738F7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区域环境质量现状</w:t>
            </w:r>
          </w:p>
        </w:tc>
        <w:tc>
          <w:tcPr>
            <w:tcW w:w="4547" w:type="pct"/>
            <w:vAlign w:val="top"/>
          </w:tcPr>
          <w:p w14:paraId="2389074A">
            <w:pPr>
              <w:keepNext w:val="0"/>
              <w:keepLines w:val="0"/>
              <w:numPr>
                <w:ilvl w:val="0"/>
                <w:numId w:val="0"/>
              </w:numPr>
              <w:suppressLineNumbers w:val="0"/>
              <w:spacing w:before="0" w:beforeAutospacing="0" w:after="0" w:afterAutospacing="0" w:line="360" w:lineRule="auto"/>
              <w:ind w:left="0" w:right="0" w:rightChars="0" w:firstLine="422" w:firstLineChars="200"/>
              <w:rPr>
                <w:rFonts w:hint="default"/>
                <w:b/>
                <w:bCs/>
                <w:color w:val="FF0000"/>
                <w:highlight w:val="none"/>
              </w:rPr>
            </w:pPr>
            <w:r>
              <w:rPr>
                <w:rFonts w:hint="default" w:ascii="Times New Roman" w:hAnsi="Times New Roman" w:eastAsia="宋体" w:cs="Times New Roman"/>
                <w:b/>
                <w:bCs/>
                <w:color w:val="FF0000"/>
                <w:kern w:val="2"/>
                <w:sz w:val="21"/>
                <w:szCs w:val="24"/>
                <w:lang w:val="en-US" w:eastAsia="zh-CN" w:bidi="ar-SA"/>
              </w:rPr>
              <w:t>1、</w:t>
            </w:r>
            <w:r>
              <w:rPr>
                <w:rFonts w:hint="default"/>
                <w:b/>
                <w:bCs/>
                <w:color w:val="FF0000"/>
                <w:highlight w:val="none"/>
              </w:rPr>
              <w:t>大气环境</w:t>
            </w:r>
          </w:p>
          <w:p w14:paraId="3CA82A52">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FF0000"/>
                <w:highlight w:val="none"/>
              </w:rPr>
            </w:pPr>
            <w:r>
              <w:rPr>
                <w:rFonts w:hint="default" w:ascii="Times New Roman" w:hAnsi="Times New Roman" w:eastAsia="宋体" w:cs="Times New Roman"/>
                <w:color w:val="FF0000"/>
                <w:highlight w:val="none"/>
                <w:lang w:val="en-US" w:eastAsia="zh-CN"/>
              </w:rPr>
              <w:t>根据</w:t>
            </w:r>
            <w:r>
              <w:rPr>
                <w:rFonts w:hint="eastAsia" w:cs="Times New Roman"/>
                <w:color w:val="FF0000"/>
                <w:highlight w:val="none"/>
                <w:lang w:val="en-US" w:eastAsia="zh-CN"/>
              </w:rPr>
              <w:t>《2025年黑龙江省生态环境质量状况》（2026年1月）</w:t>
            </w:r>
            <w:r>
              <w:rPr>
                <w:rFonts w:hint="default"/>
                <w:color w:val="FF0000"/>
                <w:highlight w:val="none"/>
              </w:rPr>
              <w:t>中公布的数据。</w:t>
            </w:r>
            <w:r>
              <w:rPr>
                <w:rFonts w:hint="eastAsia"/>
                <w:color w:val="FF0000"/>
                <w:highlight w:val="none"/>
                <w:lang w:val="en-US" w:eastAsia="zh-CN"/>
              </w:rPr>
              <w:t>2025年鸡西市各项污染物年均浓度综合情况如下表。</w:t>
            </w:r>
          </w:p>
          <w:p w14:paraId="7179ED90">
            <w:pPr>
              <w:keepNext w:val="0"/>
              <w:keepLines w:val="0"/>
              <w:suppressLineNumbers w:val="0"/>
              <w:adjustRightInd w:val="0"/>
              <w:snapToGrid w:val="0"/>
              <w:spacing w:before="0" w:beforeAutospacing="0" w:after="0" w:afterAutospacing="0"/>
              <w:ind w:left="0" w:right="0"/>
              <w:jc w:val="center"/>
              <w:rPr>
                <w:rFonts w:hint="default"/>
                <w:b/>
                <w:bCs/>
                <w:color w:val="FF0000"/>
                <w:highlight w:val="none"/>
              </w:rPr>
            </w:pPr>
            <w:r>
              <w:rPr>
                <w:rFonts w:hint="default"/>
                <w:b/>
                <w:bCs/>
                <w:color w:val="FF0000"/>
                <w:highlight w:val="none"/>
              </w:rPr>
              <w:t>表3-</w:t>
            </w:r>
            <w:r>
              <w:rPr>
                <w:rFonts w:hint="eastAsia"/>
                <w:b/>
                <w:bCs/>
                <w:color w:val="FF0000"/>
                <w:highlight w:val="none"/>
                <w:lang w:val="en-US" w:eastAsia="zh-CN"/>
              </w:rPr>
              <w:t>1 鸡西市</w:t>
            </w:r>
            <w:r>
              <w:rPr>
                <w:rFonts w:hint="default"/>
                <w:b/>
                <w:bCs/>
                <w:color w:val="FF0000"/>
                <w:highlight w:val="none"/>
              </w:rPr>
              <w:t>202</w:t>
            </w:r>
            <w:r>
              <w:rPr>
                <w:rFonts w:hint="eastAsia"/>
                <w:b/>
                <w:bCs/>
                <w:color w:val="FF0000"/>
                <w:highlight w:val="none"/>
                <w:lang w:val="en-US" w:eastAsia="zh-CN"/>
              </w:rPr>
              <w:t>5</w:t>
            </w:r>
            <w:r>
              <w:rPr>
                <w:rFonts w:hint="default"/>
                <w:b/>
                <w:bCs/>
                <w:color w:val="FF0000"/>
                <w:highlight w:val="none"/>
              </w:rPr>
              <w:t>年环境空气质量统计表   单位：μg/m</w:t>
            </w:r>
            <w:r>
              <w:rPr>
                <w:rFonts w:hint="default"/>
                <w:b/>
                <w:bCs/>
                <w:color w:val="FF0000"/>
                <w:highlight w:val="none"/>
                <w:vertAlign w:val="superscript"/>
              </w:rPr>
              <w:t>3</w:t>
            </w:r>
          </w:p>
          <w:tbl>
            <w:tblPr>
              <w:tblStyle w:val="3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1"/>
              <w:gridCol w:w="3003"/>
              <w:gridCol w:w="1054"/>
              <w:gridCol w:w="833"/>
              <w:gridCol w:w="944"/>
              <w:gridCol w:w="1195"/>
            </w:tblGrid>
            <w:tr w14:paraId="6F28737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op w:val="single" w:color="auto" w:sz="12" w:space="0"/>
                  </w:tcBorders>
                  <w:vAlign w:val="center"/>
                </w:tcPr>
                <w:p w14:paraId="2769CBF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污染物</w:t>
                  </w:r>
                </w:p>
              </w:tc>
              <w:tc>
                <w:tcPr>
                  <w:tcW w:w="2979" w:type="dxa"/>
                  <w:tcBorders>
                    <w:top w:val="single" w:color="auto" w:sz="12" w:space="0"/>
                  </w:tcBorders>
                  <w:vAlign w:val="center"/>
                </w:tcPr>
                <w:p w14:paraId="20B731C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年评价指标</w:t>
                  </w:r>
                </w:p>
              </w:tc>
              <w:tc>
                <w:tcPr>
                  <w:tcW w:w="1045" w:type="dxa"/>
                  <w:tcBorders>
                    <w:top w:val="single" w:color="auto" w:sz="12" w:space="0"/>
                  </w:tcBorders>
                  <w:vAlign w:val="center"/>
                </w:tcPr>
                <w:p w14:paraId="23FD54F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现状浓度</w:t>
                  </w:r>
                </w:p>
              </w:tc>
              <w:tc>
                <w:tcPr>
                  <w:tcW w:w="826" w:type="dxa"/>
                  <w:tcBorders>
                    <w:top w:val="single" w:color="auto" w:sz="12" w:space="0"/>
                  </w:tcBorders>
                  <w:vAlign w:val="center"/>
                </w:tcPr>
                <w:p w14:paraId="0FBDC06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标准值</w:t>
                  </w:r>
                </w:p>
              </w:tc>
              <w:tc>
                <w:tcPr>
                  <w:tcW w:w="936" w:type="dxa"/>
                  <w:tcBorders>
                    <w:top w:val="single" w:color="auto" w:sz="12" w:space="0"/>
                  </w:tcBorders>
                  <w:vAlign w:val="center"/>
                </w:tcPr>
                <w:p w14:paraId="3EED3FD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default" w:ascii="Times New Roman" w:hAnsi="Times New Roman" w:eastAsia="宋体" w:cs="Times New Roman"/>
                      <w:color w:val="FF0000"/>
                      <w:sz w:val="18"/>
                      <w:szCs w:val="18"/>
                      <w:highlight w:val="none"/>
                    </w:rPr>
                    <w:t>占标率</w:t>
                  </w:r>
                  <w:r>
                    <w:rPr>
                      <w:rFonts w:hint="default" w:ascii="Times New Roman" w:hAnsi="Times New Roman" w:eastAsia="宋体" w:cs="Times New Roman"/>
                      <w:color w:val="FF0000"/>
                      <w:sz w:val="18"/>
                      <w:szCs w:val="18"/>
                      <w:highlight w:val="none"/>
                      <w:lang w:val="en-US" w:eastAsia="zh-CN"/>
                    </w:rPr>
                    <w:t>%</w:t>
                  </w:r>
                </w:p>
              </w:tc>
              <w:tc>
                <w:tcPr>
                  <w:tcW w:w="1185" w:type="dxa"/>
                  <w:tcBorders>
                    <w:top w:val="single" w:color="auto" w:sz="12" w:space="0"/>
                  </w:tcBorders>
                  <w:vAlign w:val="center"/>
                </w:tcPr>
                <w:p w14:paraId="11CBA52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达标情况</w:t>
                  </w:r>
                </w:p>
              </w:tc>
            </w:tr>
            <w:tr w14:paraId="73F1089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033" w:type="dxa"/>
                  <w:vAlign w:val="center"/>
                </w:tcPr>
                <w:p w14:paraId="5A6A315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PM</w:t>
                  </w:r>
                  <w:r>
                    <w:rPr>
                      <w:rFonts w:hint="default" w:ascii="Times New Roman" w:hAnsi="Times New Roman" w:eastAsia="宋体" w:cs="Times New Roman"/>
                      <w:color w:val="FF0000"/>
                      <w:sz w:val="18"/>
                      <w:szCs w:val="18"/>
                      <w:highlight w:val="none"/>
                      <w:vertAlign w:val="subscript"/>
                    </w:rPr>
                    <w:t>2.5</w:t>
                  </w:r>
                </w:p>
              </w:tc>
              <w:tc>
                <w:tcPr>
                  <w:tcW w:w="2979" w:type="dxa"/>
                  <w:vAlign w:val="center"/>
                </w:tcPr>
                <w:p w14:paraId="31789A0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年平均质量浓度</w:t>
                  </w:r>
                </w:p>
              </w:tc>
              <w:tc>
                <w:tcPr>
                  <w:tcW w:w="1045" w:type="dxa"/>
                  <w:vAlign w:val="center"/>
                </w:tcPr>
                <w:p w14:paraId="45682CA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26</w:t>
                  </w:r>
                </w:p>
              </w:tc>
              <w:tc>
                <w:tcPr>
                  <w:tcW w:w="826" w:type="dxa"/>
                  <w:vAlign w:val="center"/>
                </w:tcPr>
                <w:p w14:paraId="2DBE94E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30</w:t>
                  </w:r>
                </w:p>
              </w:tc>
              <w:tc>
                <w:tcPr>
                  <w:tcW w:w="936" w:type="dxa"/>
                  <w:vAlign w:val="center"/>
                </w:tcPr>
                <w:p w14:paraId="4C94487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86.6</w:t>
                  </w:r>
                </w:p>
              </w:tc>
              <w:tc>
                <w:tcPr>
                  <w:tcW w:w="1185" w:type="dxa"/>
                  <w:vAlign w:val="center"/>
                </w:tcPr>
                <w:p w14:paraId="44E5465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eastAsia" w:cs="Times New Roman"/>
                      <w:color w:val="FF0000"/>
                      <w:sz w:val="18"/>
                      <w:szCs w:val="18"/>
                      <w:highlight w:val="none"/>
                      <w:lang w:val="en-US" w:eastAsia="zh-CN"/>
                    </w:rPr>
                    <w:t>达</w:t>
                  </w:r>
                  <w:r>
                    <w:rPr>
                      <w:rFonts w:hint="default" w:ascii="Times New Roman" w:hAnsi="Times New Roman" w:eastAsia="宋体" w:cs="Times New Roman"/>
                      <w:color w:val="FF0000"/>
                      <w:sz w:val="18"/>
                      <w:szCs w:val="18"/>
                      <w:highlight w:val="none"/>
                    </w:rPr>
                    <w:t>标</w:t>
                  </w:r>
                </w:p>
              </w:tc>
            </w:tr>
            <w:tr w14:paraId="2726DE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789B2B0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PM</w:t>
                  </w:r>
                  <w:r>
                    <w:rPr>
                      <w:rFonts w:hint="default" w:ascii="Times New Roman" w:hAnsi="Times New Roman" w:eastAsia="宋体" w:cs="Times New Roman"/>
                      <w:color w:val="FF0000"/>
                      <w:sz w:val="18"/>
                      <w:szCs w:val="18"/>
                      <w:highlight w:val="none"/>
                      <w:vertAlign w:val="subscript"/>
                    </w:rPr>
                    <w:t>10</w:t>
                  </w:r>
                </w:p>
              </w:tc>
              <w:tc>
                <w:tcPr>
                  <w:tcW w:w="2979" w:type="dxa"/>
                  <w:vAlign w:val="center"/>
                </w:tcPr>
                <w:p w14:paraId="6082037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年平均质量浓度</w:t>
                  </w:r>
                </w:p>
              </w:tc>
              <w:tc>
                <w:tcPr>
                  <w:tcW w:w="1045" w:type="dxa"/>
                  <w:vAlign w:val="center"/>
                </w:tcPr>
                <w:p w14:paraId="32D68B3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43</w:t>
                  </w:r>
                </w:p>
              </w:tc>
              <w:tc>
                <w:tcPr>
                  <w:tcW w:w="826" w:type="dxa"/>
                  <w:vAlign w:val="center"/>
                </w:tcPr>
                <w:p w14:paraId="3D7424F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60</w:t>
                  </w:r>
                </w:p>
              </w:tc>
              <w:tc>
                <w:tcPr>
                  <w:tcW w:w="936" w:type="dxa"/>
                  <w:vAlign w:val="center"/>
                </w:tcPr>
                <w:p w14:paraId="73BFC24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71.6</w:t>
                  </w:r>
                </w:p>
              </w:tc>
              <w:tc>
                <w:tcPr>
                  <w:tcW w:w="1185" w:type="dxa"/>
                  <w:vAlign w:val="center"/>
                </w:tcPr>
                <w:p w14:paraId="774BFCE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r w14:paraId="4B88B7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1D2C06F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SO</w:t>
                  </w:r>
                  <w:r>
                    <w:rPr>
                      <w:rFonts w:hint="default" w:ascii="Times New Roman" w:hAnsi="Times New Roman" w:eastAsia="宋体" w:cs="Times New Roman"/>
                      <w:color w:val="FF0000"/>
                      <w:sz w:val="18"/>
                      <w:szCs w:val="18"/>
                      <w:highlight w:val="none"/>
                      <w:vertAlign w:val="subscript"/>
                    </w:rPr>
                    <w:t>2</w:t>
                  </w:r>
                </w:p>
              </w:tc>
              <w:tc>
                <w:tcPr>
                  <w:tcW w:w="2979" w:type="dxa"/>
                  <w:vAlign w:val="center"/>
                </w:tcPr>
                <w:p w14:paraId="4A350AC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年平均质量浓度</w:t>
                  </w:r>
                </w:p>
              </w:tc>
              <w:tc>
                <w:tcPr>
                  <w:tcW w:w="1045" w:type="dxa"/>
                  <w:vAlign w:val="center"/>
                </w:tcPr>
                <w:p w14:paraId="66EF31A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8</w:t>
                  </w:r>
                </w:p>
              </w:tc>
              <w:tc>
                <w:tcPr>
                  <w:tcW w:w="826" w:type="dxa"/>
                  <w:vAlign w:val="center"/>
                </w:tcPr>
                <w:p w14:paraId="47DD731D">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60</w:t>
                  </w:r>
                </w:p>
              </w:tc>
              <w:tc>
                <w:tcPr>
                  <w:tcW w:w="936" w:type="dxa"/>
                  <w:vAlign w:val="center"/>
                </w:tcPr>
                <w:p w14:paraId="3064A36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13.3</w:t>
                  </w:r>
                </w:p>
              </w:tc>
              <w:tc>
                <w:tcPr>
                  <w:tcW w:w="1185" w:type="dxa"/>
                  <w:vAlign w:val="center"/>
                </w:tcPr>
                <w:p w14:paraId="37C3705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r w14:paraId="2A5C66F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414A5F4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NO</w:t>
                  </w:r>
                  <w:r>
                    <w:rPr>
                      <w:rFonts w:hint="default" w:ascii="Times New Roman" w:hAnsi="Times New Roman" w:eastAsia="宋体" w:cs="Times New Roman"/>
                      <w:color w:val="FF0000"/>
                      <w:sz w:val="18"/>
                      <w:szCs w:val="18"/>
                      <w:highlight w:val="none"/>
                      <w:vertAlign w:val="subscript"/>
                    </w:rPr>
                    <w:t>2</w:t>
                  </w:r>
                </w:p>
              </w:tc>
              <w:tc>
                <w:tcPr>
                  <w:tcW w:w="2979" w:type="dxa"/>
                  <w:vAlign w:val="center"/>
                </w:tcPr>
                <w:p w14:paraId="4B17F55D">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年平均质量浓度</w:t>
                  </w:r>
                </w:p>
              </w:tc>
              <w:tc>
                <w:tcPr>
                  <w:tcW w:w="1045" w:type="dxa"/>
                  <w:vAlign w:val="center"/>
                </w:tcPr>
                <w:p w14:paraId="222DE99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17</w:t>
                  </w:r>
                </w:p>
              </w:tc>
              <w:tc>
                <w:tcPr>
                  <w:tcW w:w="826" w:type="dxa"/>
                  <w:vAlign w:val="center"/>
                </w:tcPr>
                <w:p w14:paraId="44CFFC3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40</w:t>
                  </w:r>
                </w:p>
              </w:tc>
              <w:tc>
                <w:tcPr>
                  <w:tcW w:w="936" w:type="dxa"/>
                  <w:vAlign w:val="center"/>
                </w:tcPr>
                <w:p w14:paraId="43ED8D62">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42.5</w:t>
                  </w:r>
                </w:p>
              </w:tc>
              <w:tc>
                <w:tcPr>
                  <w:tcW w:w="1185" w:type="dxa"/>
                  <w:vAlign w:val="center"/>
                </w:tcPr>
                <w:p w14:paraId="5E024E9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r w14:paraId="1EEFDE7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vAlign w:val="center"/>
                </w:tcPr>
                <w:p w14:paraId="36D8B15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CO</w:t>
                  </w:r>
                </w:p>
              </w:tc>
              <w:tc>
                <w:tcPr>
                  <w:tcW w:w="2979" w:type="dxa"/>
                  <w:vAlign w:val="center"/>
                </w:tcPr>
                <w:p w14:paraId="097DD8B6">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第95百分位数日平均浓度（</w:t>
                  </w:r>
                  <w:r>
                    <w:rPr>
                      <w:rFonts w:hint="default" w:ascii="Times New Roman" w:hAnsi="Times New Roman" w:eastAsia="宋体" w:cs="Times New Roman"/>
                      <w:color w:val="FF0000"/>
                      <w:sz w:val="18"/>
                      <w:szCs w:val="18"/>
                      <w:highlight w:val="none"/>
                    </w:rPr>
                    <w:t>mg/m</w:t>
                  </w:r>
                  <w:r>
                    <w:rPr>
                      <w:rFonts w:hint="default" w:ascii="Times New Roman" w:hAnsi="Times New Roman" w:eastAsia="宋体" w:cs="Times New Roman"/>
                      <w:color w:val="FF0000"/>
                      <w:sz w:val="18"/>
                      <w:szCs w:val="18"/>
                      <w:highlight w:val="none"/>
                      <w:vertAlign w:val="superscript"/>
                    </w:rPr>
                    <w:t>3</w:t>
                  </w:r>
                  <w:r>
                    <w:rPr>
                      <w:rFonts w:hint="eastAsia" w:ascii="Times New Roman" w:hAnsi="Times New Roman" w:eastAsia="宋体" w:cs="Times New Roman"/>
                      <w:color w:val="FF0000"/>
                      <w:sz w:val="18"/>
                      <w:szCs w:val="18"/>
                      <w:highlight w:val="none"/>
                      <w:vertAlign w:val="baseline"/>
                      <w:lang w:eastAsia="zh-CN"/>
                    </w:rPr>
                    <w:t>）</w:t>
                  </w:r>
                </w:p>
              </w:tc>
              <w:tc>
                <w:tcPr>
                  <w:tcW w:w="1045" w:type="dxa"/>
                  <w:vAlign w:val="center"/>
                </w:tcPr>
                <w:p w14:paraId="3381563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0.9</w:t>
                  </w:r>
                </w:p>
              </w:tc>
              <w:tc>
                <w:tcPr>
                  <w:tcW w:w="826" w:type="dxa"/>
                  <w:vAlign w:val="center"/>
                </w:tcPr>
                <w:p w14:paraId="3F94EB1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4.0</w:t>
                  </w:r>
                </w:p>
              </w:tc>
              <w:tc>
                <w:tcPr>
                  <w:tcW w:w="936" w:type="dxa"/>
                  <w:vAlign w:val="center"/>
                </w:tcPr>
                <w:p w14:paraId="1697D02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22.5</w:t>
                  </w:r>
                </w:p>
              </w:tc>
              <w:tc>
                <w:tcPr>
                  <w:tcW w:w="1185" w:type="dxa"/>
                  <w:vAlign w:val="center"/>
                </w:tcPr>
                <w:p w14:paraId="112101D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r w14:paraId="73BA82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bottom w:val="single" w:color="auto" w:sz="12" w:space="0"/>
                  </w:tcBorders>
                  <w:vAlign w:val="center"/>
                </w:tcPr>
                <w:p w14:paraId="78E74D7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O</w:t>
                  </w:r>
                  <w:r>
                    <w:rPr>
                      <w:rFonts w:hint="eastAsia" w:cs="Times New Roman"/>
                      <w:color w:val="FF0000"/>
                      <w:sz w:val="18"/>
                      <w:szCs w:val="18"/>
                      <w:highlight w:val="none"/>
                      <w:vertAlign w:val="subscript"/>
                      <w:lang w:val="en-US" w:eastAsia="zh-CN"/>
                    </w:rPr>
                    <w:t>3</w:t>
                  </w:r>
                </w:p>
              </w:tc>
              <w:tc>
                <w:tcPr>
                  <w:tcW w:w="2979" w:type="dxa"/>
                  <w:tcBorders>
                    <w:bottom w:val="single" w:color="auto" w:sz="12" w:space="0"/>
                  </w:tcBorders>
                  <w:vAlign w:val="center"/>
                </w:tcPr>
                <w:p w14:paraId="2DDC4AFE">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eastAsia" w:cs="Times New Roman"/>
                      <w:color w:val="FF0000"/>
                      <w:sz w:val="18"/>
                      <w:szCs w:val="18"/>
                      <w:highlight w:val="none"/>
                      <w:lang w:val="en-US" w:eastAsia="zh-CN"/>
                    </w:rPr>
                    <w:t>第90</w:t>
                  </w:r>
                  <w:r>
                    <w:rPr>
                      <w:rFonts w:hint="default" w:ascii="Times New Roman" w:hAnsi="Times New Roman" w:eastAsia="宋体" w:cs="Times New Roman"/>
                      <w:color w:val="FF0000"/>
                      <w:sz w:val="18"/>
                      <w:szCs w:val="18"/>
                      <w:highlight w:val="none"/>
                    </w:rPr>
                    <w:t>百分位数8h平均</w:t>
                  </w:r>
                  <w:r>
                    <w:rPr>
                      <w:rFonts w:hint="eastAsia" w:cs="Times New Roman"/>
                      <w:color w:val="FF0000"/>
                      <w:sz w:val="18"/>
                      <w:szCs w:val="18"/>
                      <w:highlight w:val="none"/>
                      <w:lang w:val="en-US" w:eastAsia="zh-CN"/>
                    </w:rPr>
                    <w:t>质量</w:t>
                  </w:r>
                  <w:r>
                    <w:rPr>
                      <w:rFonts w:hint="default" w:ascii="Times New Roman" w:hAnsi="Times New Roman" w:eastAsia="宋体" w:cs="Times New Roman"/>
                      <w:color w:val="FF0000"/>
                      <w:sz w:val="18"/>
                      <w:szCs w:val="18"/>
                      <w:highlight w:val="none"/>
                    </w:rPr>
                    <w:t>浓度</w:t>
                  </w:r>
                </w:p>
              </w:tc>
              <w:tc>
                <w:tcPr>
                  <w:tcW w:w="1045" w:type="dxa"/>
                  <w:tcBorders>
                    <w:bottom w:val="single" w:color="auto" w:sz="12" w:space="0"/>
                  </w:tcBorders>
                  <w:vAlign w:val="center"/>
                </w:tcPr>
                <w:p w14:paraId="3F42EE7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115</w:t>
                  </w:r>
                </w:p>
              </w:tc>
              <w:tc>
                <w:tcPr>
                  <w:tcW w:w="826" w:type="dxa"/>
                  <w:tcBorders>
                    <w:bottom w:val="single" w:color="auto" w:sz="12" w:space="0"/>
                  </w:tcBorders>
                  <w:vAlign w:val="center"/>
                </w:tcPr>
                <w:p w14:paraId="35DA1A5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160</w:t>
                  </w:r>
                </w:p>
              </w:tc>
              <w:tc>
                <w:tcPr>
                  <w:tcW w:w="936" w:type="dxa"/>
                  <w:tcBorders>
                    <w:bottom w:val="single" w:color="auto" w:sz="12" w:space="0"/>
                  </w:tcBorders>
                  <w:vAlign w:val="center"/>
                </w:tcPr>
                <w:p w14:paraId="5D32865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71.9</w:t>
                  </w:r>
                </w:p>
              </w:tc>
              <w:tc>
                <w:tcPr>
                  <w:tcW w:w="1185" w:type="dxa"/>
                  <w:tcBorders>
                    <w:bottom w:val="single" w:color="auto" w:sz="12" w:space="0"/>
                  </w:tcBorders>
                  <w:vAlign w:val="center"/>
                </w:tcPr>
                <w:p w14:paraId="2C43F89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达标</w:t>
                  </w:r>
                </w:p>
              </w:tc>
            </w:tr>
          </w:tbl>
          <w:p w14:paraId="2DD81D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FF0000"/>
                <w:kern w:val="0"/>
                <w:sz w:val="21"/>
                <w:szCs w:val="21"/>
                <w:highlight w:val="none"/>
                <w:lang w:val="en-US" w:eastAsia="zh-CN"/>
              </w:rPr>
            </w:pPr>
            <w:r>
              <w:rPr>
                <w:rFonts w:hint="eastAsia" w:cs="Times New Roman"/>
                <w:color w:val="FF0000"/>
                <w:sz w:val="21"/>
                <w:szCs w:val="21"/>
                <w:highlight w:val="none"/>
                <w:lang w:val="en-US" w:eastAsia="zh-CN"/>
              </w:rPr>
              <w:t>由表3-1可知，2025年鸡西市空气基本污染物中</w:t>
            </w:r>
            <w:r>
              <w:rPr>
                <w:rFonts w:hint="default" w:ascii="Times New Roman" w:hAnsi="Times New Roman" w:eastAsia="宋体" w:cs="Times New Roman"/>
                <w:color w:val="FF0000"/>
                <w:sz w:val="21"/>
                <w:szCs w:val="21"/>
                <w:highlight w:val="none"/>
              </w:rPr>
              <w:t>PM</w:t>
            </w:r>
            <w:r>
              <w:rPr>
                <w:rFonts w:hint="default" w:ascii="Times New Roman" w:hAnsi="Times New Roman" w:eastAsia="宋体" w:cs="Times New Roman"/>
                <w:color w:val="FF0000"/>
                <w:sz w:val="21"/>
                <w:szCs w:val="21"/>
                <w:highlight w:val="none"/>
                <w:vertAlign w:val="subscript"/>
              </w:rPr>
              <w:t>2.5</w:t>
            </w:r>
            <w:r>
              <w:rPr>
                <w:rFonts w:hint="eastAsia" w:ascii="Times New Roman" w:hAnsi="Times New Roman" w:cs="Times New Roman"/>
                <w:color w:val="FF0000"/>
                <w:sz w:val="21"/>
                <w:szCs w:val="21"/>
                <w:highlight w:val="none"/>
                <w:vertAlign w:val="baseline"/>
                <w:lang w:eastAsia="zh-CN"/>
              </w:rPr>
              <w:t>、</w:t>
            </w:r>
            <w:r>
              <w:rPr>
                <w:rFonts w:hint="default" w:ascii="Times New Roman" w:hAnsi="Times New Roman" w:eastAsia="宋体" w:cs="Times New Roman"/>
                <w:color w:val="FF0000"/>
                <w:sz w:val="21"/>
                <w:szCs w:val="21"/>
                <w:highlight w:val="none"/>
              </w:rPr>
              <w:t>PM</w:t>
            </w:r>
            <w:r>
              <w:rPr>
                <w:rFonts w:hint="default" w:ascii="Times New Roman" w:hAnsi="Times New Roman" w:eastAsia="宋体" w:cs="Times New Roman"/>
                <w:color w:val="FF0000"/>
                <w:sz w:val="21"/>
                <w:szCs w:val="21"/>
                <w:highlight w:val="none"/>
                <w:vertAlign w:val="subscript"/>
              </w:rPr>
              <w:t>10</w:t>
            </w:r>
            <w:r>
              <w:rPr>
                <w:rFonts w:hint="eastAsia" w:ascii="Times New Roman" w:hAnsi="Times New Roman" w:eastAsia="宋体" w:cs="Times New Roman"/>
                <w:color w:val="FF0000"/>
                <w:sz w:val="21"/>
                <w:szCs w:val="21"/>
                <w:highlight w:val="none"/>
                <w:vertAlign w:val="baseline"/>
                <w:lang w:eastAsia="zh-CN"/>
              </w:rPr>
              <w:t>、</w:t>
            </w:r>
            <w:r>
              <w:rPr>
                <w:rFonts w:hint="default" w:ascii="Times New Roman" w:hAnsi="Times New Roman" w:eastAsia="宋体" w:cs="Times New Roman"/>
                <w:color w:val="FF0000"/>
                <w:sz w:val="21"/>
                <w:szCs w:val="21"/>
                <w:highlight w:val="none"/>
              </w:rPr>
              <w:t>SO</w:t>
            </w:r>
            <w:r>
              <w:rPr>
                <w:rFonts w:hint="default" w:ascii="Times New Roman" w:hAnsi="Times New Roman" w:eastAsia="宋体" w:cs="Times New Roman"/>
                <w:color w:val="FF0000"/>
                <w:sz w:val="21"/>
                <w:szCs w:val="21"/>
                <w:highlight w:val="none"/>
                <w:vertAlign w:val="subscript"/>
              </w:rPr>
              <w:t>2</w:t>
            </w:r>
            <w:r>
              <w:rPr>
                <w:rFonts w:hint="eastAsia" w:ascii="Times New Roman" w:hAnsi="Times New Roman" w:eastAsia="宋体" w:cs="Times New Roman"/>
                <w:color w:val="FF0000"/>
                <w:sz w:val="21"/>
                <w:szCs w:val="21"/>
                <w:highlight w:val="none"/>
                <w:vertAlign w:val="baseline"/>
                <w:lang w:eastAsia="zh-CN"/>
              </w:rPr>
              <w:t>、</w:t>
            </w:r>
            <w:r>
              <w:rPr>
                <w:rFonts w:hint="default" w:ascii="Times New Roman" w:hAnsi="Times New Roman" w:eastAsia="宋体" w:cs="Times New Roman"/>
                <w:color w:val="FF0000"/>
                <w:sz w:val="21"/>
                <w:szCs w:val="21"/>
                <w:highlight w:val="none"/>
              </w:rPr>
              <w:t>NO</w:t>
            </w:r>
            <w:r>
              <w:rPr>
                <w:rFonts w:hint="default" w:ascii="Times New Roman" w:hAnsi="Times New Roman" w:eastAsia="宋体" w:cs="Times New Roman"/>
                <w:color w:val="FF0000"/>
                <w:sz w:val="21"/>
                <w:szCs w:val="21"/>
                <w:highlight w:val="none"/>
                <w:vertAlign w:val="subscript"/>
              </w:rPr>
              <w:t>2</w:t>
            </w:r>
            <w:r>
              <w:rPr>
                <w:rFonts w:hint="eastAsia" w:ascii="Times New Roman" w:hAnsi="Times New Roman" w:eastAsia="宋体" w:cs="Times New Roman"/>
                <w:color w:val="FF0000"/>
                <w:sz w:val="21"/>
                <w:szCs w:val="21"/>
                <w:highlight w:val="none"/>
                <w:vertAlign w:val="baseline"/>
                <w:lang w:val="en-US" w:eastAsia="zh-CN"/>
              </w:rPr>
              <w:t>年平均质量浓度</w:t>
            </w:r>
            <w:r>
              <w:rPr>
                <w:rFonts w:hint="eastAsia" w:cs="Times New Roman"/>
                <w:color w:val="FF0000"/>
                <w:sz w:val="21"/>
                <w:szCs w:val="21"/>
                <w:highlight w:val="none"/>
                <w:vertAlign w:val="baseline"/>
                <w:lang w:val="en-US" w:eastAsia="zh-CN"/>
              </w:rPr>
              <w:t>及</w:t>
            </w:r>
            <w:r>
              <w:rPr>
                <w:rFonts w:hint="default" w:ascii="Times New Roman" w:hAnsi="Times New Roman" w:eastAsia="宋体" w:cs="Times New Roman"/>
                <w:color w:val="FF0000"/>
                <w:sz w:val="21"/>
                <w:szCs w:val="21"/>
                <w:highlight w:val="none"/>
              </w:rPr>
              <w:t>CO</w:t>
            </w:r>
            <w:r>
              <w:rPr>
                <w:rFonts w:hint="eastAsia" w:cs="Times New Roman"/>
                <w:color w:val="FF0000"/>
                <w:sz w:val="21"/>
                <w:szCs w:val="21"/>
                <w:highlight w:val="none"/>
                <w:lang w:val="en-US" w:eastAsia="zh-CN"/>
              </w:rPr>
              <w:t>第95百分位数日平均浓度、O</w:t>
            </w:r>
            <w:r>
              <w:rPr>
                <w:rFonts w:hint="eastAsia" w:cs="Times New Roman"/>
                <w:color w:val="FF0000"/>
                <w:sz w:val="21"/>
                <w:szCs w:val="21"/>
                <w:highlight w:val="none"/>
                <w:vertAlign w:val="subscript"/>
                <w:lang w:val="en-US" w:eastAsia="zh-CN"/>
              </w:rPr>
              <w:t>3</w:t>
            </w:r>
            <w:r>
              <w:rPr>
                <w:rFonts w:hint="eastAsia" w:cs="Times New Roman"/>
                <w:color w:val="FF0000"/>
                <w:sz w:val="21"/>
                <w:szCs w:val="21"/>
                <w:highlight w:val="none"/>
                <w:lang w:val="en-US" w:eastAsia="zh-CN"/>
              </w:rPr>
              <w:t>第90</w:t>
            </w:r>
            <w:r>
              <w:rPr>
                <w:rFonts w:hint="default" w:ascii="Times New Roman" w:hAnsi="Times New Roman" w:eastAsia="宋体" w:cs="Times New Roman"/>
                <w:color w:val="FF0000"/>
                <w:sz w:val="21"/>
                <w:szCs w:val="21"/>
                <w:highlight w:val="none"/>
              </w:rPr>
              <w:t>百分位数8h平均</w:t>
            </w:r>
            <w:r>
              <w:rPr>
                <w:rFonts w:hint="eastAsia" w:cs="Times New Roman"/>
                <w:color w:val="FF0000"/>
                <w:sz w:val="21"/>
                <w:szCs w:val="21"/>
                <w:highlight w:val="none"/>
                <w:lang w:val="en-US" w:eastAsia="zh-CN"/>
              </w:rPr>
              <w:t>质量</w:t>
            </w:r>
            <w:r>
              <w:rPr>
                <w:rFonts w:hint="default" w:ascii="Times New Roman" w:hAnsi="Times New Roman" w:eastAsia="宋体" w:cs="Times New Roman"/>
                <w:color w:val="FF0000"/>
                <w:sz w:val="21"/>
                <w:szCs w:val="21"/>
                <w:highlight w:val="none"/>
              </w:rPr>
              <w:t>浓度</w:t>
            </w:r>
            <w:r>
              <w:rPr>
                <w:rFonts w:hint="eastAsia" w:ascii="Times New Roman" w:hAnsi="Times New Roman" w:eastAsia="宋体" w:cs="Times New Roman"/>
                <w:color w:val="FF0000"/>
                <w:sz w:val="21"/>
                <w:szCs w:val="21"/>
                <w:highlight w:val="none"/>
                <w:lang w:val="en-US" w:eastAsia="zh-CN"/>
              </w:rPr>
              <w:t>均</w:t>
            </w:r>
            <w:r>
              <w:rPr>
                <w:rFonts w:hint="eastAsia" w:ascii="Times New Roman" w:hAnsi="Times New Roman" w:eastAsia="宋体" w:cs="Times New Roman"/>
                <w:color w:val="FF0000"/>
                <w:sz w:val="21"/>
                <w:szCs w:val="21"/>
                <w:highlight w:val="none"/>
                <w:vertAlign w:val="baseline"/>
                <w:lang w:val="en-US" w:eastAsia="zh-CN"/>
              </w:rPr>
              <w:t>满足</w:t>
            </w:r>
            <w:r>
              <w:rPr>
                <w:rFonts w:hint="default" w:ascii="Times New Roman" w:hAnsi="Times New Roman" w:cs="Times New Roman"/>
                <w:color w:val="FF0000"/>
                <w:kern w:val="0"/>
                <w:sz w:val="21"/>
                <w:szCs w:val="21"/>
                <w:highlight w:val="none"/>
              </w:rPr>
              <w:t>《环境空气质量标准》（GB3095-20</w:t>
            </w:r>
            <w:r>
              <w:rPr>
                <w:rFonts w:hint="eastAsia" w:cs="Times New Roman"/>
                <w:color w:val="FF0000"/>
                <w:kern w:val="0"/>
                <w:sz w:val="21"/>
                <w:szCs w:val="21"/>
                <w:highlight w:val="none"/>
                <w:lang w:val="en-US" w:eastAsia="zh-CN"/>
              </w:rPr>
              <w:t>26</w:t>
            </w:r>
            <w:r>
              <w:rPr>
                <w:rFonts w:hint="default" w:ascii="Times New Roman" w:hAnsi="Times New Roman" w:cs="Times New Roman"/>
                <w:color w:val="FF0000"/>
                <w:kern w:val="0"/>
                <w:sz w:val="21"/>
                <w:szCs w:val="21"/>
                <w:highlight w:val="none"/>
              </w:rPr>
              <w:t>）中的二级标准</w:t>
            </w:r>
            <w:r>
              <w:rPr>
                <w:rFonts w:hint="eastAsia" w:cs="Times New Roman"/>
                <w:color w:val="FF0000"/>
                <w:kern w:val="0"/>
                <w:sz w:val="21"/>
                <w:szCs w:val="21"/>
                <w:highlight w:val="none"/>
                <w:lang w:eastAsia="zh-CN"/>
              </w:rPr>
              <w:t>，</w:t>
            </w:r>
            <w:r>
              <w:rPr>
                <w:rFonts w:hint="eastAsia" w:ascii="Times New Roman" w:hAnsi="Times New Roman" w:cs="Times New Roman"/>
                <w:color w:val="FF0000"/>
                <w:kern w:val="0"/>
                <w:sz w:val="21"/>
                <w:szCs w:val="21"/>
                <w:highlight w:val="none"/>
                <w:lang w:val="en-US" w:eastAsia="zh-CN"/>
              </w:rPr>
              <w:t>因此判定本项目区域环境空气质量为达标区。</w:t>
            </w:r>
          </w:p>
          <w:p w14:paraId="5035B291">
            <w:pPr>
              <w:keepNext w:val="0"/>
              <w:keepLines w:val="0"/>
              <w:suppressLineNumbers w:val="0"/>
              <w:spacing w:before="0" w:beforeAutospacing="0" w:after="0" w:afterAutospacing="0" w:line="360" w:lineRule="auto"/>
              <w:ind w:left="0" w:right="0" w:firstLine="420" w:firstLineChars="200"/>
              <w:rPr>
                <w:rFonts w:hint="eastAsia" w:ascii="Times New Roman" w:hAnsi="Times New Roman" w:eastAsia="宋体" w:cs="Times New Roman"/>
                <w:color w:val="FF0000"/>
                <w:highlight w:val="none"/>
                <w:lang w:eastAsia="zh-CN"/>
              </w:rPr>
            </w:pPr>
            <w:r>
              <w:rPr>
                <w:rFonts w:hint="eastAsia" w:ascii="Times New Roman" w:hAnsi="Times New Roman" w:cs="Times New Roman"/>
                <w:color w:val="FF0000"/>
                <w:szCs w:val="21"/>
                <w:highlight w:val="none"/>
                <w:lang w:val="en-US" w:eastAsia="zh-CN"/>
              </w:rPr>
              <w:t>其他</w:t>
            </w:r>
            <w:r>
              <w:rPr>
                <w:rFonts w:hint="default" w:ascii="Times New Roman" w:hAnsi="Times New Roman" w:cs="Times New Roman"/>
                <w:color w:val="FF0000"/>
                <w:szCs w:val="21"/>
                <w:highlight w:val="none"/>
              </w:rPr>
              <w:t>污染物</w:t>
            </w:r>
            <w:r>
              <w:rPr>
                <w:rFonts w:hint="eastAsia" w:ascii="Times New Roman" w:hAnsi="Times New Roman" w:cs="Times New Roman"/>
                <w:color w:val="FF0000"/>
                <w:szCs w:val="21"/>
                <w:highlight w:val="none"/>
                <w:lang w:eastAsia="zh-CN"/>
              </w:rPr>
              <w:t>：</w:t>
            </w:r>
          </w:p>
          <w:p w14:paraId="2DF5F36F">
            <w:pPr>
              <w:pStyle w:val="173"/>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根据《建设项目环境影响报告表编制技术指南》（污染影响类）（试行）排放国家、地方环境空气质量标准中有标准限值要求的特征污染物时，可引用建设项目周边5千米范围内近3年的现有监测数据，本项目引用《</w:t>
            </w:r>
            <w:r>
              <w:rPr>
                <w:rFonts w:hint="eastAsia" w:ascii="Times New Roman" w:hAnsi="Times New Roman" w:eastAsia="宋体" w:cs="Times New Roman"/>
                <w:color w:val="FF0000"/>
                <w:kern w:val="0"/>
                <w:sz w:val="21"/>
                <w:szCs w:val="21"/>
                <w:highlight w:val="none"/>
                <w:lang w:val="en-US" w:eastAsia="zh-CN" w:bidi="ar-SA"/>
              </w:rPr>
              <w:t>黑龙江八五一</w:t>
            </w:r>
            <w:r>
              <w:rPr>
                <w:rFonts w:hint="eastAsia" w:eastAsia="宋体" w:cs="Times New Roman"/>
                <w:color w:val="FF0000"/>
                <w:kern w:val="0"/>
                <w:sz w:val="21"/>
                <w:szCs w:val="21"/>
                <w:highlight w:val="none"/>
                <w:lang w:val="en-US" w:eastAsia="zh-CN" w:bidi="ar-SA"/>
              </w:rPr>
              <w:t>〇</w:t>
            </w:r>
            <w:r>
              <w:rPr>
                <w:rFonts w:hint="eastAsia" w:ascii="Times New Roman" w:hAnsi="Times New Roman" w:eastAsia="宋体" w:cs="Times New Roman"/>
                <w:color w:val="FF0000"/>
                <w:kern w:val="0"/>
                <w:sz w:val="21"/>
                <w:szCs w:val="21"/>
                <w:highlight w:val="none"/>
                <w:lang w:val="en-US" w:eastAsia="zh-CN" w:bidi="ar-SA"/>
              </w:rPr>
              <w:t>农场增发国债高标准农田建设项目（烘干塔锅炉房）</w:t>
            </w:r>
            <w:r>
              <w:rPr>
                <w:rFonts w:hint="default" w:ascii="Times New Roman" w:hAnsi="Times New Roman" w:eastAsia="宋体" w:cs="Times New Roman"/>
                <w:color w:val="FF0000"/>
                <w:kern w:val="0"/>
                <w:sz w:val="21"/>
                <w:szCs w:val="21"/>
                <w:highlight w:val="none"/>
                <w:lang w:val="en-US" w:eastAsia="zh-CN" w:bidi="ar-SA"/>
              </w:rPr>
              <w:t>》（202</w:t>
            </w:r>
            <w:r>
              <w:rPr>
                <w:rFonts w:hint="eastAsia" w:eastAsia="宋体" w:cs="Times New Roman"/>
                <w:color w:val="FF0000"/>
                <w:kern w:val="0"/>
                <w:sz w:val="21"/>
                <w:szCs w:val="21"/>
                <w:highlight w:val="none"/>
                <w:lang w:val="en-US" w:eastAsia="zh-CN" w:bidi="ar-SA"/>
              </w:rPr>
              <w:t>4</w:t>
            </w:r>
            <w:r>
              <w:rPr>
                <w:rFonts w:hint="default" w:ascii="Times New Roman" w:hAnsi="Times New Roman" w:eastAsia="宋体" w:cs="Times New Roman"/>
                <w:color w:val="FF0000"/>
                <w:kern w:val="0"/>
                <w:sz w:val="21"/>
                <w:szCs w:val="21"/>
                <w:highlight w:val="none"/>
                <w:lang w:val="en-US" w:eastAsia="zh-CN" w:bidi="ar-SA"/>
              </w:rPr>
              <w:t>.</w:t>
            </w:r>
            <w:r>
              <w:rPr>
                <w:rFonts w:hint="eastAsia" w:eastAsia="宋体" w:cs="Times New Roman"/>
                <w:color w:val="FF0000"/>
                <w:kern w:val="0"/>
                <w:sz w:val="21"/>
                <w:szCs w:val="21"/>
                <w:highlight w:val="none"/>
                <w:lang w:val="en-US" w:eastAsia="zh-CN" w:bidi="ar-SA"/>
              </w:rPr>
              <w:t>4</w:t>
            </w:r>
            <w:r>
              <w:rPr>
                <w:rFonts w:hint="default" w:ascii="Times New Roman" w:hAnsi="Times New Roman" w:eastAsia="宋体" w:cs="Times New Roman"/>
                <w:color w:val="FF0000"/>
                <w:kern w:val="0"/>
                <w:sz w:val="21"/>
                <w:szCs w:val="21"/>
                <w:highlight w:val="none"/>
                <w:lang w:val="en-US" w:eastAsia="zh-CN" w:bidi="ar-SA"/>
              </w:rPr>
              <w:t>.</w:t>
            </w:r>
            <w:r>
              <w:rPr>
                <w:rFonts w:hint="eastAsia" w:eastAsia="宋体" w:cs="Times New Roman"/>
                <w:color w:val="FF0000"/>
                <w:kern w:val="0"/>
                <w:sz w:val="21"/>
                <w:szCs w:val="21"/>
                <w:highlight w:val="none"/>
                <w:lang w:val="en-US" w:eastAsia="zh-CN" w:bidi="ar-SA"/>
              </w:rPr>
              <w:t>12</w:t>
            </w:r>
            <w:r>
              <w:rPr>
                <w:rFonts w:hint="default" w:ascii="Times New Roman" w:hAnsi="Times New Roman" w:eastAsia="宋体" w:cs="Times New Roman"/>
                <w:color w:val="FF0000"/>
                <w:kern w:val="0"/>
                <w:sz w:val="21"/>
                <w:szCs w:val="21"/>
                <w:highlight w:val="none"/>
                <w:lang w:val="en-US" w:eastAsia="zh-CN" w:bidi="ar-SA"/>
              </w:rPr>
              <w:t>）检测报告，距离本项目</w:t>
            </w:r>
            <w:r>
              <w:rPr>
                <w:rFonts w:hint="eastAsia" w:eastAsia="宋体" w:cs="Times New Roman"/>
                <w:color w:val="FF0000"/>
                <w:kern w:val="0"/>
                <w:sz w:val="21"/>
                <w:szCs w:val="21"/>
                <w:highlight w:val="none"/>
                <w:lang w:val="en-US" w:eastAsia="zh-CN" w:bidi="ar-SA"/>
              </w:rPr>
              <w:t>2800</w:t>
            </w:r>
            <w:r>
              <w:rPr>
                <w:rFonts w:hint="default" w:ascii="Times New Roman" w:hAnsi="Times New Roman" w:eastAsia="宋体" w:cs="Times New Roman"/>
                <w:color w:val="FF0000"/>
                <w:kern w:val="0"/>
                <w:sz w:val="21"/>
                <w:szCs w:val="21"/>
                <w:highlight w:val="none"/>
                <w:lang w:val="en-US" w:eastAsia="zh-CN" w:bidi="ar-SA"/>
              </w:rPr>
              <w:t>m。项目涉及的大气污染物均为TSP，现状检测结果如下：</w:t>
            </w:r>
          </w:p>
          <w:p w14:paraId="3D95541C">
            <w:pPr>
              <w:keepNext w:val="0"/>
              <w:keepLines w:val="0"/>
              <w:suppressLineNumbers w:val="0"/>
              <w:spacing w:before="0" w:beforeAutospacing="0" w:after="0" w:afterAutospacing="0" w:line="360" w:lineRule="auto"/>
              <w:ind w:left="0" w:right="0"/>
              <w:jc w:val="both"/>
              <w:rPr>
                <w:rFonts w:hint="eastAsia" w:ascii="Times New Roman" w:hAnsi="Times New Roman" w:eastAsia="宋体" w:cs="Times New Roman"/>
                <w:b/>
                <w:color w:val="auto"/>
                <w:kern w:val="0"/>
                <w:highlight w:val="none"/>
                <w:lang w:eastAsia="zh-CN"/>
              </w:rPr>
            </w:pPr>
            <w:r>
              <w:rPr>
                <w:rFonts w:hint="default" w:ascii="Times New Roman" w:hAnsi="Times New Roman" w:cs="Times New Roman"/>
                <w:sz w:val="24"/>
              </w:rPr>
              <mc:AlternateContent>
                <mc:Choice Requires="wps">
                  <w:drawing>
                    <wp:anchor distT="0" distB="0" distL="114300" distR="114300" simplePos="0" relativeHeight="251686912" behindDoc="0" locked="0" layoutInCell="1" allowOverlap="1">
                      <wp:simplePos x="0" y="0"/>
                      <wp:positionH relativeFrom="column">
                        <wp:posOffset>1720850</wp:posOffset>
                      </wp:positionH>
                      <wp:positionV relativeFrom="paragraph">
                        <wp:posOffset>2695575</wp:posOffset>
                      </wp:positionV>
                      <wp:extent cx="123825" cy="114300"/>
                      <wp:effectExtent l="12700" t="12700" r="15875" b="25400"/>
                      <wp:wrapNone/>
                      <wp:docPr id="2" name="椭圆 2"/>
                      <wp:cNvGraphicFramePr/>
                      <a:graphic xmlns:a="http://schemas.openxmlformats.org/drawingml/2006/main">
                        <a:graphicData uri="http://schemas.microsoft.com/office/word/2010/wordprocessingShape">
                          <wps:wsp>
                            <wps:cNvSpPr/>
                            <wps:spPr>
                              <a:xfrm>
                                <a:off x="0" y="0"/>
                                <a:ext cx="123825" cy="114300"/>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35.5pt;margin-top:212.25pt;height:9pt;width:9.75pt;z-index:251686912;v-text-anchor:middle;mso-width-relative:page;mso-height-relative:page;" fillcolor="#FFFF00" filled="t" stroked="t" coordsize="21600,21600" o:gfxdata="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J9a6jdwAAAALAQAADwAAAAAAAAABACAAAAAiAAAAZHJzL2Rvd25yZXYueG1sUEsBAhQA&#10;FAAAAAgAh07iQPLAiXRgAgAA3wQAAA4AAAAAAAAAAQAgAAAAKwEAAGRycy9lMm9Eb2MueG1sUEsF&#10;BgAAAAAGAAYAWQEAAP0FAAAAAA==&#10;">
                      <v:fill on="t" focussize="0,0"/>
                      <v:stroke weight="2pt" color="#FFFF00 [2404]" joinstyle="round"/>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85888" behindDoc="0" locked="0" layoutInCell="1" allowOverlap="1">
                      <wp:simplePos x="0" y="0"/>
                      <wp:positionH relativeFrom="column">
                        <wp:posOffset>3073400</wp:posOffset>
                      </wp:positionH>
                      <wp:positionV relativeFrom="paragraph">
                        <wp:posOffset>739775</wp:posOffset>
                      </wp:positionV>
                      <wp:extent cx="123825" cy="114300"/>
                      <wp:effectExtent l="12700" t="12700" r="15875" b="25400"/>
                      <wp:wrapNone/>
                      <wp:docPr id="99" name="椭圆 99"/>
                      <wp:cNvGraphicFramePr/>
                      <a:graphic xmlns:a="http://schemas.openxmlformats.org/drawingml/2006/main">
                        <a:graphicData uri="http://schemas.microsoft.com/office/word/2010/wordprocessingShape">
                          <wps:wsp>
                            <wps:cNvSpPr/>
                            <wps:spPr>
                              <a:xfrm>
                                <a:off x="0" y="0"/>
                                <a:ext cx="123825" cy="1143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2pt;margin-top:58.25pt;height:9pt;width:9.75pt;z-index:251685888;v-text-anchor:middle;mso-width-relative:page;mso-height-relative:page;" fillcolor="#FF0000" filled="t" stroked="t" coordsize="21600,21600" o:gfxdata="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zBQo81wAAAAsBAAAPAAAAAAAAAAEAIAAAACIAAABkcnMvZG93bnJldi54bWxQSwECFAAU&#10;AAAACACHTuJAE747NGQCAADhBAAADgAAAAAAAAABACAAAAAmAQAAZHJzL2Uyb0RvYy54bWxQSwUG&#10;AAAAAAYABgBZAQAA/AUAAAAA&#10;">
                      <v:fill on="t" focussize="0,0"/>
                      <v:stroke weight="2pt" color="#FF0000 [2404]" joinstyle="round"/>
                      <v:imagedata o:title=""/>
                      <o:lock v:ext="edit" aspectratio="f"/>
                    </v:shape>
                  </w:pict>
                </mc:Fallback>
              </mc:AlternateContent>
            </w:r>
            <w:r>
              <w:rPr>
                <w:rFonts w:hint="default"/>
                <w:color w:val="auto"/>
              </w:rPr>
              <w:drawing>
                <wp:anchor distT="0" distB="0" distL="114300" distR="114300" simplePos="0" relativeHeight="251668480" behindDoc="0" locked="0" layoutInCell="1" allowOverlap="1">
                  <wp:simplePos x="0" y="0"/>
                  <wp:positionH relativeFrom="column">
                    <wp:posOffset>4497705</wp:posOffset>
                  </wp:positionH>
                  <wp:positionV relativeFrom="paragraph">
                    <wp:posOffset>80645</wp:posOffset>
                  </wp:positionV>
                  <wp:extent cx="613410" cy="575945"/>
                  <wp:effectExtent l="0" t="0" r="15240" b="14605"/>
                  <wp:wrapNone/>
                  <wp:docPr id="1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
                          <pic:cNvPicPr>
                            <a:picLocks noChangeAspect="1"/>
                          </pic:cNvPicPr>
                        </pic:nvPicPr>
                        <pic:blipFill>
                          <a:blip r:embed="rId12"/>
                          <a:stretch>
                            <a:fillRect/>
                          </a:stretch>
                        </pic:blipFill>
                        <pic:spPr>
                          <a:xfrm>
                            <a:off x="0" y="0"/>
                            <a:ext cx="613410" cy="575945"/>
                          </a:xfrm>
                          <a:prstGeom prst="rect">
                            <a:avLst/>
                          </a:prstGeom>
                          <a:noFill/>
                          <a:ln>
                            <a:noFill/>
                          </a:ln>
                        </pic:spPr>
                      </pic:pic>
                    </a:graphicData>
                  </a:graphic>
                </wp:anchor>
              </w:drawing>
            </w:r>
            <w:r>
              <w:rPr>
                <w:rFonts w:hint="default" w:ascii="Times New Roman" w:hAnsi="Times New Roman" w:cs="Times New Roman"/>
                <w:sz w:val="24"/>
              </w:rPr>
              <mc:AlternateContent>
                <mc:Choice Requires="wps">
                  <w:drawing>
                    <wp:anchor distT="0" distB="0" distL="114300" distR="114300" simplePos="0" relativeHeight="251688960" behindDoc="0" locked="0" layoutInCell="1" allowOverlap="1">
                      <wp:simplePos x="0" y="0"/>
                      <wp:positionH relativeFrom="column">
                        <wp:posOffset>3968750</wp:posOffset>
                      </wp:positionH>
                      <wp:positionV relativeFrom="paragraph">
                        <wp:posOffset>2692400</wp:posOffset>
                      </wp:positionV>
                      <wp:extent cx="123825" cy="114300"/>
                      <wp:effectExtent l="12700" t="12700" r="15875" b="25400"/>
                      <wp:wrapNone/>
                      <wp:docPr id="9" name="椭圆 9"/>
                      <wp:cNvGraphicFramePr/>
                      <a:graphic xmlns:a="http://schemas.openxmlformats.org/drawingml/2006/main">
                        <a:graphicData uri="http://schemas.microsoft.com/office/word/2010/wordprocessingShape">
                          <wps:wsp>
                            <wps:cNvSpPr/>
                            <wps:spPr>
                              <a:xfrm>
                                <a:off x="0" y="0"/>
                                <a:ext cx="123825" cy="1143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2.5pt;margin-top:212pt;height:9pt;width:9.75pt;z-index:251688960;v-text-anchor:middle;mso-width-relative:page;mso-height-relative:page;" fillcolor="#FF0000" filled="t" stroked="t" coordsize="21600,21600" o:gfxdata="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LdDuNfXAAAACwEAAA8AAAAAAAAAAQAgAAAAIgAAAGRycy9kb3ducmV2LnhtbFBLAQIUABQA&#10;AAAIAIdO4kBM6PSEYwIAAN8EAAAOAAAAAAAAAAEAIAAAACYBAABkcnMvZTJvRG9jLnhtbFBLBQYA&#10;AAAABgAGAFkBAAD7BQAAAAA=&#10;">
                      <v:fill on="t" focussize="0,0"/>
                      <v:stroke weight="2pt" color="#FF0000 [2404]" joinstyle="round"/>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87936" behindDoc="0" locked="0" layoutInCell="1" allowOverlap="1">
                      <wp:simplePos x="0" y="0"/>
                      <wp:positionH relativeFrom="column">
                        <wp:posOffset>3968750</wp:posOffset>
                      </wp:positionH>
                      <wp:positionV relativeFrom="paragraph">
                        <wp:posOffset>2905125</wp:posOffset>
                      </wp:positionV>
                      <wp:extent cx="123825" cy="114300"/>
                      <wp:effectExtent l="12700" t="12700" r="15875" b="25400"/>
                      <wp:wrapNone/>
                      <wp:docPr id="5" name="椭圆 5"/>
                      <wp:cNvGraphicFramePr/>
                      <a:graphic xmlns:a="http://schemas.openxmlformats.org/drawingml/2006/main">
                        <a:graphicData uri="http://schemas.microsoft.com/office/word/2010/wordprocessingShape">
                          <wps:wsp>
                            <wps:cNvSpPr/>
                            <wps:spPr>
                              <a:xfrm>
                                <a:off x="0" y="0"/>
                                <a:ext cx="123825" cy="114300"/>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2.5pt;margin-top:228.75pt;height:9pt;width:9.75pt;z-index:251687936;v-text-anchor:middle;mso-width-relative:page;mso-height-relative:page;" fillcolor="#FFFF00" filled="t" stroked="t" coordsize="21600,21600" o:gfxdata="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ZLSyFNwAAAALAQAADwAAAAAAAAABACAAAAAiAAAAZHJzL2Rvd25yZXYueG1sUEsBAhQA&#10;FAAAAAgAh07iQOdLNmRgAgAA3wQAAA4AAAAAAAAAAQAgAAAAKwEAAGRycy9lMm9Eb2MueG1sUEsF&#10;BgAAAAAGAAYAWQEAAP0FAAAAAA==&#10;">
                      <v:fill on="t" focussize="0,0"/>
                      <v:stroke weight="2pt" color="#FFFF00 [2404]" joinstyle="round"/>
                      <v:imagedata o:title=""/>
                      <o:lock v:ext="edit" aspectratio="f"/>
                    </v:shape>
                  </w:pict>
                </mc:Fallback>
              </mc:AlternateContent>
            </w:r>
            <w:r>
              <w:rPr>
                <w:rFonts w:hint="default"/>
                <w:color w:val="auto"/>
                <w:sz w:val="21"/>
                <w:szCs w:val="21"/>
                <w:highlight w:val="none"/>
              </w:rPr>
              <mc:AlternateContent>
                <mc:Choice Requires="wps">
                  <w:drawing>
                    <wp:anchor distT="0" distB="0" distL="114300" distR="114300" simplePos="0" relativeHeight="251664384" behindDoc="0" locked="0" layoutInCell="1" allowOverlap="1">
                      <wp:simplePos x="0" y="0"/>
                      <wp:positionH relativeFrom="column">
                        <wp:posOffset>3903980</wp:posOffset>
                      </wp:positionH>
                      <wp:positionV relativeFrom="paragraph">
                        <wp:posOffset>2414905</wp:posOffset>
                      </wp:positionV>
                      <wp:extent cx="1159510" cy="882015"/>
                      <wp:effectExtent l="5080" t="5080" r="16510" b="8255"/>
                      <wp:wrapNone/>
                      <wp:docPr id="34" name="文本框 34"/>
                      <wp:cNvGraphicFramePr/>
                      <a:graphic xmlns:a="http://schemas.openxmlformats.org/drawingml/2006/main">
                        <a:graphicData uri="http://schemas.microsoft.com/office/word/2010/wordprocessingShape">
                          <wps:wsp>
                            <wps:cNvSpPr txBox="1"/>
                            <wps:spPr>
                              <a:xfrm>
                                <a:off x="0" y="0"/>
                                <a:ext cx="1159510" cy="8820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1168734">
                                  <w:pPr>
                                    <w:jc w:val="center"/>
                                    <w:rPr>
                                      <w:rFonts w:hint="eastAsia"/>
                                      <w:b/>
                                      <w:bCs/>
                                      <w:lang w:val="en-US" w:eastAsia="zh-CN"/>
                                    </w:rPr>
                                  </w:pPr>
                                  <w:r>
                                    <w:rPr>
                                      <w:rFonts w:hint="eastAsia"/>
                                      <w:b/>
                                      <w:bCs/>
                                      <w:lang w:val="en-US" w:eastAsia="zh-CN"/>
                                    </w:rPr>
                                    <w:t>图例</w:t>
                                  </w:r>
                                </w:p>
                                <w:p w14:paraId="3D06AC01">
                                  <w:pPr>
                                    <w:ind w:firstLine="210" w:firstLineChars="100"/>
                                    <w:jc w:val="both"/>
                                    <w:rPr>
                                      <w:rFonts w:hint="default"/>
                                      <w:lang w:val="en-US" w:eastAsia="zh-CN"/>
                                    </w:rPr>
                                  </w:pPr>
                                  <w:r>
                                    <w:rPr>
                                      <w:rFonts w:hint="eastAsia"/>
                                      <w:lang w:val="en-US" w:eastAsia="zh-CN"/>
                                    </w:rPr>
                                    <w:t>本项目位置</w:t>
                                  </w:r>
                                </w:p>
                                <w:p w14:paraId="1C83FF69">
                                  <w:pPr>
                                    <w:ind w:firstLine="210" w:firstLineChars="100"/>
                                    <w:jc w:val="both"/>
                                    <w:rPr>
                                      <w:rFonts w:hint="eastAsia"/>
                                      <w:lang w:val="en-US" w:eastAsia="zh-CN"/>
                                    </w:rPr>
                                  </w:pPr>
                                  <w:r>
                                    <w:rPr>
                                      <w:rFonts w:hint="eastAsia"/>
                                      <w:lang w:val="en-US" w:eastAsia="zh-CN"/>
                                    </w:rPr>
                                    <w:t>引用项目位置</w:t>
                                  </w:r>
                                </w:p>
                                <w:p w14:paraId="41F68AE0">
                                  <w:pPr>
                                    <w:jc w:val="both"/>
                                    <w:rPr>
                                      <w:rFonts w:hint="default"/>
                                      <w:lang w:val="en-US" w:eastAsia="zh-CN"/>
                                    </w:rPr>
                                  </w:pPr>
                                  <w:r>
                                    <w:rPr>
                                      <w:rFonts w:hint="eastAsia"/>
                                      <w:lang w:val="en-US" w:eastAsia="zh-CN"/>
                                    </w:rPr>
                                    <w:t>比例尺：1：18055</w:t>
                                  </w:r>
                                </w:p>
                              </w:txbxContent>
                            </wps:txbx>
                            <wps:bodyPr upright="1"/>
                          </wps:wsp>
                        </a:graphicData>
                      </a:graphic>
                    </wp:anchor>
                  </w:drawing>
                </mc:Choice>
                <mc:Fallback>
                  <w:pict>
                    <v:shape id="_x0000_s1026" o:spid="_x0000_s1026" o:spt="202" type="#_x0000_t202" style="position:absolute;left:0pt;margin-left:307.4pt;margin-top:190.15pt;height:69.45pt;width:91.3pt;z-index:251664384;mso-width-relative:page;mso-height-relative:page;" fillcolor="#FFFFFF" filled="t" stroked="t" coordsize="21600,21600" o:gfxdata="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lobQdtoAAAALAQAADwAAAAAAAAABACAA&#10;AAAiAAAAZHJzL2Rvd25yZXYueG1sUEsBAhQAFAAAAAgAh07iQGW7mI4LAgAAOAQAAA4AAAAAAAAA&#10;AQAgAAAAKQEAAGRycy9lMm9Eb2MueG1sUEsFBgAAAAAGAAYAWQEAAKYFAAAAAA==&#10;">
                      <v:fill on="t" focussize="0,0"/>
                      <v:stroke color="#000000" joinstyle="miter"/>
                      <v:imagedata o:title=""/>
                      <o:lock v:ext="edit" aspectratio="f"/>
                      <v:textbox>
                        <w:txbxContent>
                          <w:p w14:paraId="41168734">
                            <w:pPr>
                              <w:jc w:val="center"/>
                              <w:rPr>
                                <w:rFonts w:hint="eastAsia"/>
                                <w:b/>
                                <w:bCs/>
                                <w:lang w:val="en-US" w:eastAsia="zh-CN"/>
                              </w:rPr>
                            </w:pPr>
                            <w:r>
                              <w:rPr>
                                <w:rFonts w:hint="eastAsia"/>
                                <w:b/>
                                <w:bCs/>
                                <w:lang w:val="en-US" w:eastAsia="zh-CN"/>
                              </w:rPr>
                              <w:t>图例</w:t>
                            </w:r>
                          </w:p>
                          <w:p w14:paraId="3D06AC01">
                            <w:pPr>
                              <w:ind w:firstLine="210" w:firstLineChars="100"/>
                              <w:jc w:val="both"/>
                              <w:rPr>
                                <w:rFonts w:hint="default"/>
                                <w:lang w:val="en-US" w:eastAsia="zh-CN"/>
                              </w:rPr>
                            </w:pPr>
                            <w:r>
                              <w:rPr>
                                <w:rFonts w:hint="eastAsia"/>
                                <w:lang w:val="en-US" w:eastAsia="zh-CN"/>
                              </w:rPr>
                              <w:t>本项目位置</w:t>
                            </w:r>
                          </w:p>
                          <w:p w14:paraId="1C83FF69">
                            <w:pPr>
                              <w:ind w:firstLine="210" w:firstLineChars="100"/>
                              <w:jc w:val="both"/>
                              <w:rPr>
                                <w:rFonts w:hint="eastAsia"/>
                                <w:lang w:val="en-US" w:eastAsia="zh-CN"/>
                              </w:rPr>
                            </w:pPr>
                            <w:r>
                              <w:rPr>
                                <w:rFonts w:hint="eastAsia"/>
                                <w:lang w:val="en-US" w:eastAsia="zh-CN"/>
                              </w:rPr>
                              <w:t>引用项目位置</w:t>
                            </w:r>
                          </w:p>
                          <w:p w14:paraId="41F68AE0">
                            <w:pPr>
                              <w:jc w:val="both"/>
                              <w:rPr>
                                <w:rFonts w:hint="default"/>
                                <w:lang w:val="en-US" w:eastAsia="zh-CN"/>
                              </w:rPr>
                            </w:pPr>
                            <w:r>
                              <w:rPr>
                                <w:rFonts w:hint="eastAsia"/>
                                <w:lang w:val="en-US" w:eastAsia="zh-CN"/>
                              </w:rPr>
                              <w:t>比例尺：1：18055</w:t>
                            </w:r>
                          </w:p>
                        </w:txbxContent>
                      </v:textbox>
                    </v:shape>
                  </w:pict>
                </mc:Fallback>
              </mc:AlternateContent>
            </w:r>
            <w:r>
              <w:rPr>
                <w:rFonts w:hint="default"/>
              </w:rPr>
              <w:drawing>
                <wp:inline distT="0" distB="0" distL="114300" distR="114300">
                  <wp:extent cx="5123815" cy="3239770"/>
                  <wp:effectExtent l="0" t="0" r="635" b="17780"/>
                  <wp:docPr id="87" name="图片 10"/>
                  <wp:cNvGraphicFramePr/>
                  <a:graphic xmlns:a="http://schemas.openxmlformats.org/drawingml/2006/main">
                    <a:graphicData uri="http://schemas.openxmlformats.org/drawingml/2006/picture">
                      <pic:pic xmlns:pic="http://schemas.openxmlformats.org/drawingml/2006/picture">
                        <pic:nvPicPr>
                          <pic:cNvPr id="87" name="图片 10"/>
                          <pic:cNvPicPr/>
                        </pic:nvPicPr>
                        <pic:blipFill>
                          <a:blip r:embed="rId13"/>
                          <a:stretch>
                            <a:fillRect/>
                          </a:stretch>
                        </pic:blipFill>
                        <pic:spPr>
                          <a:xfrm>
                            <a:off x="0" y="0"/>
                            <a:ext cx="5123815" cy="3239770"/>
                          </a:xfrm>
                          <a:prstGeom prst="rect">
                            <a:avLst/>
                          </a:prstGeom>
                          <a:noFill/>
                          <a:ln>
                            <a:noFill/>
                          </a:ln>
                        </pic:spPr>
                      </pic:pic>
                    </a:graphicData>
                  </a:graphic>
                </wp:inline>
              </w:drawing>
            </w:r>
          </w:p>
          <w:p w14:paraId="0FB7721E">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kern w:val="0"/>
                <w:highlight w:val="none"/>
                <w:lang w:val="en-US" w:eastAsia="zh-CN"/>
              </w:rPr>
            </w:pPr>
            <w:r>
              <w:rPr>
                <w:rFonts w:hint="default" w:ascii="Times New Roman" w:hAnsi="Times New Roman" w:cs="Times New Roman"/>
                <w:b/>
                <w:color w:val="auto"/>
                <w:kern w:val="0"/>
                <w:highlight w:val="none"/>
              </w:rPr>
              <w:t>图3-</w:t>
            </w:r>
            <w:r>
              <w:rPr>
                <w:rFonts w:hint="default" w:ascii="Times New Roman" w:hAnsi="Times New Roman" w:cs="Times New Roman"/>
                <w:b/>
                <w:color w:val="auto"/>
                <w:kern w:val="0"/>
                <w:highlight w:val="none"/>
                <w:lang w:val="en-US" w:eastAsia="zh-CN"/>
              </w:rPr>
              <w:t>1</w:t>
            </w:r>
            <w:r>
              <w:rPr>
                <w:rFonts w:hint="eastAsia" w:cs="Times New Roman"/>
                <w:b/>
                <w:color w:val="auto"/>
                <w:kern w:val="0"/>
                <w:highlight w:val="none"/>
                <w:lang w:val="en-US" w:eastAsia="zh-CN"/>
              </w:rPr>
              <w:t xml:space="preserve"> 引用项目与本项目位置关系图</w:t>
            </w:r>
          </w:p>
          <w:p w14:paraId="4F503991">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监测点基本信息见表3-</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，评价结果见表3-</w:t>
            </w:r>
            <w:r>
              <w:rPr>
                <w:rFonts w:hint="default" w:ascii="Times New Roman" w:hAnsi="Times New Roman" w:cs="Times New Roman"/>
                <w:color w:val="auto"/>
                <w:highlight w:val="none"/>
                <w:lang w:val="en-US" w:eastAsia="zh-CN"/>
              </w:rPr>
              <w:t>3</w:t>
            </w:r>
            <w:r>
              <w:rPr>
                <w:rFonts w:hint="eastAsia" w:ascii="Times New Roman" w:hAnsi="Times New Roman" w:cs="Times New Roman"/>
                <w:color w:val="auto"/>
                <w:highlight w:val="none"/>
                <w:lang w:val="en-US" w:eastAsia="zh-CN"/>
              </w:rPr>
              <w:t>。</w:t>
            </w:r>
          </w:p>
          <w:p w14:paraId="4D350F1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表3-</w:t>
            </w:r>
            <w:r>
              <w:rPr>
                <w:rFonts w:hint="default" w:ascii="Times New Roman" w:hAnsi="Times New Roman" w:cs="Times New Roman"/>
                <w:b/>
                <w:bCs/>
                <w:color w:val="auto"/>
                <w:kern w:val="0"/>
                <w:szCs w:val="21"/>
                <w:highlight w:val="none"/>
                <w:lang w:val="en-US" w:eastAsia="zh-CN"/>
              </w:rPr>
              <w:t>2</w:t>
            </w:r>
            <w:r>
              <w:rPr>
                <w:rFonts w:hint="default" w:ascii="Times New Roman" w:hAnsi="Times New Roman" w:cs="Times New Roman"/>
                <w:b/>
                <w:bCs/>
                <w:color w:val="auto"/>
                <w:kern w:val="0"/>
                <w:szCs w:val="21"/>
                <w:highlight w:val="none"/>
              </w:rPr>
              <w:t xml:space="preserve"> 监测点基本信息表</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1589"/>
              <w:gridCol w:w="1047"/>
              <w:gridCol w:w="1294"/>
              <w:gridCol w:w="1356"/>
              <w:gridCol w:w="1583"/>
            </w:tblGrid>
            <w:tr w14:paraId="5228EF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tcBorders>
                    <w:top w:val="single" w:color="auto" w:sz="12" w:space="0"/>
                    <w:bottom w:val="single" w:color="auto" w:sz="4" w:space="0"/>
                    <w:right w:val="single" w:color="auto" w:sz="4" w:space="0"/>
                  </w:tcBorders>
                  <w:noWrap w:val="0"/>
                  <w:vAlign w:val="center"/>
                </w:tcPr>
                <w:p w14:paraId="354C12A6">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名称</w:t>
                  </w:r>
                </w:p>
              </w:tc>
              <w:tc>
                <w:tcPr>
                  <w:tcW w:w="1582" w:type="dxa"/>
                  <w:tcBorders>
                    <w:top w:val="single" w:color="auto" w:sz="12" w:space="0"/>
                    <w:left w:val="single" w:color="auto" w:sz="4" w:space="0"/>
                    <w:bottom w:val="single" w:color="auto" w:sz="4" w:space="0"/>
                    <w:right w:val="single" w:color="auto" w:sz="4" w:space="0"/>
                  </w:tcBorders>
                  <w:noWrap w:val="0"/>
                  <w:vAlign w:val="center"/>
                </w:tcPr>
                <w:p w14:paraId="157FC0D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坐标</w:t>
                  </w:r>
                </w:p>
              </w:tc>
              <w:tc>
                <w:tcPr>
                  <w:tcW w:w="1042" w:type="dxa"/>
                  <w:tcBorders>
                    <w:top w:val="single" w:color="auto" w:sz="12" w:space="0"/>
                    <w:left w:val="single" w:color="auto" w:sz="4" w:space="0"/>
                    <w:bottom w:val="single" w:color="auto" w:sz="4" w:space="0"/>
                    <w:right w:val="single" w:color="auto" w:sz="4" w:space="0"/>
                  </w:tcBorders>
                  <w:noWrap w:val="0"/>
                  <w:vAlign w:val="center"/>
                </w:tcPr>
                <w:p w14:paraId="4A2EF9F9">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监测因子</w:t>
                  </w:r>
                </w:p>
              </w:tc>
              <w:tc>
                <w:tcPr>
                  <w:tcW w:w="1288" w:type="dxa"/>
                  <w:tcBorders>
                    <w:top w:val="single" w:color="auto" w:sz="12" w:space="0"/>
                    <w:left w:val="single" w:color="auto" w:sz="4" w:space="0"/>
                    <w:bottom w:val="single" w:color="auto" w:sz="4" w:space="0"/>
                    <w:right w:val="single" w:color="auto" w:sz="4" w:space="0"/>
                  </w:tcBorders>
                  <w:noWrap w:val="0"/>
                  <w:vAlign w:val="center"/>
                </w:tcPr>
                <w:p w14:paraId="1654896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监测时段</w:t>
                  </w:r>
                </w:p>
              </w:tc>
              <w:tc>
                <w:tcPr>
                  <w:tcW w:w="1350" w:type="dxa"/>
                  <w:tcBorders>
                    <w:top w:val="single" w:color="auto" w:sz="12" w:space="0"/>
                    <w:left w:val="single" w:color="auto" w:sz="4" w:space="0"/>
                    <w:bottom w:val="single" w:color="auto" w:sz="4" w:space="0"/>
                    <w:right w:val="single" w:color="auto" w:sz="4" w:space="0"/>
                  </w:tcBorders>
                  <w:noWrap w:val="0"/>
                  <w:vAlign w:val="center"/>
                </w:tcPr>
                <w:p w14:paraId="36BA31AC">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相对厂址方位</w:t>
                  </w:r>
                </w:p>
              </w:tc>
              <w:tc>
                <w:tcPr>
                  <w:tcW w:w="1576" w:type="dxa"/>
                  <w:tcBorders>
                    <w:top w:val="single" w:color="auto" w:sz="12" w:space="0"/>
                    <w:left w:val="single" w:color="auto" w:sz="4" w:space="0"/>
                    <w:bottom w:val="single" w:color="auto" w:sz="4" w:space="0"/>
                  </w:tcBorders>
                  <w:noWrap w:val="0"/>
                  <w:vAlign w:val="center"/>
                </w:tcPr>
                <w:p w14:paraId="2D3CA23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相对厂界距离/m</w:t>
                  </w:r>
                </w:p>
              </w:tc>
            </w:tr>
            <w:tr w14:paraId="2CC7E1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97" w:type="dxa"/>
                  <w:tcBorders>
                    <w:top w:val="single" w:color="auto" w:sz="4" w:space="0"/>
                    <w:bottom w:val="single" w:color="auto" w:sz="12" w:space="0"/>
                    <w:right w:val="single" w:color="auto" w:sz="4" w:space="0"/>
                  </w:tcBorders>
                  <w:noWrap w:val="0"/>
                  <w:vAlign w:val="center"/>
                </w:tcPr>
                <w:p w14:paraId="3D04CD0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当季主导风向厂区下风向100米处</w:t>
                  </w:r>
                </w:p>
              </w:tc>
              <w:tc>
                <w:tcPr>
                  <w:tcW w:w="1582" w:type="dxa"/>
                  <w:tcBorders>
                    <w:top w:val="single" w:color="auto" w:sz="4" w:space="0"/>
                    <w:left w:val="single" w:color="auto" w:sz="4" w:space="0"/>
                    <w:bottom w:val="single" w:color="auto" w:sz="12" w:space="0"/>
                    <w:right w:val="single" w:color="auto" w:sz="4" w:space="0"/>
                  </w:tcBorders>
                  <w:noWrap w:val="0"/>
                  <w:vAlign w:val="center"/>
                </w:tcPr>
                <w:p w14:paraId="3F383CE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131.256269</w:t>
                  </w:r>
                </w:p>
                <w:p w14:paraId="514B854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45.299291</w:t>
                  </w:r>
                </w:p>
              </w:tc>
              <w:tc>
                <w:tcPr>
                  <w:tcW w:w="1042" w:type="dxa"/>
                  <w:tcBorders>
                    <w:top w:val="single" w:color="auto" w:sz="4" w:space="0"/>
                    <w:left w:val="single" w:color="auto" w:sz="4" w:space="0"/>
                    <w:bottom w:val="single" w:color="auto" w:sz="12" w:space="0"/>
                    <w:right w:val="single" w:color="auto" w:sz="4" w:space="0"/>
                  </w:tcBorders>
                  <w:noWrap w:val="0"/>
                  <w:vAlign w:val="center"/>
                </w:tcPr>
                <w:p w14:paraId="6E3364AA">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TSP</w:t>
                  </w:r>
                </w:p>
              </w:tc>
              <w:tc>
                <w:tcPr>
                  <w:tcW w:w="1288" w:type="dxa"/>
                  <w:tcBorders>
                    <w:top w:val="single" w:color="auto" w:sz="4" w:space="0"/>
                    <w:left w:val="single" w:color="auto" w:sz="4" w:space="0"/>
                    <w:bottom w:val="single" w:color="auto" w:sz="12" w:space="0"/>
                    <w:right w:val="single" w:color="auto" w:sz="4" w:space="0"/>
                  </w:tcBorders>
                  <w:noWrap w:val="0"/>
                  <w:vAlign w:val="center"/>
                </w:tcPr>
                <w:p w14:paraId="40C13C1D">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24小时平均</w:t>
                  </w:r>
                </w:p>
              </w:tc>
              <w:tc>
                <w:tcPr>
                  <w:tcW w:w="1350" w:type="dxa"/>
                  <w:tcBorders>
                    <w:top w:val="single" w:color="auto" w:sz="4" w:space="0"/>
                    <w:left w:val="single" w:color="auto" w:sz="4" w:space="0"/>
                    <w:bottom w:val="single" w:color="auto" w:sz="12" w:space="0"/>
                    <w:right w:val="single" w:color="auto" w:sz="4" w:space="0"/>
                  </w:tcBorders>
                  <w:noWrap w:val="0"/>
                  <w:vAlign w:val="center"/>
                </w:tcPr>
                <w:p w14:paraId="2278F19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西南</w:t>
                  </w:r>
                </w:p>
              </w:tc>
              <w:tc>
                <w:tcPr>
                  <w:tcW w:w="1576" w:type="dxa"/>
                  <w:tcBorders>
                    <w:top w:val="single" w:color="auto" w:sz="4" w:space="0"/>
                    <w:left w:val="single" w:color="auto" w:sz="4" w:space="0"/>
                    <w:bottom w:val="single" w:color="auto" w:sz="12" w:space="0"/>
                  </w:tcBorders>
                  <w:noWrap w:val="0"/>
                  <w:vAlign w:val="center"/>
                </w:tcPr>
                <w:p w14:paraId="36FAD79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2800</w:t>
                  </w:r>
                </w:p>
              </w:tc>
            </w:tr>
          </w:tbl>
          <w:p w14:paraId="3FE13112">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cs="Times New Roman"/>
                <w:color w:val="auto"/>
                <w:highlight w:val="none"/>
              </w:rPr>
            </w:pPr>
          </w:p>
          <w:p w14:paraId="5F565FF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表3-</w:t>
            </w:r>
            <w:r>
              <w:rPr>
                <w:rFonts w:hint="default" w:ascii="Times New Roman" w:hAnsi="Times New Roman" w:cs="Times New Roman"/>
                <w:b/>
                <w:bCs/>
                <w:color w:val="auto"/>
                <w:kern w:val="0"/>
                <w:szCs w:val="21"/>
                <w:highlight w:val="none"/>
                <w:lang w:val="en-US" w:eastAsia="zh-CN"/>
              </w:rPr>
              <w:t>3</w:t>
            </w:r>
            <w:r>
              <w:rPr>
                <w:rFonts w:hint="eastAsia" w:cs="Times New Roman"/>
                <w:b/>
                <w:bCs/>
                <w:color w:val="auto"/>
                <w:kern w:val="0"/>
                <w:szCs w:val="21"/>
                <w:highlight w:val="none"/>
                <w:lang w:val="en-US" w:eastAsia="zh-CN"/>
              </w:rPr>
              <w:t xml:space="preserve"> </w:t>
            </w:r>
            <w:r>
              <w:rPr>
                <w:rFonts w:hint="default" w:ascii="Times New Roman" w:hAnsi="Times New Roman" w:cs="Times New Roman"/>
                <w:b/>
                <w:bCs/>
                <w:color w:val="auto"/>
                <w:kern w:val="0"/>
                <w:szCs w:val="21"/>
                <w:highlight w:val="none"/>
              </w:rPr>
              <w:t>监测结果</w:t>
            </w:r>
          </w:p>
          <w:tbl>
            <w:tblPr>
              <w:tblStyle w:val="3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6"/>
              <w:gridCol w:w="919"/>
              <w:gridCol w:w="1175"/>
              <w:gridCol w:w="1595"/>
              <w:gridCol w:w="1331"/>
              <w:gridCol w:w="991"/>
              <w:gridCol w:w="943"/>
            </w:tblGrid>
            <w:tr w14:paraId="09FA12D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tcBorders>
                    <w:top w:val="single" w:color="auto" w:sz="12" w:space="0"/>
                  </w:tcBorders>
                  <w:noWrap w:val="0"/>
                  <w:vAlign w:val="center"/>
                </w:tcPr>
                <w:p w14:paraId="5B1B0522">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名称</w:t>
                  </w:r>
                </w:p>
              </w:tc>
              <w:tc>
                <w:tcPr>
                  <w:tcW w:w="915" w:type="dxa"/>
                  <w:tcBorders>
                    <w:top w:val="single" w:color="auto" w:sz="12" w:space="0"/>
                  </w:tcBorders>
                  <w:noWrap w:val="0"/>
                  <w:vAlign w:val="center"/>
                </w:tcPr>
                <w:p w14:paraId="1CDAD75C">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污染物</w:t>
                  </w:r>
                </w:p>
              </w:tc>
              <w:tc>
                <w:tcPr>
                  <w:tcW w:w="1170" w:type="dxa"/>
                  <w:tcBorders>
                    <w:top w:val="single" w:color="auto" w:sz="12" w:space="0"/>
                  </w:tcBorders>
                  <w:noWrap w:val="0"/>
                  <w:vAlign w:val="center"/>
                </w:tcPr>
                <w:p w14:paraId="54D0B11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评价标准（</w:t>
                  </w:r>
                  <w:r>
                    <w:rPr>
                      <w:rFonts w:hint="eastAsia" w:cs="Times New Roman"/>
                      <w:color w:val="auto"/>
                      <w:kern w:val="0"/>
                      <w:sz w:val="18"/>
                      <w:szCs w:val="18"/>
                      <w:highlight w:val="none"/>
                      <w:lang w:val="en-US" w:eastAsia="zh-CN"/>
                    </w:rPr>
                    <w:t>mg</w:t>
                  </w:r>
                  <w:r>
                    <w:rPr>
                      <w:rFonts w:hint="default" w:ascii="Times New Roman" w:hAnsi="Times New Roman" w:cs="Times New Roman"/>
                      <w:color w:val="auto"/>
                      <w:kern w:val="0"/>
                      <w:sz w:val="18"/>
                      <w:szCs w:val="18"/>
                      <w:highlight w:val="none"/>
                    </w:rPr>
                    <w:t>/m</w:t>
                  </w:r>
                  <w:r>
                    <w:rPr>
                      <w:rFonts w:hint="default" w:ascii="Times New Roman" w:hAnsi="Times New Roman" w:cs="Times New Roman"/>
                      <w:color w:val="auto"/>
                      <w:kern w:val="0"/>
                      <w:sz w:val="18"/>
                      <w:szCs w:val="18"/>
                      <w:highlight w:val="none"/>
                      <w:vertAlign w:val="superscript"/>
                    </w:rPr>
                    <w:t>3</w:t>
                  </w:r>
                  <w:r>
                    <w:rPr>
                      <w:rFonts w:hint="default" w:ascii="Times New Roman" w:hAnsi="Times New Roman" w:cs="Times New Roman"/>
                      <w:color w:val="auto"/>
                      <w:kern w:val="0"/>
                      <w:sz w:val="18"/>
                      <w:szCs w:val="18"/>
                      <w:highlight w:val="none"/>
                    </w:rPr>
                    <w:t>）</w:t>
                  </w:r>
                </w:p>
              </w:tc>
              <w:tc>
                <w:tcPr>
                  <w:tcW w:w="1588" w:type="dxa"/>
                  <w:tcBorders>
                    <w:top w:val="single" w:color="auto" w:sz="12" w:space="0"/>
                  </w:tcBorders>
                  <w:noWrap w:val="0"/>
                  <w:vAlign w:val="center"/>
                </w:tcPr>
                <w:p w14:paraId="7AE56BB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浓度范围（</w:t>
                  </w:r>
                  <w:r>
                    <w:rPr>
                      <w:rFonts w:hint="eastAsia" w:cs="Times New Roman"/>
                      <w:color w:val="auto"/>
                      <w:kern w:val="0"/>
                      <w:sz w:val="18"/>
                      <w:szCs w:val="18"/>
                      <w:highlight w:val="none"/>
                      <w:lang w:val="en-US" w:eastAsia="zh-CN"/>
                    </w:rPr>
                    <w:t>mg</w:t>
                  </w:r>
                  <w:r>
                    <w:rPr>
                      <w:rFonts w:hint="default" w:ascii="Times New Roman" w:hAnsi="Times New Roman" w:cs="Times New Roman"/>
                      <w:color w:val="auto"/>
                      <w:kern w:val="0"/>
                      <w:sz w:val="18"/>
                      <w:szCs w:val="18"/>
                      <w:highlight w:val="none"/>
                    </w:rPr>
                    <w:t>/m</w:t>
                  </w:r>
                  <w:r>
                    <w:rPr>
                      <w:rFonts w:hint="default" w:ascii="Times New Roman" w:hAnsi="Times New Roman" w:cs="Times New Roman"/>
                      <w:color w:val="auto"/>
                      <w:kern w:val="0"/>
                      <w:sz w:val="18"/>
                      <w:szCs w:val="18"/>
                      <w:highlight w:val="none"/>
                      <w:vertAlign w:val="superscript"/>
                    </w:rPr>
                    <w:t>3</w:t>
                  </w:r>
                  <w:r>
                    <w:rPr>
                      <w:rFonts w:hint="default" w:ascii="Times New Roman" w:hAnsi="Times New Roman" w:cs="Times New Roman"/>
                      <w:color w:val="auto"/>
                      <w:kern w:val="0"/>
                      <w:sz w:val="18"/>
                      <w:szCs w:val="18"/>
                      <w:highlight w:val="none"/>
                    </w:rPr>
                    <w:t>）</w:t>
                  </w:r>
                </w:p>
              </w:tc>
              <w:tc>
                <w:tcPr>
                  <w:tcW w:w="1325" w:type="dxa"/>
                  <w:tcBorders>
                    <w:top w:val="single" w:color="auto" w:sz="12" w:space="0"/>
                  </w:tcBorders>
                  <w:noWrap w:val="0"/>
                  <w:vAlign w:val="center"/>
                </w:tcPr>
                <w:p w14:paraId="4F6E4B5F">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最大占标率%</w:t>
                  </w:r>
                </w:p>
              </w:tc>
              <w:tc>
                <w:tcPr>
                  <w:tcW w:w="987" w:type="dxa"/>
                  <w:tcBorders>
                    <w:top w:val="single" w:color="auto" w:sz="12" w:space="0"/>
                  </w:tcBorders>
                  <w:noWrap w:val="0"/>
                  <w:vAlign w:val="center"/>
                </w:tcPr>
                <w:p w14:paraId="152D419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超标率%</w:t>
                  </w:r>
                </w:p>
              </w:tc>
              <w:tc>
                <w:tcPr>
                  <w:tcW w:w="939" w:type="dxa"/>
                  <w:tcBorders>
                    <w:top w:val="single" w:color="auto" w:sz="12" w:space="0"/>
                  </w:tcBorders>
                  <w:noWrap w:val="0"/>
                  <w:vAlign w:val="center"/>
                </w:tcPr>
                <w:p w14:paraId="29EA316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达标情况</w:t>
                  </w:r>
                </w:p>
              </w:tc>
            </w:tr>
            <w:tr w14:paraId="2897B9A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tcBorders>
                    <w:bottom w:val="single" w:color="auto" w:sz="12" w:space="0"/>
                  </w:tcBorders>
                  <w:noWrap w:val="0"/>
                  <w:vAlign w:val="center"/>
                </w:tcPr>
                <w:p w14:paraId="7AF10DE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当季主导风向厂区下风向100米处</w:t>
                  </w:r>
                </w:p>
              </w:tc>
              <w:tc>
                <w:tcPr>
                  <w:tcW w:w="915" w:type="dxa"/>
                  <w:tcBorders>
                    <w:bottom w:val="single" w:color="auto" w:sz="12" w:space="0"/>
                  </w:tcBorders>
                  <w:noWrap w:val="0"/>
                  <w:vAlign w:val="center"/>
                </w:tcPr>
                <w:p w14:paraId="4E755F3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TSP</w:t>
                  </w:r>
                </w:p>
              </w:tc>
              <w:tc>
                <w:tcPr>
                  <w:tcW w:w="1170" w:type="dxa"/>
                  <w:tcBorders>
                    <w:bottom w:val="single" w:color="auto" w:sz="12" w:space="0"/>
                  </w:tcBorders>
                  <w:noWrap w:val="0"/>
                  <w:vAlign w:val="center"/>
                </w:tcPr>
                <w:p w14:paraId="3A287BF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0.3</w:t>
                  </w:r>
                </w:p>
              </w:tc>
              <w:tc>
                <w:tcPr>
                  <w:tcW w:w="1588" w:type="dxa"/>
                  <w:tcBorders>
                    <w:bottom w:val="single" w:color="auto" w:sz="12" w:space="0"/>
                  </w:tcBorders>
                  <w:noWrap w:val="0"/>
                  <w:vAlign w:val="center"/>
                </w:tcPr>
                <w:p w14:paraId="1D37263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0.079-0.082</w:t>
                  </w:r>
                </w:p>
              </w:tc>
              <w:tc>
                <w:tcPr>
                  <w:tcW w:w="1325" w:type="dxa"/>
                  <w:tcBorders>
                    <w:bottom w:val="single" w:color="auto" w:sz="12" w:space="0"/>
                  </w:tcBorders>
                  <w:noWrap w:val="0"/>
                  <w:vAlign w:val="center"/>
                </w:tcPr>
                <w:p w14:paraId="4320137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27.3</w:t>
                  </w:r>
                </w:p>
              </w:tc>
              <w:tc>
                <w:tcPr>
                  <w:tcW w:w="987" w:type="dxa"/>
                  <w:tcBorders>
                    <w:bottom w:val="single" w:color="auto" w:sz="12" w:space="0"/>
                  </w:tcBorders>
                  <w:noWrap w:val="0"/>
                  <w:vAlign w:val="center"/>
                </w:tcPr>
                <w:p w14:paraId="73F8788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w:t>
                  </w:r>
                </w:p>
              </w:tc>
              <w:tc>
                <w:tcPr>
                  <w:tcW w:w="939" w:type="dxa"/>
                  <w:tcBorders>
                    <w:bottom w:val="single" w:color="auto" w:sz="12" w:space="0"/>
                  </w:tcBorders>
                  <w:noWrap w:val="0"/>
                  <w:vAlign w:val="center"/>
                </w:tcPr>
                <w:p w14:paraId="42843F2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bl>
          <w:p w14:paraId="54DB25BD">
            <w:pPr>
              <w:keepNext w:val="0"/>
              <w:keepLines w:val="0"/>
              <w:suppressLineNumbers w:val="0"/>
              <w:spacing w:before="0" w:beforeAutospacing="0" w:after="0" w:afterAutospacing="0" w:line="360" w:lineRule="auto"/>
              <w:ind w:left="0" w:right="0" w:firstLine="420" w:firstLineChars="200"/>
              <w:rPr>
                <w:rFonts w:hint="default" w:eastAsia="宋体"/>
                <w:color w:val="auto"/>
                <w:highlight w:val="none"/>
                <w:lang w:val="en-US" w:eastAsia="zh-CN"/>
              </w:rPr>
            </w:pPr>
            <w:r>
              <w:rPr>
                <w:rFonts w:hint="eastAsia" w:cs="Times New Roman"/>
                <w:color w:val="auto"/>
                <w:highlight w:val="none"/>
                <w:lang w:val="en-US" w:eastAsia="zh-CN"/>
              </w:rPr>
              <w:t>根据现状监测结果</w:t>
            </w:r>
            <w:r>
              <w:rPr>
                <w:rFonts w:hint="default" w:ascii="Times New Roman" w:hAnsi="Times New Roman" w:cs="Times New Roman"/>
                <w:color w:val="auto"/>
                <w:highlight w:val="none"/>
              </w:rPr>
              <w:t>，</w:t>
            </w:r>
            <w:r>
              <w:rPr>
                <w:rFonts w:hint="eastAsia" w:cs="Times New Roman"/>
                <w:color w:val="auto"/>
                <w:highlight w:val="none"/>
                <w:lang w:val="en-US" w:eastAsia="zh-CN"/>
              </w:rPr>
              <w:t>项目区域</w:t>
            </w:r>
            <w:r>
              <w:rPr>
                <w:rFonts w:hint="default" w:ascii="Times New Roman" w:hAnsi="Times New Roman" w:cs="Times New Roman"/>
                <w:color w:val="auto"/>
                <w:highlight w:val="none"/>
              </w:rPr>
              <w:t>TSP24小时平均浓度值</w:t>
            </w:r>
            <w:r>
              <w:rPr>
                <w:rFonts w:hint="eastAsia" w:cs="Times New Roman"/>
                <w:color w:val="auto"/>
                <w:highlight w:val="none"/>
                <w:lang w:val="en-US" w:eastAsia="zh-CN"/>
              </w:rPr>
              <w:t>满足</w:t>
            </w:r>
            <w:r>
              <w:rPr>
                <w:rFonts w:hint="default" w:ascii="Times New Roman" w:hAnsi="Times New Roman" w:cs="Times New Roman"/>
                <w:color w:val="auto"/>
                <w:highlight w:val="none"/>
              </w:rPr>
              <w:t>《环境空气质量标准》</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（GB3095-20</w:t>
            </w:r>
            <w:r>
              <w:rPr>
                <w:rFonts w:hint="eastAsia" w:cs="Times New Roman"/>
                <w:color w:val="auto"/>
                <w:highlight w:val="none"/>
                <w:lang w:val="en-US" w:eastAsia="zh-CN"/>
              </w:rPr>
              <w:t>26</w:t>
            </w:r>
            <w:r>
              <w:rPr>
                <w:rFonts w:hint="default" w:ascii="Times New Roman" w:hAnsi="Times New Roman" w:cs="Times New Roman"/>
                <w:color w:val="auto"/>
                <w:highlight w:val="none"/>
              </w:rPr>
              <w:t>）二级标准要求，区域环境空气质量</w:t>
            </w:r>
            <w:r>
              <w:rPr>
                <w:rFonts w:hint="eastAsia" w:cs="Times New Roman"/>
                <w:color w:val="auto"/>
                <w:highlight w:val="none"/>
                <w:lang w:val="en-US" w:eastAsia="zh-CN"/>
              </w:rPr>
              <w:t>良好。</w:t>
            </w:r>
          </w:p>
          <w:p w14:paraId="5838B4E1">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2、地表水环境</w:t>
            </w:r>
          </w:p>
          <w:p w14:paraId="7F91FC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FF0000"/>
                <w:sz w:val="21"/>
                <w:szCs w:val="21"/>
                <w:highlight w:val="none"/>
              </w:rPr>
            </w:pPr>
            <w:r>
              <w:rPr>
                <w:rFonts w:hint="default" w:ascii="Times New Roman" w:hAnsi="Times New Roman" w:cs="Times New Roman"/>
                <w:color w:val="FF0000"/>
                <w:kern w:val="0"/>
                <w:sz w:val="21"/>
                <w:szCs w:val="21"/>
                <w:highlight w:val="none"/>
              </w:rPr>
              <w:t>本项目</w:t>
            </w:r>
            <w:r>
              <w:rPr>
                <w:rFonts w:hint="eastAsia" w:cs="Times New Roman"/>
                <w:color w:val="FF0000"/>
                <w:kern w:val="0"/>
                <w:sz w:val="21"/>
                <w:szCs w:val="21"/>
                <w:highlight w:val="none"/>
                <w:lang w:val="en-US" w:eastAsia="zh-CN"/>
              </w:rPr>
              <w:t>附近地表</w:t>
            </w:r>
            <w:r>
              <w:rPr>
                <w:rFonts w:hint="default" w:ascii="Times New Roman" w:hAnsi="Times New Roman" w:cs="Times New Roman"/>
                <w:color w:val="FF0000"/>
                <w:kern w:val="0"/>
                <w:sz w:val="21"/>
                <w:szCs w:val="21"/>
                <w:highlight w:val="none"/>
              </w:rPr>
              <w:t>水体为</w:t>
            </w:r>
            <w:r>
              <w:rPr>
                <w:rFonts w:hint="eastAsia" w:cs="Times New Roman"/>
                <w:color w:val="FF0000"/>
                <w:kern w:val="0"/>
                <w:sz w:val="21"/>
                <w:szCs w:val="21"/>
                <w:highlight w:val="none"/>
                <w:lang w:val="en-US" w:eastAsia="zh-CN"/>
              </w:rPr>
              <w:t>东侧约160m处三新沟，三新沟最终向南汇入穆棱河</w:t>
            </w:r>
            <w:r>
              <w:rPr>
                <w:rFonts w:hint="default" w:ascii="Times New Roman" w:hAnsi="Times New Roman" w:eastAsia="宋体" w:cs="Times New Roman"/>
                <w:color w:val="FF0000"/>
                <w:sz w:val="21"/>
                <w:szCs w:val="21"/>
                <w:highlight w:val="none"/>
                <w:lang w:eastAsia="zh-CN"/>
              </w:rPr>
              <w:t>。根据</w:t>
            </w:r>
            <w:r>
              <w:rPr>
                <w:rFonts w:hint="default" w:ascii="Times New Roman" w:hAnsi="Times New Roman" w:eastAsia="宋体" w:cs="Times New Roman"/>
                <w:color w:val="FF0000"/>
                <w:sz w:val="21"/>
                <w:szCs w:val="21"/>
                <w:highlight w:val="none"/>
                <w:lang w:val="en-US" w:eastAsia="zh-CN"/>
              </w:rPr>
              <w:t>《全国重要江河湖泊水功能区划（2011-2030）》，</w:t>
            </w:r>
            <w:r>
              <w:rPr>
                <w:rFonts w:hint="eastAsia" w:cs="Times New Roman"/>
                <w:color w:val="FF0000"/>
                <w:sz w:val="21"/>
                <w:szCs w:val="21"/>
                <w:highlight w:val="none"/>
                <w:lang w:val="en-US" w:eastAsia="zh-CN"/>
              </w:rPr>
              <w:t>三新沟汇入穆棱河</w:t>
            </w:r>
            <w:r>
              <w:rPr>
                <w:rFonts w:hint="default" w:ascii="Times New Roman" w:hAnsi="Times New Roman" w:eastAsia="宋体" w:cs="Times New Roman"/>
                <w:color w:val="FF0000"/>
                <w:sz w:val="21"/>
                <w:szCs w:val="21"/>
                <w:highlight w:val="none"/>
                <w:lang w:val="en-US" w:eastAsia="zh-CN"/>
              </w:rPr>
              <w:t>所在水功能区起始断面</w:t>
            </w:r>
            <w:r>
              <w:rPr>
                <w:rFonts w:hint="default" w:ascii="Times New Roman" w:hAnsi="Times New Roman" w:cs="Times New Roman"/>
                <w:color w:val="FF0000"/>
                <w:kern w:val="0"/>
                <w:sz w:val="21"/>
                <w:szCs w:val="21"/>
                <w:highlight w:val="none"/>
                <w:lang w:val="en-US" w:eastAsia="zh-CN"/>
              </w:rPr>
              <w:t>为</w:t>
            </w:r>
            <w:r>
              <w:rPr>
                <w:rFonts w:hint="default" w:ascii="Times New Roman" w:hAnsi="Times New Roman" w:eastAsia="宋体" w:cs="Times New Roman"/>
                <w:color w:val="FF0000"/>
                <w:sz w:val="21"/>
                <w:szCs w:val="21"/>
                <w:highlight w:val="none"/>
                <w:lang w:val="en-US" w:eastAsia="zh-CN"/>
              </w:rPr>
              <w:t>鸡古路西100m，终止断面为凯北站，水质标准为Ⅲ类。根据鸡西市人民政府发布的《202</w:t>
            </w:r>
            <w:r>
              <w:rPr>
                <w:rFonts w:hint="default" w:ascii="Times New Roman" w:hAnsi="Times New Roman" w:cs="Times New Roman"/>
                <w:color w:val="FF0000"/>
                <w:sz w:val="21"/>
                <w:szCs w:val="21"/>
                <w:highlight w:val="none"/>
                <w:lang w:val="en-US" w:eastAsia="zh-CN"/>
              </w:rPr>
              <w:t>5</w:t>
            </w:r>
            <w:r>
              <w:rPr>
                <w:rFonts w:hint="default" w:ascii="Times New Roman" w:hAnsi="Times New Roman" w:eastAsia="宋体" w:cs="Times New Roman"/>
                <w:color w:val="FF0000"/>
                <w:sz w:val="21"/>
                <w:szCs w:val="21"/>
                <w:highlight w:val="none"/>
                <w:lang w:val="en-US" w:eastAsia="zh-CN"/>
              </w:rPr>
              <w:t>年1</w:t>
            </w:r>
            <w:r>
              <w:rPr>
                <w:rFonts w:hint="eastAsia" w:cs="Times New Roman"/>
                <w:color w:val="FF0000"/>
                <w:sz w:val="21"/>
                <w:szCs w:val="21"/>
                <w:highlight w:val="none"/>
                <w:lang w:val="en-US" w:eastAsia="zh-CN"/>
              </w:rPr>
              <w:t>-12</w:t>
            </w:r>
            <w:r>
              <w:rPr>
                <w:rFonts w:hint="default" w:ascii="Times New Roman" w:hAnsi="Times New Roman" w:eastAsia="宋体" w:cs="Times New Roman"/>
                <w:color w:val="FF0000"/>
                <w:sz w:val="21"/>
                <w:szCs w:val="21"/>
                <w:highlight w:val="none"/>
                <w:lang w:val="en-US" w:eastAsia="zh-CN"/>
              </w:rPr>
              <w:t>月地表水国控考核断面水质信息公开》穆棱河口内达到Ⅲ类水质类别标准</w:t>
            </w:r>
            <w:r>
              <w:rPr>
                <w:rFonts w:hint="default" w:ascii="Times New Roman" w:hAnsi="Times New Roman"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知一桥断面均达到Ⅲ类水质类别标准。</w:t>
            </w:r>
          </w:p>
          <w:p w14:paraId="52A8C89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3、声环境</w:t>
            </w:r>
          </w:p>
          <w:p w14:paraId="3DEA3AB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jc w:val="lef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根据</w:t>
            </w:r>
            <w:r>
              <w:rPr>
                <w:rFonts w:hint="eastAsia" w:cs="Times New Roman"/>
                <w:color w:val="FF0000"/>
                <w:sz w:val="21"/>
                <w:szCs w:val="21"/>
                <w:highlight w:val="none"/>
                <w:lang w:val="en-US" w:eastAsia="zh-CN"/>
              </w:rPr>
              <w:t>《2025年黑龙江省生态环境质量状况》（2026年1月）</w:t>
            </w:r>
            <w:r>
              <w:rPr>
                <w:rFonts w:hint="eastAsia" w:ascii="Times New Roman" w:hAnsi="Times New Roman" w:eastAsia="宋体" w:cs="Times New Roman"/>
                <w:color w:val="FF0000"/>
                <w:sz w:val="21"/>
                <w:szCs w:val="21"/>
                <w:highlight w:val="none"/>
                <w:lang w:val="en-US" w:eastAsia="zh-CN"/>
              </w:rPr>
              <w:t>，鸡西市区域昼间声环境质量为二级，等效声级为53.</w:t>
            </w:r>
            <w:r>
              <w:rPr>
                <w:rFonts w:hint="eastAsia" w:cs="Times New Roman"/>
                <w:color w:val="FF0000"/>
                <w:sz w:val="21"/>
                <w:szCs w:val="21"/>
                <w:highlight w:val="none"/>
                <w:lang w:val="en-US" w:eastAsia="zh-CN"/>
              </w:rPr>
              <w:t>2</w:t>
            </w:r>
            <w:r>
              <w:rPr>
                <w:rFonts w:hint="eastAsia" w:ascii="Times New Roman" w:hAnsi="Times New Roman" w:eastAsia="宋体" w:cs="Times New Roman"/>
                <w:color w:val="FF0000"/>
                <w:sz w:val="21"/>
                <w:szCs w:val="21"/>
                <w:highlight w:val="none"/>
                <w:lang w:val="en-US" w:eastAsia="zh-CN"/>
              </w:rPr>
              <w:t>dB（A），道路交通昼间声环境质量为一级，等效声级为6</w:t>
            </w:r>
            <w:r>
              <w:rPr>
                <w:rFonts w:hint="eastAsia" w:cs="Times New Roman"/>
                <w:color w:val="FF0000"/>
                <w:sz w:val="21"/>
                <w:szCs w:val="21"/>
                <w:highlight w:val="none"/>
                <w:lang w:val="en-US" w:eastAsia="zh-CN"/>
              </w:rPr>
              <w:t>4.7</w:t>
            </w:r>
            <w:r>
              <w:rPr>
                <w:rFonts w:hint="eastAsia" w:ascii="Times New Roman" w:hAnsi="Times New Roman" w:eastAsia="宋体" w:cs="Times New Roman"/>
                <w:color w:val="FF0000"/>
                <w:sz w:val="21"/>
                <w:szCs w:val="21"/>
                <w:highlight w:val="none"/>
                <w:lang w:val="en-US" w:eastAsia="zh-CN"/>
              </w:rPr>
              <w:t>dB（A），功能区昼间达标率</w:t>
            </w:r>
            <w:r>
              <w:rPr>
                <w:rFonts w:hint="eastAsia" w:cs="Times New Roman"/>
                <w:color w:val="FF0000"/>
                <w:sz w:val="21"/>
                <w:szCs w:val="21"/>
                <w:highlight w:val="none"/>
                <w:lang w:val="en-US" w:eastAsia="zh-CN"/>
              </w:rPr>
              <w:t>87.7</w:t>
            </w:r>
            <w:r>
              <w:rPr>
                <w:rFonts w:hint="eastAsia" w:ascii="Times New Roman" w:hAnsi="Times New Roman" w:eastAsia="宋体" w:cs="Times New Roman"/>
                <w:color w:val="FF0000"/>
                <w:sz w:val="21"/>
                <w:szCs w:val="21"/>
                <w:highlight w:val="none"/>
                <w:lang w:val="en-US" w:eastAsia="zh-CN"/>
              </w:rPr>
              <w:t>%，功能区夜间达标率</w:t>
            </w:r>
            <w:r>
              <w:rPr>
                <w:rFonts w:hint="eastAsia" w:cs="Times New Roman"/>
                <w:color w:val="FF0000"/>
                <w:sz w:val="21"/>
                <w:szCs w:val="21"/>
                <w:highlight w:val="none"/>
                <w:lang w:val="en-US" w:eastAsia="zh-CN"/>
              </w:rPr>
              <w:t>97.6</w:t>
            </w:r>
            <w:r>
              <w:rPr>
                <w:rFonts w:hint="eastAsia" w:ascii="Times New Roman" w:hAnsi="Times New Roman" w:eastAsia="宋体" w:cs="Times New Roman"/>
                <w:color w:val="FF0000"/>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本次对周围声环境敏感点进行声环境质量现状评价，委托鸡西晟源环境检测有限公司进行监测，监测时间为2025年7月26日，监测点位为</w:t>
            </w:r>
            <w:r>
              <w:rPr>
                <w:rFonts w:hint="eastAsia" w:cs="Times New Roman"/>
                <w:color w:val="auto"/>
                <w:sz w:val="21"/>
                <w:szCs w:val="21"/>
                <w:highlight w:val="none"/>
                <w:lang w:val="en-US" w:eastAsia="zh-CN"/>
              </w:rPr>
              <w:t>南侧</w:t>
            </w:r>
            <w:r>
              <w:rPr>
                <w:rFonts w:hint="eastAsia" w:ascii="Times New Roman" w:hAnsi="Times New Roman" w:eastAsia="宋体" w:cs="Times New Roman"/>
                <w:color w:val="auto"/>
                <w:sz w:val="21"/>
                <w:szCs w:val="21"/>
                <w:highlight w:val="none"/>
                <w:lang w:val="en-US" w:eastAsia="zh-CN"/>
              </w:rPr>
              <w:t>居民敏感点、</w:t>
            </w:r>
            <w:r>
              <w:rPr>
                <w:rFonts w:hint="eastAsia" w:cs="Times New Roman"/>
                <w:color w:val="auto"/>
                <w:sz w:val="21"/>
                <w:szCs w:val="21"/>
                <w:highlight w:val="none"/>
                <w:lang w:val="en-US" w:eastAsia="zh-CN"/>
              </w:rPr>
              <w:t>西</w:t>
            </w:r>
            <w:r>
              <w:rPr>
                <w:rFonts w:hint="eastAsia" w:ascii="Times New Roman" w:hAnsi="Times New Roman" w:eastAsia="宋体" w:cs="Times New Roman"/>
                <w:color w:val="auto"/>
                <w:sz w:val="21"/>
                <w:szCs w:val="21"/>
                <w:highlight w:val="none"/>
                <w:lang w:val="en-US" w:eastAsia="zh-CN"/>
              </w:rPr>
              <w:t>侧居民敏感点。监测频次为监测1天。检测报告见附件。声环境现状检测统计结果见表3-4。</w:t>
            </w:r>
          </w:p>
          <w:p w14:paraId="423FBFEB">
            <w:pPr>
              <w:keepNext w:val="0"/>
              <w:keepLines w:val="0"/>
              <w:suppressLineNumbers w:val="0"/>
              <w:adjustRightInd w:val="0"/>
              <w:spacing w:before="0" w:beforeAutospacing="0" w:after="0" w:afterAutospacing="0"/>
              <w:ind w:left="0" w:right="0"/>
              <w:jc w:val="center"/>
              <w:rPr>
                <w:rFonts w:hint="default"/>
                <w:color w:val="auto"/>
                <w:sz w:val="21"/>
                <w:szCs w:val="21"/>
              </w:rPr>
            </w:pPr>
            <w:r>
              <w:rPr>
                <w:rFonts w:hint="eastAsia"/>
                <w:b/>
                <w:bCs/>
                <w:color w:val="auto"/>
                <w:kern w:val="0"/>
                <w:sz w:val="21"/>
                <w:szCs w:val="21"/>
              </w:rPr>
              <w:t>表3-4 声环境现状监测统计结果 Leq[dB(A)]</w:t>
            </w:r>
          </w:p>
          <w:tbl>
            <w:tblPr>
              <w:tblStyle w:val="36"/>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79"/>
              <w:gridCol w:w="1936"/>
              <w:gridCol w:w="1800"/>
              <w:gridCol w:w="1800"/>
              <w:gridCol w:w="962"/>
              <w:gridCol w:w="990"/>
            </w:tblGrid>
            <w:tr w14:paraId="582D9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atLeast"/>
                <w:tblHeader/>
              </w:trPr>
              <w:tc>
                <w:tcPr>
                  <w:tcW w:w="359" w:type="pct"/>
                  <w:tcBorders>
                    <w:tl2br w:val="nil"/>
                    <w:tr2bl w:val="nil"/>
                  </w:tcBorders>
                  <w:noWrap/>
                  <w:tcMar>
                    <w:top w:w="15" w:type="dxa"/>
                    <w:left w:w="15" w:type="dxa"/>
                    <w:right w:w="15" w:type="dxa"/>
                  </w:tcMar>
                  <w:vAlign w:val="center"/>
                </w:tcPr>
                <w:p w14:paraId="7744E7AC">
                  <w:pPr>
                    <w:keepNext w:val="0"/>
                    <w:keepLines w:val="0"/>
                    <w:suppressLineNumbers w:val="0"/>
                    <w:spacing w:before="0" w:beforeAutospacing="0" w:after="0" w:afterAutospacing="0"/>
                    <w:ind w:left="0" w:right="0"/>
                    <w:jc w:val="center"/>
                    <w:rPr>
                      <w:rFonts w:hint="default"/>
                      <w:b/>
                      <w:bCs/>
                      <w:color w:val="auto"/>
                      <w:sz w:val="18"/>
                      <w:szCs w:val="18"/>
                    </w:rPr>
                  </w:pPr>
                  <w:r>
                    <w:rPr>
                      <w:rFonts w:hint="eastAsia"/>
                      <w:b/>
                      <w:bCs/>
                      <w:color w:val="auto"/>
                      <w:sz w:val="18"/>
                      <w:szCs w:val="18"/>
                    </w:rPr>
                    <w:t>序号</w:t>
                  </w:r>
                </w:p>
              </w:tc>
              <w:tc>
                <w:tcPr>
                  <w:tcW w:w="1199" w:type="pct"/>
                  <w:tcBorders>
                    <w:tl2br w:val="nil"/>
                    <w:tr2bl w:val="nil"/>
                  </w:tcBorders>
                  <w:noWrap/>
                  <w:tcMar>
                    <w:top w:w="15" w:type="dxa"/>
                    <w:left w:w="15" w:type="dxa"/>
                    <w:right w:w="15" w:type="dxa"/>
                  </w:tcMar>
                  <w:vAlign w:val="center"/>
                </w:tcPr>
                <w:p w14:paraId="18CE9D7D">
                  <w:pPr>
                    <w:keepNext w:val="0"/>
                    <w:keepLines w:val="0"/>
                    <w:suppressLineNumbers w:val="0"/>
                    <w:spacing w:before="0" w:beforeAutospacing="0" w:after="0" w:afterAutospacing="0"/>
                    <w:ind w:left="0" w:right="0"/>
                    <w:jc w:val="center"/>
                    <w:rPr>
                      <w:rFonts w:hint="default"/>
                      <w:b/>
                      <w:bCs/>
                      <w:color w:val="auto"/>
                      <w:sz w:val="18"/>
                      <w:szCs w:val="18"/>
                    </w:rPr>
                  </w:pPr>
                  <w:r>
                    <w:rPr>
                      <w:rFonts w:hint="default"/>
                      <w:b/>
                      <w:bCs/>
                      <w:color w:val="auto"/>
                      <w:sz w:val="18"/>
                      <w:szCs w:val="18"/>
                    </w:rPr>
                    <w:t>检测点</w:t>
                  </w:r>
                  <w:r>
                    <w:rPr>
                      <w:rFonts w:hint="eastAsia"/>
                      <w:b/>
                      <w:bCs/>
                      <w:color w:val="auto"/>
                      <w:sz w:val="18"/>
                      <w:szCs w:val="18"/>
                    </w:rPr>
                    <w:t>名称</w:t>
                  </w:r>
                </w:p>
              </w:tc>
              <w:tc>
                <w:tcPr>
                  <w:tcW w:w="1115" w:type="pct"/>
                  <w:tcBorders>
                    <w:tl2br w:val="nil"/>
                    <w:tr2bl w:val="nil"/>
                  </w:tcBorders>
                  <w:tcMar>
                    <w:top w:w="15" w:type="dxa"/>
                    <w:left w:w="15" w:type="dxa"/>
                    <w:right w:w="15" w:type="dxa"/>
                  </w:tcMar>
                  <w:vAlign w:val="center"/>
                </w:tcPr>
                <w:p w14:paraId="0F017EF7">
                  <w:pPr>
                    <w:keepNext w:val="0"/>
                    <w:keepLines w:val="0"/>
                    <w:suppressLineNumbers w:val="0"/>
                    <w:spacing w:before="0" w:beforeAutospacing="0" w:after="0" w:afterAutospacing="0"/>
                    <w:ind w:left="0" w:right="0"/>
                    <w:jc w:val="center"/>
                    <w:rPr>
                      <w:rFonts w:hint="default"/>
                      <w:b/>
                      <w:bCs/>
                      <w:color w:val="auto"/>
                      <w:sz w:val="18"/>
                      <w:szCs w:val="18"/>
                    </w:rPr>
                  </w:pPr>
                  <w:r>
                    <w:rPr>
                      <w:rFonts w:hint="eastAsia"/>
                      <w:b/>
                      <w:bCs/>
                      <w:color w:val="auto"/>
                      <w:sz w:val="18"/>
                      <w:szCs w:val="18"/>
                    </w:rPr>
                    <w:t>方位距离</w:t>
                  </w:r>
                </w:p>
              </w:tc>
              <w:tc>
                <w:tcPr>
                  <w:tcW w:w="1115" w:type="pct"/>
                  <w:tcBorders>
                    <w:tl2br w:val="nil"/>
                    <w:tr2bl w:val="nil"/>
                  </w:tcBorders>
                  <w:tcMar>
                    <w:top w:w="15" w:type="dxa"/>
                    <w:left w:w="15" w:type="dxa"/>
                    <w:right w:w="15" w:type="dxa"/>
                  </w:tcMar>
                  <w:vAlign w:val="center"/>
                </w:tcPr>
                <w:p w14:paraId="78CA0B42">
                  <w:pPr>
                    <w:keepNext w:val="0"/>
                    <w:keepLines w:val="0"/>
                    <w:suppressLineNumbers w:val="0"/>
                    <w:spacing w:before="0" w:beforeAutospacing="0" w:after="0" w:afterAutospacing="0"/>
                    <w:ind w:left="0" w:right="0"/>
                    <w:jc w:val="center"/>
                    <w:rPr>
                      <w:rFonts w:hint="default"/>
                      <w:b/>
                      <w:bCs/>
                      <w:color w:val="auto"/>
                      <w:kern w:val="0"/>
                      <w:sz w:val="18"/>
                      <w:szCs w:val="18"/>
                    </w:rPr>
                  </w:pPr>
                  <w:r>
                    <w:rPr>
                      <w:rFonts w:hint="default"/>
                      <w:b/>
                      <w:bCs/>
                      <w:color w:val="auto"/>
                      <w:sz w:val="18"/>
                      <w:szCs w:val="18"/>
                    </w:rPr>
                    <w:t>检测时间</w:t>
                  </w:r>
                </w:p>
              </w:tc>
              <w:tc>
                <w:tcPr>
                  <w:tcW w:w="596" w:type="pct"/>
                  <w:tcBorders>
                    <w:tl2br w:val="nil"/>
                    <w:tr2bl w:val="nil"/>
                  </w:tcBorders>
                  <w:tcMar>
                    <w:top w:w="15" w:type="dxa"/>
                    <w:left w:w="15" w:type="dxa"/>
                    <w:right w:w="15" w:type="dxa"/>
                  </w:tcMar>
                  <w:vAlign w:val="center"/>
                </w:tcPr>
                <w:p w14:paraId="34F9586E">
                  <w:pPr>
                    <w:keepNext w:val="0"/>
                    <w:keepLines w:val="0"/>
                    <w:widowControl/>
                    <w:suppressLineNumbers w:val="0"/>
                    <w:spacing w:before="0" w:beforeAutospacing="0" w:after="0" w:afterAutospacing="0"/>
                    <w:ind w:left="0" w:right="0"/>
                    <w:jc w:val="center"/>
                    <w:rPr>
                      <w:rFonts w:hint="default"/>
                      <w:b/>
                      <w:bCs/>
                      <w:color w:val="auto"/>
                      <w:kern w:val="0"/>
                      <w:sz w:val="18"/>
                      <w:szCs w:val="18"/>
                    </w:rPr>
                  </w:pPr>
                  <w:r>
                    <w:rPr>
                      <w:rFonts w:hint="default"/>
                      <w:b/>
                      <w:bCs/>
                      <w:color w:val="auto"/>
                      <w:sz w:val="18"/>
                      <w:szCs w:val="18"/>
                    </w:rPr>
                    <w:t>昼L</w:t>
                  </w:r>
                  <w:r>
                    <w:rPr>
                      <w:rFonts w:hint="default"/>
                      <w:b/>
                      <w:bCs/>
                      <w:color w:val="auto"/>
                      <w:sz w:val="18"/>
                      <w:szCs w:val="18"/>
                      <w:vertAlign w:val="subscript"/>
                    </w:rPr>
                    <w:t>eq</w:t>
                  </w:r>
                </w:p>
              </w:tc>
              <w:tc>
                <w:tcPr>
                  <w:tcW w:w="613" w:type="pct"/>
                  <w:tcBorders>
                    <w:tl2br w:val="nil"/>
                    <w:tr2bl w:val="nil"/>
                  </w:tcBorders>
                  <w:tcMar>
                    <w:top w:w="15" w:type="dxa"/>
                    <w:left w:w="15" w:type="dxa"/>
                    <w:right w:w="15" w:type="dxa"/>
                  </w:tcMar>
                  <w:vAlign w:val="center"/>
                </w:tcPr>
                <w:p w14:paraId="6BC3874F">
                  <w:pPr>
                    <w:keepNext w:val="0"/>
                    <w:keepLines w:val="0"/>
                    <w:suppressLineNumbers w:val="0"/>
                    <w:spacing w:before="0" w:beforeAutospacing="0" w:after="0" w:afterAutospacing="0"/>
                    <w:ind w:left="0" w:right="0"/>
                    <w:jc w:val="center"/>
                    <w:rPr>
                      <w:rFonts w:hint="default"/>
                      <w:b/>
                      <w:bCs/>
                      <w:color w:val="auto"/>
                      <w:kern w:val="0"/>
                      <w:sz w:val="18"/>
                      <w:szCs w:val="18"/>
                    </w:rPr>
                  </w:pPr>
                  <w:r>
                    <w:rPr>
                      <w:rFonts w:hint="default"/>
                      <w:b/>
                      <w:bCs/>
                      <w:color w:val="auto"/>
                      <w:sz w:val="18"/>
                      <w:szCs w:val="18"/>
                    </w:rPr>
                    <w:t>夜L</w:t>
                  </w:r>
                  <w:r>
                    <w:rPr>
                      <w:rFonts w:hint="default"/>
                      <w:b/>
                      <w:bCs/>
                      <w:color w:val="auto"/>
                      <w:sz w:val="18"/>
                      <w:szCs w:val="18"/>
                      <w:vertAlign w:val="subscript"/>
                    </w:rPr>
                    <w:t>eq</w:t>
                  </w:r>
                </w:p>
              </w:tc>
            </w:tr>
            <w:tr w14:paraId="2ECF1E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85" w:hRule="atLeast"/>
              </w:trPr>
              <w:tc>
                <w:tcPr>
                  <w:tcW w:w="359" w:type="pct"/>
                  <w:tcBorders>
                    <w:tl2br w:val="nil"/>
                    <w:tr2bl w:val="nil"/>
                  </w:tcBorders>
                  <w:noWrap/>
                  <w:tcMar>
                    <w:top w:w="15" w:type="dxa"/>
                    <w:left w:w="15" w:type="dxa"/>
                    <w:right w:w="15" w:type="dxa"/>
                  </w:tcMar>
                  <w:vAlign w:val="center"/>
                </w:tcPr>
                <w:p w14:paraId="090DF056">
                  <w:pPr>
                    <w:keepNext w:val="0"/>
                    <w:keepLines w:val="0"/>
                    <w:widowControl/>
                    <w:suppressLineNumbers w:val="0"/>
                    <w:spacing w:before="0" w:beforeAutospacing="0" w:after="0" w:afterAutospacing="0"/>
                    <w:ind w:left="0" w:right="0"/>
                    <w:jc w:val="center"/>
                    <w:textAlignment w:val="center"/>
                    <w:rPr>
                      <w:rFonts w:hint="default"/>
                      <w:color w:val="auto"/>
                      <w:sz w:val="18"/>
                      <w:szCs w:val="18"/>
                      <w:highlight w:val="none"/>
                    </w:rPr>
                  </w:pPr>
                  <w:r>
                    <w:rPr>
                      <w:rFonts w:hint="eastAsia"/>
                      <w:color w:val="auto"/>
                      <w:kern w:val="0"/>
                      <w:sz w:val="18"/>
                      <w:szCs w:val="18"/>
                      <w:highlight w:val="none"/>
                    </w:rPr>
                    <w:t>1</w:t>
                  </w:r>
                </w:p>
              </w:tc>
              <w:tc>
                <w:tcPr>
                  <w:tcW w:w="1199" w:type="pct"/>
                  <w:tcBorders>
                    <w:tl2br w:val="nil"/>
                    <w:tr2bl w:val="nil"/>
                  </w:tcBorders>
                  <w:noWrap/>
                  <w:tcMar>
                    <w:top w:w="15" w:type="dxa"/>
                    <w:left w:w="15" w:type="dxa"/>
                    <w:right w:w="15" w:type="dxa"/>
                  </w:tcMar>
                  <w:vAlign w:val="center"/>
                </w:tcPr>
                <w:p w14:paraId="474D35EB">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南侧居民敏感点</w:t>
                  </w:r>
                </w:p>
              </w:tc>
              <w:tc>
                <w:tcPr>
                  <w:tcW w:w="1115" w:type="pct"/>
                  <w:tcBorders>
                    <w:tl2br w:val="nil"/>
                    <w:tr2bl w:val="nil"/>
                  </w:tcBorders>
                  <w:tcMar>
                    <w:top w:w="15" w:type="dxa"/>
                    <w:left w:w="15" w:type="dxa"/>
                    <w:right w:w="15" w:type="dxa"/>
                  </w:tcMar>
                  <w:vAlign w:val="center"/>
                </w:tcPr>
                <w:p w14:paraId="32C41C15">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lang w:val="en-US" w:eastAsia="zh-CN"/>
                    </w:rPr>
                    <w:t>23</w:t>
                  </w:r>
                  <w:r>
                    <w:rPr>
                      <w:rFonts w:hint="eastAsia"/>
                      <w:color w:val="auto"/>
                      <w:sz w:val="18"/>
                      <w:szCs w:val="18"/>
                      <w:highlight w:val="none"/>
                    </w:rPr>
                    <w:t>米</w:t>
                  </w:r>
                </w:p>
              </w:tc>
              <w:tc>
                <w:tcPr>
                  <w:tcW w:w="1115" w:type="pct"/>
                  <w:tcBorders>
                    <w:tl2br w:val="nil"/>
                    <w:tr2bl w:val="nil"/>
                  </w:tcBorders>
                  <w:tcMar>
                    <w:top w:w="15" w:type="dxa"/>
                    <w:left w:w="15" w:type="dxa"/>
                    <w:right w:w="15" w:type="dxa"/>
                  </w:tcMar>
                  <w:vAlign w:val="center"/>
                </w:tcPr>
                <w:p w14:paraId="6CBF7058">
                  <w:pPr>
                    <w:keepNext w:val="0"/>
                    <w:keepLines w:val="0"/>
                    <w:widowControl/>
                    <w:suppressLineNumbers w:val="0"/>
                    <w:spacing w:before="0" w:beforeAutospacing="0" w:after="0" w:afterAutospacing="0"/>
                    <w:ind w:left="0" w:leftChars="0" w:right="0" w:rightChars="0"/>
                    <w:jc w:val="center"/>
                    <w:textAlignment w:val="center"/>
                    <w:rPr>
                      <w:rFonts w:hint="default" w:eastAsia="宋体"/>
                      <w:b/>
                      <w:bCs/>
                      <w:color w:val="auto"/>
                      <w:kern w:val="0"/>
                      <w:sz w:val="18"/>
                      <w:szCs w:val="18"/>
                      <w:highlight w:val="none"/>
                      <w:lang w:val="en-US" w:eastAsia="zh-CN"/>
                    </w:rPr>
                  </w:pPr>
                  <w:r>
                    <w:rPr>
                      <w:rFonts w:hint="eastAsia"/>
                      <w:color w:val="auto"/>
                      <w:kern w:val="0"/>
                      <w:sz w:val="18"/>
                      <w:szCs w:val="18"/>
                      <w:highlight w:val="none"/>
                    </w:rPr>
                    <w:t>202</w:t>
                  </w:r>
                  <w:r>
                    <w:rPr>
                      <w:rFonts w:hint="eastAsia"/>
                      <w:color w:val="auto"/>
                      <w:kern w:val="0"/>
                      <w:sz w:val="18"/>
                      <w:szCs w:val="18"/>
                      <w:highlight w:val="none"/>
                      <w:lang w:val="en-US" w:eastAsia="zh-CN"/>
                    </w:rPr>
                    <w:t>5</w:t>
                  </w:r>
                  <w:r>
                    <w:rPr>
                      <w:rFonts w:hint="eastAsia"/>
                      <w:color w:val="auto"/>
                      <w:kern w:val="0"/>
                      <w:sz w:val="18"/>
                      <w:szCs w:val="18"/>
                      <w:highlight w:val="none"/>
                    </w:rPr>
                    <w:t>.</w:t>
                  </w:r>
                  <w:r>
                    <w:rPr>
                      <w:rFonts w:hint="eastAsia"/>
                      <w:color w:val="auto"/>
                      <w:kern w:val="0"/>
                      <w:sz w:val="18"/>
                      <w:szCs w:val="18"/>
                      <w:highlight w:val="none"/>
                      <w:lang w:val="en-US" w:eastAsia="zh-CN"/>
                    </w:rPr>
                    <w:t>7.24</w:t>
                  </w:r>
                </w:p>
              </w:tc>
              <w:tc>
                <w:tcPr>
                  <w:tcW w:w="596" w:type="pct"/>
                  <w:tcBorders>
                    <w:tl2br w:val="nil"/>
                    <w:tr2bl w:val="nil"/>
                  </w:tcBorders>
                  <w:tcMar>
                    <w:top w:w="15" w:type="dxa"/>
                    <w:left w:w="15" w:type="dxa"/>
                    <w:right w:w="15" w:type="dxa"/>
                  </w:tcMar>
                  <w:vAlign w:val="center"/>
                </w:tcPr>
                <w:p w14:paraId="66CAD351">
                  <w:pPr>
                    <w:pStyle w:val="28"/>
                    <w:keepNext w:val="0"/>
                    <w:keepLines w:val="0"/>
                    <w:suppressLineNumbers w:val="0"/>
                    <w:spacing w:before="0" w:beforeAutospacing="0" w:after="0" w:afterAutospacing="0" w:line="240" w:lineRule="exact"/>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49.1</w:t>
                  </w:r>
                </w:p>
              </w:tc>
              <w:tc>
                <w:tcPr>
                  <w:tcW w:w="613" w:type="pct"/>
                  <w:tcBorders>
                    <w:tl2br w:val="nil"/>
                    <w:tr2bl w:val="nil"/>
                  </w:tcBorders>
                  <w:tcMar>
                    <w:top w:w="15" w:type="dxa"/>
                    <w:left w:w="15" w:type="dxa"/>
                    <w:right w:w="15" w:type="dxa"/>
                  </w:tcMar>
                  <w:vAlign w:val="center"/>
                </w:tcPr>
                <w:p w14:paraId="0B306561">
                  <w:pPr>
                    <w:keepNext w:val="0"/>
                    <w:keepLines w:val="0"/>
                    <w:suppressLineNumbers w:val="0"/>
                    <w:spacing w:before="0" w:beforeAutospacing="0" w:after="0" w:afterAutospacing="0"/>
                    <w:ind w:left="0" w:right="0"/>
                    <w:jc w:val="center"/>
                    <w:rPr>
                      <w:rFonts w:hint="default" w:eastAsia="宋体"/>
                      <w:color w:val="auto"/>
                      <w:kern w:val="0"/>
                      <w:sz w:val="18"/>
                      <w:szCs w:val="18"/>
                      <w:highlight w:val="none"/>
                      <w:lang w:val="en-US" w:eastAsia="zh-CN"/>
                    </w:rPr>
                  </w:pPr>
                  <w:r>
                    <w:rPr>
                      <w:rFonts w:hint="eastAsia"/>
                      <w:color w:val="auto"/>
                      <w:kern w:val="0"/>
                      <w:sz w:val="18"/>
                      <w:szCs w:val="18"/>
                      <w:highlight w:val="none"/>
                      <w:lang w:val="en-US" w:eastAsia="zh-CN"/>
                    </w:rPr>
                    <w:t>39.8</w:t>
                  </w:r>
                </w:p>
              </w:tc>
            </w:tr>
            <w:tr w14:paraId="578FB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85" w:hRule="atLeast"/>
              </w:trPr>
              <w:tc>
                <w:tcPr>
                  <w:tcW w:w="359" w:type="pct"/>
                  <w:tcBorders>
                    <w:tl2br w:val="nil"/>
                    <w:tr2bl w:val="nil"/>
                  </w:tcBorders>
                  <w:noWrap/>
                  <w:tcMar>
                    <w:top w:w="15" w:type="dxa"/>
                    <w:left w:w="15" w:type="dxa"/>
                    <w:right w:w="15" w:type="dxa"/>
                  </w:tcMar>
                  <w:vAlign w:val="center"/>
                </w:tcPr>
                <w:p w14:paraId="0565A5F0">
                  <w:pPr>
                    <w:keepNext w:val="0"/>
                    <w:keepLines w:val="0"/>
                    <w:widowControl/>
                    <w:suppressLineNumbers w:val="0"/>
                    <w:spacing w:before="0" w:beforeAutospacing="0" w:after="0" w:afterAutospacing="0"/>
                    <w:ind w:left="0" w:right="0"/>
                    <w:jc w:val="center"/>
                    <w:textAlignment w:val="center"/>
                    <w:rPr>
                      <w:rFonts w:hint="eastAsia" w:eastAsia="宋体"/>
                      <w:color w:val="auto"/>
                      <w:kern w:val="0"/>
                      <w:sz w:val="18"/>
                      <w:szCs w:val="18"/>
                      <w:highlight w:val="none"/>
                      <w:lang w:val="en-US" w:eastAsia="zh-CN"/>
                    </w:rPr>
                  </w:pPr>
                  <w:r>
                    <w:rPr>
                      <w:rFonts w:hint="eastAsia"/>
                      <w:color w:val="auto"/>
                      <w:kern w:val="0"/>
                      <w:sz w:val="18"/>
                      <w:szCs w:val="18"/>
                      <w:highlight w:val="none"/>
                      <w:lang w:val="en-US" w:eastAsia="zh-CN"/>
                    </w:rPr>
                    <w:t>2</w:t>
                  </w:r>
                </w:p>
              </w:tc>
              <w:tc>
                <w:tcPr>
                  <w:tcW w:w="1199" w:type="pct"/>
                  <w:tcBorders>
                    <w:tl2br w:val="nil"/>
                    <w:tr2bl w:val="nil"/>
                  </w:tcBorders>
                  <w:noWrap/>
                  <w:tcMar>
                    <w:top w:w="15" w:type="dxa"/>
                    <w:left w:w="15" w:type="dxa"/>
                    <w:right w:w="15" w:type="dxa"/>
                  </w:tcMar>
                  <w:vAlign w:val="center"/>
                </w:tcPr>
                <w:p w14:paraId="62943223">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西侧居民敏感点</w:t>
                  </w:r>
                </w:p>
              </w:tc>
              <w:tc>
                <w:tcPr>
                  <w:tcW w:w="1115" w:type="pct"/>
                  <w:tcBorders>
                    <w:tl2br w:val="nil"/>
                    <w:tr2bl w:val="nil"/>
                  </w:tcBorders>
                  <w:tcMar>
                    <w:top w:w="15" w:type="dxa"/>
                    <w:left w:w="15" w:type="dxa"/>
                    <w:right w:w="15" w:type="dxa"/>
                  </w:tcMar>
                  <w:vAlign w:val="center"/>
                </w:tcPr>
                <w:p w14:paraId="520BA86D">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15米</w:t>
                  </w:r>
                </w:p>
              </w:tc>
              <w:tc>
                <w:tcPr>
                  <w:tcW w:w="1115" w:type="pct"/>
                  <w:tcBorders>
                    <w:tl2br w:val="nil"/>
                    <w:tr2bl w:val="nil"/>
                  </w:tcBorders>
                  <w:shd w:val="clear" w:color="auto" w:fill="auto"/>
                  <w:tcMar>
                    <w:top w:w="15" w:type="dxa"/>
                    <w:left w:w="15" w:type="dxa"/>
                    <w:right w:w="15" w:type="dxa"/>
                  </w:tcMar>
                  <w:vAlign w:val="center"/>
                </w:tcPr>
                <w:p w14:paraId="51744BE6">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bCs/>
                      <w:color w:val="auto"/>
                      <w:kern w:val="0"/>
                      <w:sz w:val="18"/>
                      <w:szCs w:val="18"/>
                      <w:highlight w:val="none"/>
                      <w:lang w:val="en-US" w:eastAsia="zh-CN" w:bidi="ar-SA"/>
                    </w:rPr>
                  </w:pPr>
                  <w:r>
                    <w:rPr>
                      <w:rFonts w:hint="eastAsia"/>
                      <w:color w:val="auto"/>
                      <w:kern w:val="0"/>
                      <w:sz w:val="18"/>
                      <w:szCs w:val="18"/>
                      <w:highlight w:val="none"/>
                    </w:rPr>
                    <w:t>202</w:t>
                  </w:r>
                  <w:r>
                    <w:rPr>
                      <w:rFonts w:hint="eastAsia"/>
                      <w:color w:val="auto"/>
                      <w:kern w:val="0"/>
                      <w:sz w:val="18"/>
                      <w:szCs w:val="18"/>
                      <w:highlight w:val="none"/>
                      <w:lang w:val="en-US" w:eastAsia="zh-CN"/>
                    </w:rPr>
                    <w:t>5</w:t>
                  </w:r>
                  <w:r>
                    <w:rPr>
                      <w:rFonts w:hint="eastAsia"/>
                      <w:color w:val="auto"/>
                      <w:kern w:val="0"/>
                      <w:sz w:val="18"/>
                      <w:szCs w:val="18"/>
                      <w:highlight w:val="none"/>
                    </w:rPr>
                    <w:t>.</w:t>
                  </w:r>
                  <w:r>
                    <w:rPr>
                      <w:rFonts w:hint="eastAsia"/>
                      <w:color w:val="auto"/>
                      <w:kern w:val="0"/>
                      <w:sz w:val="18"/>
                      <w:szCs w:val="18"/>
                      <w:highlight w:val="none"/>
                      <w:lang w:val="en-US" w:eastAsia="zh-CN"/>
                    </w:rPr>
                    <w:t>7.24</w:t>
                  </w:r>
                </w:p>
              </w:tc>
              <w:tc>
                <w:tcPr>
                  <w:tcW w:w="596" w:type="pct"/>
                  <w:tcBorders>
                    <w:tl2br w:val="nil"/>
                    <w:tr2bl w:val="nil"/>
                  </w:tcBorders>
                  <w:tcMar>
                    <w:top w:w="15" w:type="dxa"/>
                    <w:left w:w="15" w:type="dxa"/>
                    <w:right w:w="15" w:type="dxa"/>
                  </w:tcMar>
                  <w:vAlign w:val="center"/>
                </w:tcPr>
                <w:p w14:paraId="3339812D">
                  <w:pPr>
                    <w:pStyle w:val="28"/>
                    <w:keepNext w:val="0"/>
                    <w:keepLines w:val="0"/>
                    <w:suppressLineNumbers w:val="0"/>
                    <w:spacing w:before="0" w:beforeAutospacing="0" w:after="0" w:afterAutospacing="0" w:line="240" w:lineRule="exact"/>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45.7</w:t>
                  </w:r>
                </w:p>
              </w:tc>
              <w:tc>
                <w:tcPr>
                  <w:tcW w:w="613" w:type="pct"/>
                  <w:tcBorders>
                    <w:tl2br w:val="nil"/>
                    <w:tr2bl w:val="nil"/>
                  </w:tcBorders>
                  <w:tcMar>
                    <w:top w:w="15" w:type="dxa"/>
                    <w:left w:w="15" w:type="dxa"/>
                    <w:right w:w="15" w:type="dxa"/>
                  </w:tcMar>
                  <w:vAlign w:val="center"/>
                </w:tcPr>
                <w:p w14:paraId="17F09C62">
                  <w:pPr>
                    <w:keepNext w:val="0"/>
                    <w:keepLines w:val="0"/>
                    <w:suppressLineNumbers w:val="0"/>
                    <w:spacing w:before="0" w:beforeAutospacing="0" w:after="0" w:afterAutospacing="0"/>
                    <w:ind w:left="0" w:right="0"/>
                    <w:jc w:val="center"/>
                    <w:rPr>
                      <w:rFonts w:hint="default"/>
                      <w:color w:val="auto"/>
                      <w:kern w:val="0"/>
                      <w:sz w:val="18"/>
                      <w:szCs w:val="18"/>
                      <w:highlight w:val="none"/>
                      <w:lang w:val="en-US" w:eastAsia="zh-CN"/>
                    </w:rPr>
                  </w:pPr>
                  <w:r>
                    <w:rPr>
                      <w:rFonts w:hint="eastAsia"/>
                      <w:color w:val="auto"/>
                      <w:kern w:val="0"/>
                      <w:sz w:val="18"/>
                      <w:szCs w:val="18"/>
                      <w:highlight w:val="none"/>
                      <w:lang w:val="en-US" w:eastAsia="zh-CN"/>
                    </w:rPr>
                    <w:t>37.8</w:t>
                  </w:r>
                </w:p>
              </w:tc>
            </w:tr>
          </w:tbl>
          <w:p w14:paraId="512D8D84">
            <w:pPr>
              <w:pStyle w:val="51"/>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422"/>
              <w:jc w:val="both"/>
              <w:textAlignment w:val="auto"/>
              <w:rPr>
                <w:rFonts w:hint="default"/>
                <w:b/>
                <w:color w:val="auto"/>
                <w:sz w:val="21"/>
                <w:szCs w:val="21"/>
                <w:highlight w:val="none"/>
              </w:rPr>
            </w:pPr>
            <w:r>
              <w:rPr>
                <w:rFonts w:hint="default"/>
                <w:b/>
                <w:color w:val="auto"/>
                <w:sz w:val="21"/>
                <w:szCs w:val="21"/>
                <w:highlight w:val="none"/>
              </w:rPr>
              <w:t>4、生态环境</w:t>
            </w:r>
          </w:p>
          <w:p w14:paraId="759C36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color w:val="auto"/>
                <w:kern w:val="0"/>
                <w:szCs w:val="21"/>
                <w:highlight w:val="none"/>
              </w:rPr>
            </w:pPr>
            <w:r>
              <w:rPr>
                <w:rFonts w:hint="default"/>
                <w:color w:val="auto"/>
                <w:kern w:val="0"/>
                <w:szCs w:val="21"/>
                <w:highlight w:val="none"/>
              </w:rPr>
              <w:t>本项目用地范围内无生态环境保护目标，因此不进行生态现状调查。</w:t>
            </w:r>
          </w:p>
          <w:p w14:paraId="0B3262A2">
            <w:pPr>
              <w:pStyle w:val="51"/>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422"/>
              <w:jc w:val="both"/>
              <w:textAlignment w:val="auto"/>
              <w:rPr>
                <w:rFonts w:hint="default"/>
                <w:b/>
                <w:color w:val="auto"/>
                <w:sz w:val="21"/>
                <w:szCs w:val="21"/>
                <w:highlight w:val="none"/>
              </w:rPr>
            </w:pPr>
            <w:r>
              <w:rPr>
                <w:rFonts w:hint="default"/>
                <w:b/>
                <w:color w:val="auto"/>
                <w:sz w:val="21"/>
                <w:szCs w:val="21"/>
                <w:highlight w:val="none"/>
              </w:rPr>
              <w:t>5、地下水、土壤环境</w:t>
            </w:r>
          </w:p>
          <w:p w14:paraId="0AC18888">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lang w:val="en-US"/>
              </w:rPr>
            </w:pPr>
            <w:r>
              <w:rPr>
                <w:rFonts w:hint="default"/>
                <w:color w:val="auto"/>
                <w:kern w:val="0"/>
                <w:sz w:val="21"/>
                <w:szCs w:val="21"/>
                <w:highlight w:val="none"/>
              </w:rPr>
              <w:t>本项目属于</w:t>
            </w:r>
            <w:r>
              <w:rPr>
                <w:rFonts w:hint="eastAsia"/>
                <w:color w:val="auto"/>
                <w:kern w:val="0"/>
                <w:sz w:val="21"/>
                <w:szCs w:val="21"/>
                <w:highlight w:val="none"/>
                <w:lang w:val="en-US" w:eastAsia="zh-CN"/>
              </w:rPr>
              <w:t>农产品初加工</w:t>
            </w:r>
            <w:r>
              <w:rPr>
                <w:rFonts w:hint="default"/>
                <w:color w:val="auto"/>
                <w:kern w:val="0"/>
                <w:sz w:val="21"/>
                <w:szCs w:val="21"/>
                <w:highlight w:val="none"/>
              </w:rPr>
              <w:t>项目，</w:t>
            </w:r>
            <w:r>
              <w:rPr>
                <w:rFonts w:hint="eastAsia"/>
                <w:color w:val="auto"/>
                <w:kern w:val="0"/>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地面与裙脚</w:t>
            </w:r>
            <w:r>
              <w:rPr>
                <w:rFonts w:hint="eastAsia" w:ascii="Times New Roman" w:hAnsi="Times New Roman" w:cs="Times New Roman"/>
                <w:bCs/>
                <w:color w:val="auto"/>
                <w:sz w:val="21"/>
                <w:szCs w:val="21"/>
                <w:highlight w:val="none"/>
                <w:lang w:val="en-US" w:eastAsia="zh-CN"/>
              </w:rPr>
              <w:t>采取重点防渗</w:t>
            </w:r>
            <w:r>
              <w:rPr>
                <w:rFonts w:hint="eastAsia"/>
                <w:color w:val="auto"/>
                <w:kern w:val="0"/>
                <w:sz w:val="21"/>
                <w:szCs w:val="21"/>
                <w:highlight w:val="none"/>
                <w:lang w:val="en-US" w:eastAsia="zh-CN"/>
              </w:rPr>
              <w:t>，采用至少2mm厚的防渗人工材料，防渗系数≤10</w:t>
            </w:r>
            <w:r>
              <w:rPr>
                <w:rFonts w:hint="eastAsia"/>
                <w:color w:val="auto"/>
                <w:kern w:val="0"/>
                <w:sz w:val="21"/>
                <w:szCs w:val="21"/>
                <w:highlight w:val="none"/>
                <w:vertAlign w:val="superscript"/>
                <w:lang w:val="en-US" w:eastAsia="zh-CN"/>
              </w:rPr>
              <w:t>-10</w:t>
            </w:r>
            <w:r>
              <w:rPr>
                <w:rFonts w:hint="eastAsia"/>
                <w:color w:val="auto"/>
                <w:kern w:val="0"/>
                <w:sz w:val="21"/>
                <w:szCs w:val="21"/>
                <w:highlight w:val="none"/>
                <w:lang w:val="en-US" w:eastAsia="zh-CN"/>
              </w:rPr>
              <w:t>cm/s，厂区内其他区域采取简单防渗，采用水泥硬化。</w:t>
            </w:r>
            <w:r>
              <w:rPr>
                <w:rFonts w:hint="default"/>
                <w:color w:val="auto"/>
                <w:kern w:val="0"/>
                <w:sz w:val="21"/>
                <w:szCs w:val="21"/>
                <w:highlight w:val="none"/>
                <w:lang w:val="en-US" w:eastAsia="zh-CN"/>
              </w:rPr>
              <w:t>不</w:t>
            </w:r>
            <w:r>
              <w:rPr>
                <w:rFonts w:hint="default"/>
                <w:color w:val="auto"/>
                <w:kern w:val="0"/>
                <w:sz w:val="21"/>
                <w:szCs w:val="21"/>
                <w:highlight w:val="none"/>
              </w:rPr>
              <w:t>存在土壤、地下水污染途径，因此，不进行土壤、地下水环境质量现状监测。</w:t>
            </w:r>
          </w:p>
        </w:tc>
      </w:tr>
      <w:tr w14:paraId="3F5E89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 w:type="pct"/>
            <w:vAlign w:val="center"/>
          </w:tcPr>
          <w:p w14:paraId="2A8D985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环境保护目标</w:t>
            </w:r>
          </w:p>
        </w:tc>
        <w:tc>
          <w:tcPr>
            <w:tcW w:w="4547" w:type="pct"/>
            <w:vAlign w:val="center"/>
          </w:tcPr>
          <w:p w14:paraId="4938E7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eastAsia"/>
                <w:color w:val="auto"/>
                <w:lang w:eastAsia="zh-CN"/>
              </w:rPr>
            </w:pPr>
            <w:r>
              <w:rPr>
                <w:rFonts w:hint="eastAsia"/>
                <w:color w:val="auto"/>
                <w:kern w:val="0"/>
                <w:szCs w:val="21"/>
                <w:highlight w:val="none"/>
                <w:lang w:val="en-US" w:eastAsia="zh-CN"/>
              </w:rPr>
              <w:t>本项目位于黑龙江省鸡西市鸡东县东海镇发展村五组，发展村五组居民饮用水水源位</w:t>
            </w:r>
            <w:r>
              <w:rPr>
                <w:rFonts w:hint="eastAsia" w:cs="Times New Roman"/>
                <w:bCs/>
                <w:color w:val="auto"/>
                <w:szCs w:val="21"/>
                <w:highlight w:val="none"/>
                <w:lang w:val="en-US" w:eastAsia="zh-CN"/>
              </w:rPr>
              <w:t>于厂界西侧310米处，地理坐标（131.296207308, 45.310471057），供水人数小于1000人，为分散式水源井，</w:t>
            </w:r>
            <w:r>
              <w:rPr>
                <w:rFonts w:hint="default" w:ascii="Times New Roman" w:hAnsi="Times New Roman" w:eastAsia="宋体" w:cs="Times New Roman"/>
                <w:bCs/>
                <w:color w:val="auto"/>
                <w:szCs w:val="21"/>
                <w:highlight w:val="none"/>
              </w:rPr>
              <w:t>本项目厂界外500米范围内无地下水集中式饮用水水源和热水、矿泉水、温泉等特殊地下水资源；无自然保护区、风景名胜区</w:t>
            </w:r>
            <w:r>
              <w:rPr>
                <w:rFonts w:hint="eastAsia" w:cs="Times New Roman"/>
                <w:bCs/>
                <w:color w:val="auto"/>
                <w:szCs w:val="21"/>
                <w:highlight w:val="none"/>
                <w:lang w:eastAsia="zh-CN"/>
              </w:rPr>
              <w:t>；</w:t>
            </w:r>
            <w:r>
              <w:rPr>
                <w:rFonts w:hint="default"/>
                <w:color w:val="auto"/>
                <w:highlight w:val="none"/>
              </w:rPr>
              <w:t>本项目不涉及生态环境保护目标</w:t>
            </w:r>
            <w:r>
              <w:rPr>
                <w:rFonts w:hint="eastAsia"/>
                <w:color w:val="auto"/>
                <w:highlight w:val="none"/>
                <w:lang w:eastAsia="zh-CN"/>
              </w:rPr>
              <w:t>，</w:t>
            </w:r>
            <w:r>
              <w:rPr>
                <w:rFonts w:hint="default" w:ascii="Times New Roman" w:hAnsi="Times New Roman" w:eastAsia="宋体" w:cs="Times New Roman"/>
                <w:bCs/>
                <w:color w:val="auto"/>
                <w:szCs w:val="21"/>
                <w:highlight w:val="none"/>
              </w:rPr>
              <w:t>本项目</w:t>
            </w:r>
            <w:r>
              <w:rPr>
                <w:rFonts w:hint="eastAsia"/>
                <w:color w:val="auto"/>
                <w:highlight w:val="none"/>
                <w:lang w:val="en-US" w:eastAsia="zh-CN"/>
              </w:rPr>
              <w:t>厂界外</w:t>
            </w:r>
            <w:r>
              <w:rPr>
                <w:rFonts w:hint="default" w:ascii="Times New Roman" w:hAnsi="Times New Roman" w:eastAsia="宋体" w:cs="Times New Roman"/>
                <w:bCs/>
                <w:color w:val="auto"/>
                <w:szCs w:val="21"/>
                <w:highlight w:val="none"/>
              </w:rPr>
              <w:t>50米范围内声环境保护目标；500米范围内大气环境保护目标</w:t>
            </w:r>
            <w:r>
              <w:rPr>
                <w:rFonts w:hint="default"/>
                <w:color w:val="auto"/>
              </w:rPr>
              <w:t>，详见</w:t>
            </w:r>
            <w:r>
              <w:rPr>
                <w:rFonts w:hint="eastAsia"/>
                <w:color w:val="auto"/>
                <w:lang w:val="en-US" w:eastAsia="zh-CN"/>
              </w:rPr>
              <w:t>下</w:t>
            </w:r>
            <w:r>
              <w:rPr>
                <w:rFonts w:hint="default"/>
                <w:color w:val="auto"/>
              </w:rPr>
              <w:t>表</w:t>
            </w:r>
            <w:r>
              <w:rPr>
                <w:rFonts w:hint="eastAsia"/>
                <w:color w:val="auto"/>
                <w:lang w:eastAsia="zh-CN"/>
              </w:rPr>
              <w:t>。</w:t>
            </w:r>
          </w:p>
          <w:p w14:paraId="3D824D32">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表3-</w:t>
            </w:r>
            <w:r>
              <w:rPr>
                <w:rFonts w:hint="eastAsia" w:ascii="Times New Roman" w:hAnsi="Times New Roman" w:eastAsia="宋体" w:cs="Times New Roman"/>
                <w:b/>
                <w:bCs/>
                <w:color w:val="auto"/>
                <w:szCs w:val="21"/>
                <w:highlight w:val="none"/>
                <w:lang w:val="en-US" w:eastAsia="zh-CN"/>
              </w:rPr>
              <w:t xml:space="preserve">5 </w:t>
            </w:r>
            <w:r>
              <w:rPr>
                <w:rFonts w:hint="eastAsia" w:ascii="Times New Roman" w:hAnsi="Times New Roman" w:eastAsia="宋体" w:cs="Times New Roman"/>
                <w:b/>
                <w:bCs/>
                <w:color w:val="auto"/>
                <w:szCs w:val="21"/>
                <w:highlight w:val="none"/>
                <w:lang w:eastAsia="zh-CN"/>
              </w:rPr>
              <w:t>环境空气敏感</w:t>
            </w:r>
            <w:r>
              <w:rPr>
                <w:rFonts w:hint="eastAsia" w:ascii="Times New Roman" w:hAnsi="Times New Roman" w:eastAsia="宋体" w:cs="Times New Roman"/>
                <w:b/>
                <w:bCs/>
                <w:color w:val="auto"/>
                <w:szCs w:val="21"/>
                <w:highlight w:val="none"/>
              </w:rPr>
              <w:t>保护目标情况一览表</w:t>
            </w:r>
          </w:p>
          <w:tbl>
            <w:tblPr>
              <w:tblStyle w:val="36"/>
              <w:tblW w:w="5001"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3"/>
              <w:gridCol w:w="995"/>
              <w:gridCol w:w="1357"/>
              <w:gridCol w:w="1223"/>
              <w:gridCol w:w="961"/>
              <w:gridCol w:w="604"/>
              <w:gridCol w:w="777"/>
              <w:gridCol w:w="777"/>
              <w:gridCol w:w="775"/>
            </w:tblGrid>
            <w:tr w14:paraId="2E0379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restart"/>
                  <w:tcBorders>
                    <w:top w:val="single" w:color="auto" w:sz="12" w:space="0"/>
                  </w:tcBorders>
                  <w:noWrap w:val="0"/>
                  <w:vAlign w:val="center"/>
                </w:tcPr>
                <w:p w14:paraId="03B1B7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环境要素</w:t>
                  </w:r>
                </w:p>
              </w:tc>
              <w:tc>
                <w:tcPr>
                  <w:tcW w:w="616" w:type="pct"/>
                  <w:vMerge w:val="restart"/>
                  <w:tcBorders>
                    <w:top w:val="single" w:color="auto" w:sz="12" w:space="0"/>
                  </w:tcBorders>
                  <w:noWrap w:val="0"/>
                  <w:vAlign w:val="center"/>
                </w:tcPr>
                <w:p w14:paraId="7A555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w:t>
                  </w:r>
                </w:p>
                <w:p w14:paraId="4AC87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对象</w:t>
                  </w:r>
                </w:p>
              </w:tc>
              <w:tc>
                <w:tcPr>
                  <w:tcW w:w="1597" w:type="pct"/>
                  <w:gridSpan w:val="2"/>
                  <w:tcBorders>
                    <w:top w:val="single" w:color="auto" w:sz="12" w:space="0"/>
                  </w:tcBorders>
                  <w:noWrap w:val="0"/>
                  <w:vAlign w:val="center"/>
                </w:tcPr>
                <w:p w14:paraId="4766CC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坐标</w:t>
                  </w:r>
                  <w:r>
                    <w:rPr>
                      <w:rFonts w:hint="default" w:ascii="Times New Roman" w:hAnsi="Times New Roman" w:cs="Times New Roman"/>
                      <w:color w:val="auto"/>
                      <w:kern w:val="0"/>
                      <w:sz w:val="18"/>
                      <w:szCs w:val="18"/>
                      <w:highlight w:val="none"/>
                    </w:rPr>
                    <w:t>/°</w:t>
                  </w:r>
                </w:p>
              </w:tc>
              <w:tc>
                <w:tcPr>
                  <w:tcW w:w="595" w:type="pct"/>
                  <w:vMerge w:val="restart"/>
                  <w:tcBorders>
                    <w:top w:val="single" w:color="auto" w:sz="12" w:space="0"/>
                  </w:tcBorders>
                  <w:noWrap w:val="0"/>
                  <w:vAlign w:val="center"/>
                </w:tcPr>
                <w:p w14:paraId="4529D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保护对象</w:t>
                  </w:r>
                </w:p>
              </w:tc>
              <w:tc>
                <w:tcPr>
                  <w:tcW w:w="374" w:type="pct"/>
                  <w:vMerge w:val="restart"/>
                  <w:tcBorders>
                    <w:top w:val="single" w:color="auto" w:sz="12" w:space="0"/>
                  </w:tcBorders>
                  <w:noWrap w:val="0"/>
                  <w:vAlign w:val="center"/>
                </w:tcPr>
                <w:p w14:paraId="4B0A3C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保护内容</w:t>
                  </w:r>
                </w:p>
              </w:tc>
              <w:tc>
                <w:tcPr>
                  <w:tcW w:w="481" w:type="pct"/>
                  <w:vMerge w:val="restart"/>
                  <w:tcBorders>
                    <w:top w:val="single" w:color="auto" w:sz="12" w:space="0"/>
                  </w:tcBorders>
                  <w:noWrap w:val="0"/>
                  <w:vAlign w:val="center"/>
                </w:tcPr>
                <w:p w14:paraId="210B39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w:t>
                  </w:r>
                </w:p>
                <w:p w14:paraId="7CD2C3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功能区</w:t>
                  </w:r>
                </w:p>
              </w:tc>
              <w:tc>
                <w:tcPr>
                  <w:tcW w:w="481" w:type="pct"/>
                  <w:vMerge w:val="restart"/>
                  <w:tcBorders>
                    <w:top w:val="single" w:color="auto" w:sz="12" w:space="0"/>
                  </w:tcBorders>
                  <w:noWrap w:val="0"/>
                  <w:vAlign w:val="center"/>
                </w:tcPr>
                <w:p w14:paraId="703C1B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相对厂址方位</w:t>
                  </w:r>
                </w:p>
              </w:tc>
              <w:tc>
                <w:tcPr>
                  <w:tcW w:w="480" w:type="pct"/>
                  <w:vMerge w:val="restart"/>
                  <w:tcBorders>
                    <w:top w:val="single" w:color="auto" w:sz="12" w:space="0"/>
                  </w:tcBorders>
                  <w:noWrap w:val="0"/>
                  <w:vAlign w:val="center"/>
                </w:tcPr>
                <w:p w14:paraId="687D2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相对厂界距离</w:t>
                  </w:r>
                </w:p>
              </w:tc>
            </w:tr>
            <w:tr w14:paraId="3F204D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continue"/>
                  <w:noWrap w:val="0"/>
                  <w:vAlign w:val="center"/>
                </w:tcPr>
                <w:p w14:paraId="06267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p>
              </w:tc>
              <w:tc>
                <w:tcPr>
                  <w:tcW w:w="616" w:type="pct"/>
                  <w:vMerge w:val="continue"/>
                  <w:noWrap w:val="0"/>
                  <w:vAlign w:val="center"/>
                </w:tcPr>
                <w:p w14:paraId="540A4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p>
              </w:tc>
              <w:tc>
                <w:tcPr>
                  <w:tcW w:w="840" w:type="pct"/>
                  <w:noWrap w:val="0"/>
                  <w:vAlign w:val="center"/>
                </w:tcPr>
                <w:p w14:paraId="7380FB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东经</w:t>
                  </w:r>
                </w:p>
              </w:tc>
              <w:tc>
                <w:tcPr>
                  <w:tcW w:w="756" w:type="pct"/>
                  <w:noWrap w:val="0"/>
                  <w:vAlign w:val="center"/>
                </w:tcPr>
                <w:p w14:paraId="6BD80B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北纬</w:t>
                  </w:r>
                </w:p>
              </w:tc>
              <w:tc>
                <w:tcPr>
                  <w:tcW w:w="595" w:type="pct"/>
                  <w:vMerge w:val="continue"/>
                  <w:noWrap w:val="0"/>
                  <w:vAlign w:val="center"/>
                </w:tcPr>
                <w:p w14:paraId="51D6D3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374" w:type="pct"/>
                  <w:vMerge w:val="continue"/>
                  <w:noWrap w:val="0"/>
                  <w:vAlign w:val="center"/>
                </w:tcPr>
                <w:p w14:paraId="3AD0C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81" w:type="pct"/>
                  <w:vMerge w:val="continue"/>
                  <w:noWrap w:val="0"/>
                  <w:vAlign w:val="center"/>
                </w:tcPr>
                <w:p w14:paraId="5A6A17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81" w:type="pct"/>
                  <w:vMerge w:val="continue"/>
                  <w:noWrap w:val="0"/>
                  <w:vAlign w:val="center"/>
                </w:tcPr>
                <w:p w14:paraId="39EAA3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80" w:type="pct"/>
                  <w:vMerge w:val="continue"/>
                  <w:noWrap w:val="0"/>
                  <w:vAlign w:val="center"/>
                </w:tcPr>
                <w:p w14:paraId="512DB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r>
            <w:tr w14:paraId="05304D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restart"/>
                  <w:noWrap w:val="0"/>
                  <w:vAlign w:val="center"/>
                </w:tcPr>
                <w:p w14:paraId="663600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大气环境</w:t>
                  </w:r>
                </w:p>
              </w:tc>
              <w:tc>
                <w:tcPr>
                  <w:tcW w:w="616" w:type="pct"/>
                  <w:noWrap w:val="0"/>
                  <w:vAlign w:val="center"/>
                </w:tcPr>
                <w:p w14:paraId="007A63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发展村五组</w:t>
                  </w:r>
                </w:p>
              </w:tc>
              <w:tc>
                <w:tcPr>
                  <w:tcW w:w="840" w:type="pct"/>
                  <w:noWrap w:val="0"/>
                  <w:vAlign w:val="center"/>
                </w:tcPr>
                <w:p w14:paraId="5105E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eastAsia="zh-CN"/>
                    </w:rPr>
                    <w:t>131.300042</w:t>
                  </w:r>
                </w:p>
              </w:tc>
              <w:tc>
                <w:tcPr>
                  <w:tcW w:w="756" w:type="pct"/>
                  <w:noWrap w:val="0"/>
                  <w:vAlign w:val="center"/>
                </w:tcPr>
                <w:p w14:paraId="7F504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eastAsia="zh-CN"/>
                    </w:rPr>
                    <w:t>45.310637</w:t>
                  </w:r>
                </w:p>
              </w:tc>
              <w:tc>
                <w:tcPr>
                  <w:tcW w:w="961" w:type="dxa"/>
                  <w:noWrap w:val="0"/>
                  <w:vAlign w:val="center"/>
                </w:tcPr>
                <w:p w14:paraId="7AA5EC90">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default" w:ascii="Times New Roman" w:hAnsi="Times New Roman" w:cs="Times New Roman"/>
                      <w:color w:val="FF0000"/>
                      <w:sz w:val="18"/>
                      <w:szCs w:val="18"/>
                      <w:highlight w:val="none"/>
                      <w:lang w:val="en-US" w:eastAsia="zh-CN"/>
                    </w:rPr>
                  </w:pPr>
                  <w:r>
                    <w:rPr>
                      <w:rFonts w:hint="eastAsia" w:cs="Times New Roman"/>
                      <w:color w:val="FF0000"/>
                      <w:sz w:val="18"/>
                      <w:szCs w:val="18"/>
                      <w:highlight w:val="none"/>
                      <w:lang w:val="en-US" w:eastAsia="zh-CN"/>
                    </w:rPr>
                    <w:t>农村人口集中区</w:t>
                  </w:r>
                </w:p>
              </w:tc>
              <w:tc>
                <w:tcPr>
                  <w:tcW w:w="374" w:type="pct"/>
                  <w:noWrap w:val="0"/>
                  <w:vAlign w:val="center"/>
                </w:tcPr>
                <w:p w14:paraId="4928A7D3">
                  <w:pPr>
                    <w:pStyle w:val="51"/>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人群</w:t>
                  </w:r>
                </w:p>
              </w:tc>
              <w:tc>
                <w:tcPr>
                  <w:tcW w:w="481" w:type="pct"/>
                  <w:noWrap w:val="0"/>
                  <w:vAlign w:val="center"/>
                </w:tcPr>
                <w:p w14:paraId="6C771E53">
                  <w:pPr>
                    <w:pStyle w:val="51"/>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环境空气二类区</w:t>
                  </w:r>
                </w:p>
              </w:tc>
              <w:tc>
                <w:tcPr>
                  <w:tcW w:w="481" w:type="pct"/>
                  <w:noWrap w:val="0"/>
                  <w:vAlign w:val="center"/>
                </w:tcPr>
                <w:p w14:paraId="7D923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FF0000"/>
                      <w:sz w:val="18"/>
                      <w:szCs w:val="18"/>
                      <w:highlight w:val="none"/>
                      <w:lang w:val="en-US" w:eastAsia="zh-CN"/>
                    </w:rPr>
                  </w:pPr>
                  <w:r>
                    <w:rPr>
                      <w:rFonts w:hint="eastAsia" w:cs="Times New Roman"/>
                      <w:color w:val="FF0000"/>
                      <w:sz w:val="18"/>
                      <w:szCs w:val="18"/>
                      <w:highlight w:val="none"/>
                      <w:lang w:val="en-US" w:eastAsia="zh-CN"/>
                    </w:rPr>
                    <w:t>西、南</w:t>
                  </w:r>
                </w:p>
              </w:tc>
              <w:tc>
                <w:tcPr>
                  <w:tcW w:w="480" w:type="pct"/>
                  <w:noWrap w:val="0"/>
                  <w:vAlign w:val="center"/>
                </w:tcPr>
                <w:p w14:paraId="48679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FF0000"/>
                      <w:sz w:val="18"/>
                      <w:szCs w:val="18"/>
                      <w:highlight w:val="none"/>
                      <w:lang w:val="en-US" w:eastAsia="zh-CN"/>
                    </w:rPr>
                  </w:pPr>
                  <w:r>
                    <w:rPr>
                      <w:rFonts w:hint="eastAsia" w:cs="Times New Roman"/>
                      <w:color w:val="FF0000"/>
                      <w:sz w:val="18"/>
                      <w:szCs w:val="18"/>
                      <w:highlight w:val="none"/>
                      <w:lang w:val="en-US" w:eastAsia="zh-CN"/>
                    </w:rPr>
                    <w:t>15m</w:t>
                  </w:r>
                </w:p>
              </w:tc>
            </w:tr>
            <w:tr w14:paraId="6F462A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continue"/>
                  <w:tcBorders>
                    <w:bottom w:val="single" w:color="auto" w:sz="12" w:space="0"/>
                  </w:tcBorders>
                  <w:noWrap w:val="0"/>
                  <w:vAlign w:val="center"/>
                </w:tcPr>
                <w:p w14:paraId="4E8401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p>
              </w:tc>
              <w:tc>
                <w:tcPr>
                  <w:tcW w:w="616" w:type="pct"/>
                  <w:tcBorders>
                    <w:bottom w:val="single" w:color="auto" w:sz="12" w:space="0"/>
                  </w:tcBorders>
                  <w:shd w:val="clear" w:color="auto" w:fill="auto"/>
                  <w:noWrap w:val="0"/>
                  <w:vAlign w:val="center"/>
                </w:tcPr>
                <w:p w14:paraId="443479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岭西屯</w:t>
                  </w:r>
                </w:p>
              </w:tc>
              <w:tc>
                <w:tcPr>
                  <w:tcW w:w="840" w:type="pct"/>
                  <w:tcBorders>
                    <w:bottom w:val="single" w:color="auto" w:sz="12" w:space="0"/>
                  </w:tcBorders>
                  <w:shd w:val="clear" w:color="auto" w:fill="auto"/>
                  <w:noWrap w:val="0"/>
                  <w:vAlign w:val="center"/>
                </w:tcPr>
                <w:p w14:paraId="709818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eastAsia="zh-CN"/>
                    </w:rPr>
                    <w:t>131.305482</w:t>
                  </w:r>
                </w:p>
              </w:tc>
              <w:tc>
                <w:tcPr>
                  <w:tcW w:w="756" w:type="pct"/>
                  <w:tcBorders>
                    <w:bottom w:val="single" w:color="auto" w:sz="12" w:space="0"/>
                  </w:tcBorders>
                  <w:shd w:val="clear" w:color="auto" w:fill="auto"/>
                  <w:noWrap w:val="0"/>
                  <w:vAlign w:val="center"/>
                </w:tcPr>
                <w:p w14:paraId="147E64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eastAsia="zh-CN"/>
                    </w:rPr>
                    <w:t>45.309827</w:t>
                  </w:r>
                </w:p>
              </w:tc>
              <w:tc>
                <w:tcPr>
                  <w:tcW w:w="961" w:type="dxa"/>
                  <w:tcBorders>
                    <w:bottom w:val="single" w:color="auto" w:sz="12" w:space="0"/>
                  </w:tcBorders>
                  <w:shd w:val="clear" w:color="auto" w:fill="auto"/>
                  <w:noWrap w:val="0"/>
                  <w:vAlign w:val="center"/>
                </w:tcPr>
                <w:p w14:paraId="01187198">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default" w:ascii="Times New Roman" w:hAnsi="Times New Roman" w:eastAsia="宋体" w:cs="Times New Roman"/>
                      <w:color w:val="FF0000"/>
                      <w:kern w:val="2"/>
                      <w:sz w:val="18"/>
                      <w:szCs w:val="18"/>
                      <w:highlight w:val="none"/>
                      <w:lang w:val="en-US" w:eastAsia="zh-CN" w:bidi="ar-SA"/>
                    </w:rPr>
                  </w:pPr>
                  <w:r>
                    <w:rPr>
                      <w:rFonts w:hint="eastAsia" w:cs="Times New Roman"/>
                      <w:color w:val="FF0000"/>
                      <w:sz w:val="18"/>
                      <w:szCs w:val="18"/>
                      <w:highlight w:val="none"/>
                      <w:lang w:val="en-US" w:eastAsia="zh-CN"/>
                    </w:rPr>
                    <w:t>农村人口集中区</w:t>
                  </w:r>
                </w:p>
              </w:tc>
              <w:tc>
                <w:tcPr>
                  <w:tcW w:w="374" w:type="pct"/>
                  <w:tcBorders>
                    <w:bottom w:val="single" w:color="auto" w:sz="12" w:space="0"/>
                  </w:tcBorders>
                  <w:shd w:val="clear" w:color="auto" w:fill="auto"/>
                  <w:noWrap w:val="0"/>
                  <w:vAlign w:val="center"/>
                </w:tcPr>
                <w:p w14:paraId="52F7FD8D">
                  <w:pPr>
                    <w:pStyle w:val="51"/>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人群</w:t>
                  </w:r>
                </w:p>
              </w:tc>
              <w:tc>
                <w:tcPr>
                  <w:tcW w:w="481" w:type="pct"/>
                  <w:tcBorders>
                    <w:bottom w:val="single" w:color="auto" w:sz="12" w:space="0"/>
                  </w:tcBorders>
                  <w:shd w:val="clear" w:color="auto" w:fill="auto"/>
                  <w:noWrap w:val="0"/>
                  <w:vAlign w:val="center"/>
                </w:tcPr>
                <w:p w14:paraId="7D109128">
                  <w:pPr>
                    <w:pStyle w:val="51"/>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环境空气二类区</w:t>
                  </w:r>
                </w:p>
              </w:tc>
              <w:tc>
                <w:tcPr>
                  <w:tcW w:w="481" w:type="pct"/>
                  <w:tcBorders>
                    <w:bottom w:val="single" w:color="auto" w:sz="12" w:space="0"/>
                  </w:tcBorders>
                  <w:shd w:val="clear" w:color="auto" w:fill="auto"/>
                  <w:noWrap w:val="0"/>
                  <w:vAlign w:val="center"/>
                </w:tcPr>
                <w:p w14:paraId="5BC318FF">
                  <w:pPr>
                    <w:keepNext w:val="0"/>
                    <w:keepLines w:val="0"/>
                    <w:pageBreakBefore w:val="0"/>
                    <w:widowControl/>
                    <w:suppressLineNumbers w:val="0"/>
                    <w:tabs>
                      <w:tab w:val="center" w:pos="339"/>
                      <w:tab w:val="left" w:pos="453"/>
                    </w:tabs>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东南</w:t>
                  </w:r>
                </w:p>
              </w:tc>
              <w:tc>
                <w:tcPr>
                  <w:tcW w:w="480" w:type="pct"/>
                  <w:tcBorders>
                    <w:bottom w:val="single" w:color="auto" w:sz="12" w:space="0"/>
                  </w:tcBorders>
                  <w:noWrap w:val="0"/>
                  <w:vAlign w:val="center"/>
                </w:tcPr>
                <w:p w14:paraId="1EDBEB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430m</w:t>
                  </w:r>
                </w:p>
              </w:tc>
            </w:tr>
          </w:tbl>
          <w:p w14:paraId="4241F909">
            <w:pPr>
              <w:keepNext w:val="0"/>
              <w:keepLines w:val="0"/>
              <w:pageBreakBefore w:val="0"/>
              <w:widowControl w:val="0"/>
              <w:suppressLineNumbers w:val="0"/>
              <w:kinsoku/>
              <w:wordWrap/>
              <w:overflowPunct/>
              <w:topLinePunct/>
              <w:autoSpaceDE/>
              <w:autoSpaceDN/>
              <w:bidi w:val="0"/>
              <w:adjustRightInd/>
              <w:snapToGrid/>
              <w:spacing w:before="0" w:beforeAutospacing="0" w:after="0" w:afterAutospacing="0" w:line="360" w:lineRule="auto"/>
              <w:ind w:left="0" w:right="0" w:firstLine="0" w:firstLineChars="0"/>
              <w:jc w:val="center"/>
              <w:textAlignment w:val="auto"/>
              <w:rPr>
                <w:rFonts w:hint="default"/>
                <w:color w:val="auto"/>
                <w:sz w:val="21"/>
                <w:vertAlign w:val="baseline"/>
              </w:rPr>
            </w:pPr>
            <w:r>
              <w:rPr>
                <w:rFonts w:hint="eastAsia" w:ascii="Times New Roman" w:hAnsi="Times New Roman" w:eastAsia="宋体" w:cs="Times New Roman"/>
                <w:b/>
                <w:bCs/>
                <w:color w:val="auto"/>
                <w:szCs w:val="21"/>
                <w:highlight w:val="none"/>
                <w:lang w:eastAsia="zh-CN"/>
              </w:rPr>
              <w:t>表</w:t>
            </w:r>
            <w:r>
              <w:rPr>
                <w:rFonts w:hint="default" w:ascii="Times New Roman" w:hAnsi="Times New Roman" w:eastAsia="宋体" w:cs="Times New Roman"/>
                <w:b/>
                <w:bCs/>
                <w:color w:val="auto"/>
                <w:szCs w:val="21"/>
                <w:highlight w:val="none"/>
                <w:lang w:val="en-US" w:eastAsia="zh-CN"/>
              </w:rPr>
              <w:t>3</w:t>
            </w:r>
            <w:r>
              <w:rPr>
                <w:rFonts w:hint="eastAsia" w:ascii="Times New Roman" w:hAnsi="Times New Roman" w:eastAsia="宋体" w:cs="Times New Roman"/>
                <w:b/>
                <w:bCs/>
                <w:color w:val="auto"/>
                <w:szCs w:val="21"/>
                <w:highlight w:val="none"/>
                <w:lang w:val="en-US" w:eastAsia="zh-CN"/>
              </w:rPr>
              <w:t>-</w:t>
            </w:r>
            <w:r>
              <w:rPr>
                <w:rFonts w:hint="default" w:ascii="Times New Roman" w:hAnsi="Times New Roman" w:eastAsia="宋体" w:cs="Times New Roman"/>
                <w:b/>
                <w:bCs/>
                <w:color w:val="auto"/>
                <w:szCs w:val="21"/>
                <w:highlight w:val="none"/>
                <w:lang w:val="en-US" w:eastAsia="zh-CN"/>
              </w:rPr>
              <w:t>6</w:t>
            </w:r>
            <w:r>
              <w:rPr>
                <w:rFonts w:hint="eastAsia" w:ascii="Times New Roman" w:hAnsi="Times New Roman" w:eastAsia="宋体" w:cs="Times New Roman"/>
                <w:b/>
                <w:bCs/>
                <w:color w:val="auto"/>
                <w:szCs w:val="21"/>
                <w:highlight w:val="none"/>
                <w:lang w:val="en-US" w:eastAsia="zh-CN"/>
              </w:rPr>
              <w:t>声环境敏感目标情况一览表</w:t>
            </w:r>
          </w:p>
          <w:tbl>
            <w:tblPr>
              <w:tblStyle w:val="37"/>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6"/>
              <w:gridCol w:w="1071"/>
              <w:gridCol w:w="981"/>
              <w:gridCol w:w="986"/>
              <w:gridCol w:w="462"/>
              <w:gridCol w:w="944"/>
              <w:gridCol w:w="2695"/>
            </w:tblGrid>
            <w:tr w14:paraId="098CE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restart"/>
                  <w:tcBorders>
                    <w:tl2br w:val="nil"/>
                    <w:tr2bl w:val="nil"/>
                  </w:tcBorders>
                  <w:vAlign w:val="center"/>
                </w:tcPr>
                <w:p w14:paraId="75F42E83">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default"/>
                      <w:color w:val="auto"/>
                      <w:sz w:val="18"/>
                      <w:szCs w:val="18"/>
                      <w:vertAlign w:val="baseline"/>
                    </w:rPr>
                  </w:pPr>
                  <w:r>
                    <w:rPr>
                      <w:rFonts w:hint="default" w:ascii="Times New Roman" w:hAnsi="Times New Roman" w:eastAsia="宋体" w:cs="Times New Roman"/>
                      <w:color w:val="auto"/>
                      <w:sz w:val="18"/>
                      <w:szCs w:val="18"/>
                    </w:rPr>
                    <w:t>声环境保护目标名称</w:t>
                  </w:r>
                </w:p>
              </w:tc>
              <w:tc>
                <w:tcPr>
                  <w:tcW w:w="0" w:type="auto"/>
                  <w:gridSpan w:val="2"/>
                  <w:tcBorders>
                    <w:tl2br w:val="nil"/>
                    <w:tr2bl w:val="nil"/>
                  </w:tcBorders>
                  <w:vAlign w:val="center"/>
                </w:tcPr>
                <w:p w14:paraId="474D60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18"/>
                      <w:szCs w:val="18"/>
                      <w:vertAlign w:val="baseline"/>
                    </w:rPr>
                  </w:pPr>
                  <w:r>
                    <w:rPr>
                      <w:rFonts w:hint="default" w:ascii="Times New Roman" w:hAnsi="Times New Roman" w:cs="Times New Roman"/>
                      <w:color w:val="auto"/>
                      <w:sz w:val="18"/>
                      <w:szCs w:val="18"/>
                      <w:highlight w:val="none"/>
                      <w:lang w:val="en-US" w:eastAsia="zh-CN"/>
                    </w:rPr>
                    <w:t>坐标</w:t>
                  </w:r>
                  <w:r>
                    <w:rPr>
                      <w:rFonts w:hint="default" w:ascii="Times New Roman" w:hAnsi="Times New Roman" w:cs="Times New Roman"/>
                      <w:color w:val="auto"/>
                      <w:kern w:val="0"/>
                      <w:sz w:val="18"/>
                      <w:szCs w:val="18"/>
                      <w:highlight w:val="none"/>
                    </w:rPr>
                    <w:t>/°</w:t>
                  </w:r>
                </w:p>
              </w:tc>
              <w:tc>
                <w:tcPr>
                  <w:tcW w:w="0" w:type="auto"/>
                  <w:vMerge w:val="restart"/>
                  <w:tcBorders>
                    <w:tl2br w:val="nil"/>
                    <w:tr2bl w:val="nil"/>
                  </w:tcBorders>
                  <w:vAlign w:val="center"/>
                </w:tcPr>
                <w:p w14:paraId="0B6834F7">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default"/>
                      <w:color w:val="auto"/>
                      <w:sz w:val="18"/>
                      <w:szCs w:val="18"/>
                      <w:vertAlign w:val="baseline"/>
                    </w:rPr>
                  </w:pPr>
                  <w:r>
                    <w:rPr>
                      <w:rFonts w:hint="default" w:ascii="Times New Roman" w:hAnsi="Times New Roman" w:eastAsia="宋体" w:cs="Times New Roman"/>
                      <w:color w:val="auto"/>
                      <w:sz w:val="18"/>
                      <w:szCs w:val="18"/>
                    </w:rPr>
                    <w:t>距厂界最近距 离/m</w:t>
                  </w:r>
                </w:p>
              </w:tc>
              <w:tc>
                <w:tcPr>
                  <w:tcW w:w="0" w:type="auto"/>
                  <w:vMerge w:val="restart"/>
                  <w:tcBorders>
                    <w:tl2br w:val="nil"/>
                    <w:tr2bl w:val="nil"/>
                  </w:tcBorders>
                  <w:vAlign w:val="center"/>
                </w:tcPr>
                <w:p w14:paraId="30E304EC">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default"/>
                      <w:color w:val="auto"/>
                      <w:sz w:val="18"/>
                      <w:szCs w:val="18"/>
                      <w:vertAlign w:val="baseline"/>
                    </w:rPr>
                  </w:pPr>
                  <w:r>
                    <w:rPr>
                      <w:rFonts w:hint="default" w:ascii="Times New Roman" w:hAnsi="Times New Roman" w:eastAsia="宋体" w:cs="Times New Roman"/>
                      <w:color w:val="auto"/>
                      <w:sz w:val="18"/>
                      <w:szCs w:val="18"/>
                    </w:rPr>
                    <w:t>方位</w:t>
                  </w:r>
                </w:p>
              </w:tc>
              <w:tc>
                <w:tcPr>
                  <w:tcW w:w="0" w:type="auto"/>
                  <w:vMerge w:val="restart"/>
                  <w:tcBorders>
                    <w:tl2br w:val="nil"/>
                    <w:tr2bl w:val="nil"/>
                  </w:tcBorders>
                  <w:vAlign w:val="center"/>
                </w:tcPr>
                <w:p w14:paraId="2344E65A">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default"/>
                      <w:color w:val="auto"/>
                      <w:sz w:val="18"/>
                      <w:szCs w:val="18"/>
                      <w:vertAlign w:val="baseline"/>
                    </w:rPr>
                  </w:pPr>
                  <w:r>
                    <w:rPr>
                      <w:rFonts w:hint="default" w:ascii="Times New Roman" w:hAnsi="Times New Roman" w:eastAsia="宋体" w:cs="Times New Roman"/>
                      <w:color w:val="auto"/>
                      <w:sz w:val="18"/>
                      <w:szCs w:val="18"/>
                    </w:rPr>
                    <w:t>执行标准/功能区类别</w:t>
                  </w:r>
                </w:p>
              </w:tc>
              <w:tc>
                <w:tcPr>
                  <w:tcW w:w="0" w:type="auto"/>
                  <w:vMerge w:val="restart"/>
                  <w:tcBorders>
                    <w:tl2br w:val="nil"/>
                    <w:tr2bl w:val="nil"/>
                  </w:tcBorders>
                  <w:vAlign w:val="center"/>
                </w:tcPr>
                <w:p w14:paraId="24BA18E0">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default"/>
                      <w:color w:val="auto"/>
                      <w:sz w:val="18"/>
                      <w:szCs w:val="18"/>
                      <w:vertAlign w:val="baseline"/>
                    </w:rPr>
                  </w:pPr>
                  <w:r>
                    <w:rPr>
                      <w:rFonts w:hint="default" w:ascii="Times New Roman" w:hAnsi="Times New Roman" w:eastAsia="宋体" w:cs="Times New Roman"/>
                      <w:color w:val="auto"/>
                      <w:sz w:val="18"/>
                      <w:szCs w:val="18"/>
                    </w:rPr>
                    <w:t>声环境保护目标情况说明</w:t>
                  </w:r>
                </w:p>
              </w:tc>
            </w:tr>
            <w:tr w14:paraId="0C848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0" w:type="auto"/>
                  <w:vMerge w:val="continue"/>
                  <w:tcBorders>
                    <w:tl2br w:val="nil"/>
                    <w:tr2bl w:val="nil"/>
                  </w:tcBorders>
                  <w:vAlign w:val="center"/>
                </w:tcPr>
                <w:p w14:paraId="0993642E">
                  <w:pPr>
                    <w:keepNext w:val="0"/>
                    <w:keepLines w:val="0"/>
                    <w:suppressLineNumbers w:val="0"/>
                    <w:spacing w:before="0" w:beforeAutospacing="0" w:after="0" w:afterAutospacing="0"/>
                    <w:ind w:left="0" w:right="0"/>
                    <w:jc w:val="center"/>
                    <w:rPr>
                      <w:rFonts w:hint="default"/>
                      <w:color w:val="auto"/>
                      <w:sz w:val="18"/>
                      <w:szCs w:val="18"/>
                      <w:vertAlign w:val="baseline"/>
                    </w:rPr>
                  </w:pPr>
                </w:p>
              </w:tc>
              <w:tc>
                <w:tcPr>
                  <w:tcW w:w="0" w:type="auto"/>
                  <w:tcBorders>
                    <w:tl2br w:val="nil"/>
                    <w:tr2bl w:val="nil"/>
                  </w:tcBorders>
                  <w:vAlign w:val="center"/>
                </w:tcPr>
                <w:p w14:paraId="217BCC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18"/>
                      <w:szCs w:val="18"/>
                      <w:vertAlign w:val="baseline"/>
                    </w:rPr>
                  </w:pPr>
                  <w:r>
                    <w:rPr>
                      <w:rFonts w:hint="default" w:ascii="Times New Roman" w:hAnsi="Times New Roman" w:cs="Times New Roman"/>
                      <w:color w:val="auto"/>
                      <w:sz w:val="18"/>
                      <w:szCs w:val="18"/>
                      <w:highlight w:val="none"/>
                      <w:lang w:val="en-US" w:eastAsia="zh-CN"/>
                    </w:rPr>
                    <w:t>东经</w:t>
                  </w:r>
                </w:p>
              </w:tc>
              <w:tc>
                <w:tcPr>
                  <w:tcW w:w="0" w:type="auto"/>
                  <w:tcBorders>
                    <w:tl2br w:val="nil"/>
                    <w:tr2bl w:val="nil"/>
                  </w:tcBorders>
                  <w:vAlign w:val="center"/>
                </w:tcPr>
                <w:p w14:paraId="4EABAF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auto"/>
                      <w:sz w:val="18"/>
                      <w:szCs w:val="18"/>
                      <w:vertAlign w:val="baseline"/>
                    </w:rPr>
                  </w:pPr>
                  <w:r>
                    <w:rPr>
                      <w:rFonts w:hint="default" w:ascii="Times New Roman" w:hAnsi="Times New Roman" w:cs="Times New Roman"/>
                      <w:color w:val="auto"/>
                      <w:sz w:val="18"/>
                      <w:szCs w:val="18"/>
                      <w:highlight w:val="none"/>
                      <w:lang w:val="en-US" w:eastAsia="zh-CN"/>
                    </w:rPr>
                    <w:t>北纬</w:t>
                  </w:r>
                </w:p>
              </w:tc>
              <w:tc>
                <w:tcPr>
                  <w:tcW w:w="0" w:type="auto"/>
                  <w:vMerge w:val="continue"/>
                  <w:tcBorders>
                    <w:tl2br w:val="nil"/>
                    <w:tr2bl w:val="nil"/>
                  </w:tcBorders>
                  <w:vAlign w:val="center"/>
                </w:tcPr>
                <w:p w14:paraId="57E9DA51">
                  <w:pPr>
                    <w:keepNext w:val="0"/>
                    <w:keepLines w:val="0"/>
                    <w:suppressLineNumbers w:val="0"/>
                    <w:spacing w:before="0" w:beforeAutospacing="0" w:after="0" w:afterAutospacing="0"/>
                    <w:ind w:left="0" w:right="0"/>
                    <w:jc w:val="center"/>
                    <w:rPr>
                      <w:rFonts w:hint="default"/>
                      <w:color w:val="auto"/>
                      <w:sz w:val="18"/>
                      <w:szCs w:val="18"/>
                      <w:vertAlign w:val="baseline"/>
                    </w:rPr>
                  </w:pPr>
                </w:p>
              </w:tc>
              <w:tc>
                <w:tcPr>
                  <w:tcW w:w="0" w:type="auto"/>
                  <w:vMerge w:val="continue"/>
                  <w:tcBorders>
                    <w:tl2br w:val="nil"/>
                    <w:tr2bl w:val="nil"/>
                  </w:tcBorders>
                  <w:vAlign w:val="center"/>
                </w:tcPr>
                <w:p w14:paraId="64F788D0">
                  <w:pPr>
                    <w:keepNext w:val="0"/>
                    <w:keepLines w:val="0"/>
                    <w:suppressLineNumbers w:val="0"/>
                    <w:spacing w:before="0" w:beforeAutospacing="0" w:after="0" w:afterAutospacing="0"/>
                    <w:ind w:left="0" w:right="0"/>
                    <w:jc w:val="center"/>
                    <w:rPr>
                      <w:rFonts w:hint="default"/>
                      <w:color w:val="auto"/>
                      <w:sz w:val="18"/>
                      <w:szCs w:val="18"/>
                      <w:vertAlign w:val="baseline"/>
                    </w:rPr>
                  </w:pPr>
                </w:p>
              </w:tc>
              <w:tc>
                <w:tcPr>
                  <w:tcW w:w="0" w:type="auto"/>
                  <w:vMerge w:val="continue"/>
                  <w:tcBorders>
                    <w:tl2br w:val="nil"/>
                    <w:tr2bl w:val="nil"/>
                  </w:tcBorders>
                  <w:vAlign w:val="center"/>
                </w:tcPr>
                <w:p w14:paraId="64AFA72D">
                  <w:pPr>
                    <w:keepNext w:val="0"/>
                    <w:keepLines w:val="0"/>
                    <w:suppressLineNumbers w:val="0"/>
                    <w:spacing w:before="0" w:beforeAutospacing="0" w:after="0" w:afterAutospacing="0"/>
                    <w:ind w:left="0" w:right="0"/>
                    <w:jc w:val="center"/>
                    <w:rPr>
                      <w:rFonts w:hint="default"/>
                      <w:color w:val="auto"/>
                      <w:sz w:val="18"/>
                      <w:szCs w:val="18"/>
                      <w:vertAlign w:val="baseline"/>
                    </w:rPr>
                  </w:pPr>
                </w:p>
              </w:tc>
              <w:tc>
                <w:tcPr>
                  <w:tcW w:w="0" w:type="auto"/>
                  <w:vMerge w:val="continue"/>
                  <w:tcBorders>
                    <w:tl2br w:val="nil"/>
                    <w:tr2bl w:val="nil"/>
                  </w:tcBorders>
                  <w:vAlign w:val="center"/>
                </w:tcPr>
                <w:p w14:paraId="3D795621">
                  <w:pPr>
                    <w:keepNext w:val="0"/>
                    <w:keepLines w:val="0"/>
                    <w:suppressLineNumbers w:val="0"/>
                    <w:spacing w:before="0" w:beforeAutospacing="0" w:after="0" w:afterAutospacing="0"/>
                    <w:ind w:left="0" w:right="0"/>
                    <w:jc w:val="center"/>
                    <w:rPr>
                      <w:rFonts w:hint="default"/>
                      <w:color w:val="auto"/>
                      <w:sz w:val="18"/>
                      <w:szCs w:val="18"/>
                      <w:vertAlign w:val="baseline"/>
                    </w:rPr>
                  </w:pPr>
                </w:p>
              </w:tc>
            </w:tr>
            <w:tr w14:paraId="1981B3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1750D4BF">
                  <w:pPr>
                    <w:keepNext w:val="0"/>
                    <w:keepLines w:val="0"/>
                    <w:suppressLineNumbers w:val="0"/>
                    <w:spacing w:before="0" w:beforeAutospacing="0" w:after="0" w:afterAutospacing="0"/>
                    <w:ind w:left="0" w:right="0"/>
                    <w:jc w:val="center"/>
                    <w:rPr>
                      <w:rFonts w:hint="default"/>
                      <w:color w:val="auto"/>
                      <w:sz w:val="18"/>
                      <w:szCs w:val="18"/>
                      <w:vertAlign w:val="baseline"/>
                    </w:rPr>
                  </w:pPr>
                  <w:r>
                    <w:rPr>
                      <w:rFonts w:hint="eastAsia" w:cs="Times New Roman"/>
                      <w:color w:val="auto"/>
                      <w:sz w:val="18"/>
                      <w:szCs w:val="18"/>
                      <w:highlight w:val="none"/>
                      <w:lang w:val="en-US" w:eastAsia="zh-CN"/>
                    </w:rPr>
                    <w:t>南侧发展村五组居民</w:t>
                  </w:r>
                </w:p>
              </w:tc>
              <w:tc>
                <w:tcPr>
                  <w:tcW w:w="0" w:type="auto"/>
                  <w:tcBorders>
                    <w:tl2br w:val="nil"/>
                    <w:tr2bl w:val="nil"/>
                  </w:tcBorders>
                  <w:vAlign w:val="center"/>
                </w:tcPr>
                <w:p w14:paraId="1327A7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vertAlign w:val="baseline"/>
                    </w:rPr>
                  </w:pPr>
                  <w:r>
                    <w:rPr>
                      <w:rFonts w:hint="eastAsia" w:ascii="Times New Roman" w:hAnsi="Times New Roman" w:eastAsia="宋体" w:cs="Times New Roman"/>
                      <w:color w:val="auto"/>
                      <w:sz w:val="18"/>
                      <w:szCs w:val="18"/>
                      <w:lang w:eastAsia="zh-CN"/>
                    </w:rPr>
                    <w:t>131.300042</w:t>
                  </w:r>
                </w:p>
              </w:tc>
              <w:tc>
                <w:tcPr>
                  <w:tcW w:w="0" w:type="auto"/>
                  <w:tcBorders>
                    <w:tl2br w:val="nil"/>
                    <w:tr2bl w:val="nil"/>
                  </w:tcBorders>
                  <w:vAlign w:val="center"/>
                </w:tcPr>
                <w:p w14:paraId="2A89AE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vertAlign w:val="baseline"/>
                    </w:rPr>
                  </w:pPr>
                  <w:r>
                    <w:rPr>
                      <w:rFonts w:hint="eastAsia" w:ascii="Times New Roman" w:hAnsi="Times New Roman" w:eastAsia="宋体" w:cs="Times New Roman"/>
                      <w:color w:val="auto"/>
                      <w:sz w:val="18"/>
                      <w:szCs w:val="18"/>
                      <w:lang w:eastAsia="zh-CN"/>
                    </w:rPr>
                    <w:t>45.310637</w:t>
                  </w:r>
                </w:p>
              </w:tc>
              <w:tc>
                <w:tcPr>
                  <w:tcW w:w="0" w:type="auto"/>
                  <w:tcBorders>
                    <w:tl2br w:val="nil"/>
                    <w:tr2bl w:val="nil"/>
                  </w:tcBorders>
                  <w:vAlign w:val="center"/>
                </w:tcPr>
                <w:p w14:paraId="1838B7D4">
                  <w:pPr>
                    <w:keepNext w:val="0"/>
                    <w:keepLines w:val="0"/>
                    <w:suppressLineNumbers w:val="0"/>
                    <w:spacing w:before="0" w:beforeAutospacing="0" w:after="0" w:afterAutospacing="0"/>
                    <w:ind w:left="0" w:right="0"/>
                    <w:jc w:val="center"/>
                    <w:rPr>
                      <w:rFonts w:hint="default" w:eastAsia="宋体"/>
                      <w:color w:val="auto"/>
                      <w:sz w:val="18"/>
                      <w:szCs w:val="18"/>
                      <w:vertAlign w:val="baseline"/>
                      <w:lang w:val="en-US" w:eastAsia="zh-CN"/>
                    </w:rPr>
                  </w:pPr>
                  <w:r>
                    <w:rPr>
                      <w:rFonts w:hint="eastAsia"/>
                      <w:color w:val="auto"/>
                      <w:sz w:val="18"/>
                      <w:szCs w:val="18"/>
                      <w:vertAlign w:val="baseline"/>
                      <w:lang w:val="en-US" w:eastAsia="zh-CN"/>
                    </w:rPr>
                    <w:t>23m</w:t>
                  </w:r>
                </w:p>
              </w:tc>
              <w:tc>
                <w:tcPr>
                  <w:tcW w:w="0" w:type="auto"/>
                  <w:tcBorders>
                    <w:tl2br w:val="nil"/>
                    <w:tr2bl w:val="nil"/>
                  </w:tcBorders>
                  <w:vAlign w:val="center"/>
                </w:tcPr>
                <w:p w14:paraId="45D8B00F">
                  <w:pPr>
                    <w:keepNext w:val="0"/>
                    <w:keepLines w:val="0"/>
                    <w:suppressLineNumbers w:val="0"/>
                    <w:spacing w:before="0" w:beforeAutospacing="0" w:after="0" w:afterAutospacing="0"/>
                    <w:ind w:left="0" w:right="0"/>
                    <w:jc w:val="center"/>
                    <w:rPr>
                      <w:rFonts w:hint="eastAsia" w:eastAsia="宋体"/>
                      <w:color w:val="auto"/>
                      <w:sz w:val="18"/>
                      <w:szCs w:val="18"/>
                      <w:vertAlign w:val="baseline"/>
                      <w:lang w:val="en-US" w:eastAsia="zh-CN"/>
                    </w:rPr>
                  </w:pPr>
                  <w:r>
                    <w:rPr>
                      <w:rFonts w:hint="eastAsia"/>
                      <w:color w:val="auto"/>
                      <w:sz w:val="18"/>
                      <w:szCs w:val="18"/>
                      <w:vertAlign w:val="baseline"/>
                      <w:lang w:val="en-US" w:eastAsia="zh-CN"/>
                    </w:rPr>
                    <w:t>南</w:t>
                  </w:r>
                </w:p>
              </w:tc>
              <w:tc>
                <w:tcPr>
                  <w:tcW w:w="0" w:type="auto"/>
                  <w:vMerge w:val="restart"/>
                  <w:tcBorders>
                    <w:tl2br w:val="nil"/>
                    <w:tr2bl w:val="nil"/>
                  </w:tcBorders>
                  <w:shd w:val="clear" w:color="auto" w:fill="auto"/>
                  <w:vAlign w:val="center"/>
                </w:tcPr>
                <w:p w14:paraId="28E40699">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0"/>
                      <w:sz w:val="18"/>
                      <w:szCs w:val="18"/>
                      <w:highlight w:val="none"/>
                      <w:lang w:val="en-US" w:eastAsia="zh-CN"/>
                    </w:rPr>
                    <w:t>/</w:t>
                  </w:r>
                </w:p>
              </w:tc>
              <w:tc>
                <w:tcPr>
                  <w:tcW w:w="0" w:type="auto"/>
                  <w:vMerge w:val="restart"/>
                  <w:tcBorders>
                    <w:tl2br w:val="nil"/>
                    <w:tr2bl w:val="nil"/>
                  </w:tcBorders>
                  <w:shd w:val="clear" w:color="auto" w:fill="auto"/>
                  <w:vAlign w:val="center"/>
                </w:tcPr>
                <w:p w14:paraId="52DA0824">
                  <w:pPr>
                    <w:keepNext w:val="0"/>
                    <w:keepLines w:val="0"/>
                    <w:suppressLineNumbers w:val="0"/>
                    <w:spacing w:before="0" w:beforeAutospacing="0" w:after="0" w:afterAutospacing="0" w:line="280" w:lineRule="exact"/>
                    <w:ind w:left="0" w:leftChars="0" w:right="0" w:rightChars="0" w:firstLine="0" w:firstLineChars="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农村居住房屋，单层砖混结构，高度约3m，朝向南，四周为农田及相同房屋</w:t>
                  </w:r>
                </w:p>
              </w:tc>
            </w:tr>
            <w:tr w14:paraId="36B19E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vAlign w:val="center"/>
                </w:tcPr>
                <w:p w14:paraId="2E8C52EF">
                  <w:pPr>
                    <w:keepNext w:val="0"/>
                    <w:keepLines w:val="0"/>
                    <w:suppressLineNumbers w:val="0"/>
                    <w:spacing w:before="0" w:beforeAutospacing="0" w:after="0" w:afterAutospacing="0"/>
                    <w:ind w:left="0" w:right="0"/>
                    <w:jc w:val="center"/>
                    <w:rPr>
                      <w:rFonts w:hint="default"/>
                      <w:color w:val="auto"/>
                      <w:sz w:val="18"/>
                      <w:szCs w:val="18"/>
                      <w:vertAlign w:val="baseline"/>
                    </w:rPr>
                  </w:pPr>
                  <w:r>
                    <w:rPr>
                      <w:rFonts w:hint="eastAsia" w:cs="Times New Roman"/>
                      <w:color w:val="auto"/>
                      <w:sz w:val="18"/>
                      <w:szCs w:val="18"/>
                      <w:highlight w:val="none"/>
                      <w:lang w:val="en-US" w:eastAsia="zh-CN"/>
                    </w:rPr>
                    <w:t>西侧发展村五组居民</w:t>
                  </w:r>
                </w:p>
              </w:tc>
              <w:tc>
                <w:tcPr>
                  <w:tcW w:w="0" w:type="auto"/>
                  <w:tcBorders>
                    <w:tl2br w:val="nil"/>
                    <w:tr2bl w:val="nil"/>
                  </w:tcBorders>
                  <w:vAlign w:val="center"/>
                </w:tcPr>
                <w:p w14:paraId="008B2C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vertAlign w:val="baseline"/>
                    </w:rPr>
                  </w:pPr>
                  <w:r>
                    <w:rPr>
                      <w:rFonts w:hint="eastAsia" w:ascii="Times New Roman" w:hAnsi="Times New Roman" w:eastAsia="宋体" w:cs="Times New Roman"/>
                      <w:color w:val="auto"/>
                      <w:sz w:val="18"/>
                      <w:szCs w:val="18"/>
                      <w:lang w:eastAsia="zh-CN"/>
                    </w:rPr>
                    <w:t>131.299538</w:t>
                  </w:r>
                </w:p>
              </w:tc>
              <w:tc>
                <w:tcPr>
                  <w:tcW w:w="0" w:type="auto"/>
                  <w:tcBorders>
                    <w:tl2br w:val="nil"/>
                    <w:tr2bl w:val="nil"/>
                  </w:tcBorders>
                  <w:vAlign w:val="center"/>
                </w:tcPr>
                <w:p w14:paraId="0A0001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color w:val="auto"/>
                      <w:sz w:val="18"/>
                      <w:szCs w:val="18"/>
                      <w:vertAlign w:val="baseline"/>
                    </w:rPr>
                  </w:pPr>
                  <w:r>
                    <w:rPr>
                      <w:rFonts w:hint="eastAsia" w:ascii="Times New Roman" w:hAnsi="Times New Roman" w:eastAsia="宋体" w:cs="Times New Roman"/>
                      <w:color w:val="auto"/>
                      <w:sz w:val="18"/>
                      <w:szCs w:val="18"/>
                      <w:lang w:eastAsia="zh-CN"/>
                    </w:rPr>
                    <w:t>45.311018</w:t>
                  </w:r>
                </w:p>
              </w:tc>
              <w:tc>
                <w:tcPr>
                  <w:tcW w:w="0" w:type="auto"/>
                  <w:tcBorders>
                    <w:tl2br w:val="nil"/>
                    <w:tr2bl w:val="nil"/>
                  </w:tcBorders>
                  <w:vAlign w:val="center"/>
                </w:tcPr>
                <w:p w14:paraId="079E5C53">
                  <w:pPr>
                    <w:keepNext w:val="0"/>
                    <w:keepLines w:val="0"/>
                    <w:suppressLineNumbers w:val="0"/>
                    <w:spacing w:before="0" w:beforeAutospacing="0" w:after="0" w:afterAutospacing="0"/>
                    <w:ind w:left="0" w:right="0"/>
                    <w:jc w:val="center"/>
                    <w:rPr>
                      <w:rFonts w:hint="default" w:eastAsia="宋体"/>
                      <w:color w:val="auto"/>
                      <w:sz w:val="18"/>
                      <w:szCs w:val="18"/>
                      <w:vertAlign w:val="baseline"/>
                      <w:lang w:val="en-US" w:eastAsia="zh-CN"/>
                    </w:rPr>
                  </w:pPr>
                  <w:r>
                    <w:rPr>
                      <w:rFonts w:hint="eastAsia"/>
                      <w:color w:val="auto"/>
                      <w:sz w:val="18"/>
                      <w:szCs w:val="18"/>
                      <w:vertAlign w:val="baseline"/>
                      <w:lang w:val="en-US" w:eastAsia="zh-CN"/>
                    </w:rPr>
                    <w:t>15m</w:t>
                  </w:r>
                </w:p>
              </w:tc>
              <w:tc>
                <w:tcPr>
                  <w:tcW w:w="0" w:type="auto"/>
                  <w:tcBorders>
                    <w:tl2br w:val="nil"/>
                    <w:tr2bl w:val="nil"/>
                  </w:tcBorders>
                  <w:vAlign w:val="center"/>
                </w:tcPr>
                <w:p w14:paraId="310F2D6C">
                  <w:pPr>
                    <w:keepNext w:val="0"/>
                    <w:keepLines w:val="0"/>
                    <w:suppressLineNumbers w:val="0"/>
                    <w:spacing w:before="0" w:beforeAutospacing="0" w:after="0" w:afterAutospacing="0"/>
                    <w:ind w:left="0" w:right="0"/>
                    <w:jc w:val="center"/>
                    <w:rPr>
                      <w:rFonts w:hint="default"/>
                      <w:color w:val="auto"/>
                      <w:sz w:val="18"/>
                      <w:szCs w:val="18"/>
                      <w:vertAlign w:val="baseline"/>
                    </w:rPr>
                  </w:pPr>
                  <w:r>
                    <w:rPr>
                      <w:rFonts w:hint="eastAsia" w:cs="Times New Roman"/>
                      <w:color w:val="auto"/>
                      <w:sz w:val="18"/>
                      <w:szCs w:val="18"/>
                      <w:highlight w:val="none"/>
                      <w:lang w:val="en-US" w:eastAsia="zh-CN"/>
                    </w:rPr>
                    <w:t>西</w:t>
                  </w:r>
                </w:p>
              </w:tc>
              <w:tc>
                <w:tcPr>
                  <w:tcW w:w="0" w:type="auto"/>
                  <w:vMerge w:val="continue"/>
                  <w:tcBorders>
                    <w:tl2br w:val="nil"/>
                    <w:tr2bl w:val="nil"/>
                  </w:tcBorders>
                  <w:vAlign w:val="center"/>
                </w:tcPr>
                <w:p w14:paraId="19C8BDB6">
                  <w:pPr>
                    <w:keepNext w:val="0"/>
                    <w:keepLines w:val="0"/>
                    <w:suppressLineNumbers w:val="0"/>
                    <w:spacing w:before="0" w:beforeAutospacing="0" w:after="0" w:afterAutospacing="0"/>
                    <w:ind w:left="0" w:right="0"/>
                    <w:jc w:val="center"/>
                    <w:rPr>
                      <w:rFonts w:hint="default"/>
                      <w:color w:val="auto"/>
                      <w:sz w:val="18"/>
                      <w:szCs w:val="18"/>
                      <w:vertAlign w:val="baseline"/>
                    </w:rPr>
                  </w:pPr>
                </w:p>
              </w:tc>
              <w:tc>
                <w:tcPr>
                  <w:tcW w:w="0" w:type="auto"/>
                  <w:vMerge w:val="continue"/>
                  <w:tcBorders>
                    <w:tl2br w:val="nil"/>
                    <w:tr2bl w:val="nil"/>
                  </w:tcBorders>
                  <w:vAlign w:val="center"/>
                </w:tcPr>
                <w:p w14:paraId="40A028FB">
                  <w:pPr>
                    <w:keepNext w:val="0"/>
                    <w:keepLines w:val="0"/>
                    <w:suppressLineNumbers w:val="0"/>
                    <w:spacing w:before="0" w:beforeAutospacing="0" w:after="0" w:afterAutospacing="0"/>
                    <w:ind w:left="0" w:right="0"/>
                    <w:jc w:val="center"/>
                    <w:rPr>
                      <w:rFonts w:hint="default"/>
                      <w:color w:val="auto"/>
                      <w:sz w:val="18"/>
                      <w:szCs w:val="18"/>
                      <w:vertAlign w:val="baseline"/>
                    </w:rPr>
                  </w:pPr>
                </w:p>
              </w:tc>
            </w:tr>
          </w:tbl>
          <w:p w14:paraId="084E5217">
            <w:pPr>
              <w:keepNext w:val="0"/>
              <w:keepLines w:val="0"/>
              <w:suppressLineNumbers w:val="0"/>
              <w:spacing w:before="0" w:beforeAutospacing="0" w:after="0" w:afterAutospacing="0"/>
              <w:ind w:left="0" w:right="0"/>
              <w:rPr>
                <w:rFonts w:hint="default"/>
                <w:color w:val="auto"/>
              </w:rPr>
            </w:pPr>
            <w:r>
              <w:rPr>
                <w:rFonts w:hint="default"/>
                <w:color w:val="auto"/>
              </w:rPr>
              <w:drawing>
                <wp:anchor distT="0" distB="0" distL="114300" distR="114300" simplePos="0" relativeHeight="251693056" behindDoc="0" locked="0" layoutInCell="1" allowOverlap="1">
                  <wp:simplePos x="0" y="0"/>
                  <wp:positionH relativeFrom="column">
                    <wp:posOffset>4038600</wp:posOffset>
                  </wp:positionH>
                  <wp:positionV relativeFrom="paragraph">
                    <wp:posOffset>2748280</wp:posOffset>
                  </wp:positionV>
                  <wp:extent cx="153670" cy="191135"/>
                  <wp:effectExtent l="0" t="0" r="17780" b="18415"/>
                  <wp:wrapNone/>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4"/>
                          <a:stretch>
                            <a:fillRect/>
                          </a:stretch>
                        </pic:blipFill>
                        <pic:spPr>
                          <a:xfrm>
                            <a:off x="0" y="0"/>
                            <a:ext cx="153670" cy="191135"/>
                          </a:xfrm>
                          <a:prstGeom prst="rect">
                            <a:avLst/>
                          </a:prstGeom>
                          <a:noFill/>
                          <a:ln>
                            <a:noFill/>
                          </a:ln>
                        </pic:spPr>
                      </pic:pic>
                    </a:graphicData>
                  </a:graphic>
                </wp:anchor>
              </w:drawing>
            </w:r>
            <w:r>
              <w:rPr>
                <w:rFonts w:hint="default"/>
                <w:color w:val="auto"/>
                <w:sz w:val="21"/>
              </w:rPr>
              <mc:AlternateContent>
                <mc:Choice Requires="wps">
                  <w:drawing>
                    <wp:anchor distT="0" distB="0" distL="114300" distR="114300" simplePos="0" relativeHeight="251694080" behindDoc="0" locked="0" layoutInCell="1" allowOverlap="1">
                      <wp:simplePos x="0" y="0"/>
                      <wp:positionH relativeFrom="column">
                        <wp:posOffset>4048760</wp:posOffset>
                      </wp:positionH>
                      <wp:positionV relativeFrom="paragraph">
                        <wp:posOffset>2980055</wp:posOffset>
                      </wp:positionV>
                      <wp:extent cx="152400" cy="95250"/>
                      <wp:effectExtent l="9525" t="9525" r="9525" b="9525"/>
                      <wp:wrapNone/>
                      <wp:docPr id="15" name="矩形 15"/>
                      <wp:cNvGraphicFramePr/>
                      <a:graphic xmlns:a="http://schemas.openxmlformats.org/drawingml/2006/main">
                        <a:graphicData uri="http://schemas.microsoft.com/office/word/2010/wordprocessingShape">
                          <wps:wsp>
                            <wps:cNvSpPr/>
                            <wps:spPr>
                              <a:xfrm>
                                <a:off x="0" y="0"/>
                                <a:ext cx="152400" cy="95250"/>
                              </a:xfrm>
                              <a:prstGeom prst="rect">
                                <a:avLst/>
                              </a:prstGeom>
                              <a:ln w="19050">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8.8pt;margin-top:234.65pt;height:7.5pt;width:12pt;z-index:251694080;v-text-anchor:middle;mso-width-relative:page;mso-height-relative:page;" filled="f" stroked="t" coordsize="21600,21600" o:gfxdata="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x&#10;rrde2QAAAAsBAAAPAAAAAAAAAAEAIAAAACIAAABkcnMvZG93bnJldi54bWxQSwECFAAUAAAACACH&#10;TuJAW+zJJVwCAAC0BAAADgAAAAAAAAABACAAAAAoAQAAZHJzL2Uyb0RvYy54bWxQSwUGAAAAAAYA&#10;BgBZAQAA9gUAAAAA&#10;">
                      <v:fill on="f" focussize="0,0"/>
                      <v:stroke weight="1.5pt" color="#FF0000 [3204]" joinstyle="round"/>
                      <v:imagedata o:title=""/>
                      <o:lock v:ext="edit" aspectratio="f"/>
                    </v:rect>
                  </w:pict>
                </mc:Fallback>
              </mc:AlternateContent>
            </w:r>
            <w:r>
              <w:rPr>
                <w:rFonts w:hint="default"/>
                <w:color w:val="auto"/>
                <w:sz w:val="21"/>
              </w:rPr>
              <mc:AlternateContent>
                <mc:Choice Requires="wps">
                  <w:drawing>
                    <wp:anchor distT="0" distB="0" distL="114300" distR="114300" simplePos="0" relativeHeight="251674624" behindDoc="0" locked="0" layoutInCell="1" allowOverlap="1">
                      <wp:simplePos x="0" y="0"/>
                      <wp:positionH relativeFrom="column">
                        <wp:posOffset>3907155</wp:posOffset>
                      </wp:positionH>
                      <wp:positionV relativeFrom="paragraph">
                        <wp:posOffset>2451735</wp:posOffset>
                      </wp:positionV>
                      <wp:extent cx="1179830" cy="894080"/>
                      <wp:effectExtent l="0" t="0" r="1270" b="1270"/>
                      <wp:wrapNone/>
                      <wp:docPr id="101" name="文本框 101"/>
                      <wp:cNvGraphicFramePr/>
                      <a:graphic xmlns:a="http://schemas.openxmlformats.org/drawingml/2006/main">
                        <a:graphicData uri="http://schemas.microsoft.com/office/word/2010/wordprocessingShape">
                          <wps:wsp>
                            <wps:cNvSpPr txBox="1"/>
                            <wps:spPr>
                              <a:xfrm>
                                <a:off x="5405755" y="8286750"/>
                                <a:ext cx="1179830" cy="89408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026FE543">
                                  <w:pPr>
                                    <w:jc w:val="center"/>
                                    <w:rPr>
                                      <w:rFonts w:hint="eastAsia"/>
                                      <w:b/>
                                      <w:bCs/>
                                      <w:lang w:eastAsia="zh-CN"/>
                                    </w:rPr>
                                  </w:pPr>
                                  <w:r>
                                    <w:rPr>
                                      <w:rFonts w:hint="eastAsia"/>
                                      <w:b/>
                                      <w:bCs/>
                                      <w:lang w:eastAsia="zh-CN"/>
                                    </w:rPr>
                                    <w:t>图例</w:t>
                                  </w:r>
                                </w:p>
                                <w:p w14:paraId="0C55EF84">
                                  <w:pPr>
                                    <w:pStyle w:val="47"/>
                                    <w:rPr>
                                      <w:rFonts w:hint="eastAsia"/>
                                      <w:lang w:val="en-US" w:eastAsia="zh-CN"/>
                                    </w:rPr>
                                  </w:pPr>
                                  <w:r>
                                    <w:rPr>
                                      <w:rFonts w:hint="eastAsia"/>
                                      <w:lang w:val="en-US" w:eastAsia="zh-CN"/>
                                    </w:rPr>
                                    <w:t xml:space="preserve">    水源井位置</w:t>
                                  </w:r>
                                </w:p>
                                <w:p w14:paraId="29566338">
                                  <w:pPr>
                                    <w:pStyle w:val="47"/>
                                    <w:ind w:firstLine="420" w:firstLineChars="200"/>
                                    <w:rPr>
                                      <w:rFonts w:hint="eastAsia"/>
                                      <w:lang w:val="en-US" w:eastAsia="zh-CN"/>
                                    </w:rPr>
                                  </w:pPr>
                                  <w:r>
                                    <w:rPr>
                                      <w:rFonts w:hint="eastAsia"/>
                                      <w:lang w:val="en-US" w:eastAsia="zh-CN"/>
                                    </w:rPr>
                                    <w:t>项目位置</w:t>
                                  </w:r>
                                </w:p>
                                <w:p w14:paraId="02EDA164">
                                  <w:pPr>
                                    <w:pStyle w:val="47"/>
                                    <w:rPr>
                                      <w:rFonts w:hint="default"/>
                                      <w:lang w:val="en-US" w:eastAsia="zh-CN"/>
                                    </w:rPr>
                                  </w:pPr>
                                  <w:r>
                                    <w:rPr>
                                      <w:rFonts w:hint="eastAsia"/>
                                      <w:lang w:val="en-US" w:eastAsia="zh-CN"/>
                                    </w:rPr>
                                    <w:t>比例尺</w:t>
                                  </w:r>
                                  <w:r>
                                    <w:rPr>
                                      <w:rFonts w:hint="default" w:ascii="Times New Roman" w:hAnsi="Times New Roman" w:cs="Times New Roman"/>
                                      <w:lang w:val="en-US" w:eastAsia="zh-CN"/>
                                    </w:rPr>
                                    <w:t>：1：4513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7.65pt;margin-top:193.05pt;height:70.4pt;width:92.9pt;z-index:251674624;mso-width-relative:page;mso-height-relative:page;" fillcolor="#FFFFFF [3212]" filled="t" stroked="f" coordsize="21600,21600" o:gfxdata="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X3sE&#10;idYAAAALAQAADwAAAAAAAAABACAAAAAiAAAAZHJzL2Rvd25yZXYueG1sUEsBAhQAFAAAAAgAh07i&#10;QCaje/hdAgAAnwQAAA4AAAAAAAAAAQAgAAAAJQEAAGRycy9lMm9Eb2MueG1sUEsFBgAAAAAGAAYA&#10;WQEAAPQFAAAAAA==&#10;">
                      <v:fill on="t" focussize="0,0"/>
                      <v:stroke on="f" weight="0.5pt"/>
                      <v:imagedata o:title=""/>
                      <o:lock v:ext="edit" aspectratio="f"/>
                      <v:textbox>
                        <w:txbxContent>
                          <w:p w14:paraId="026FE543">
                            <w:pPr>
                              <w:jc w:val="center"/>
                              <w:rPr>
                                <w:rFonts w:hint="eastAsia"/>
                                <w:b/>
                                <w:bCs/>
                                <w:lang w:eastAsia="zh-CN"/>
                              </w:rPr>
                            </w:pPr>
                            <w:r>
                              <w:rPr>
                                <w:rFonts w:hint="eastAsia"/>
                                <w:b/>
                                <w:bCs/>
                                <w:lang w:eastAsia="zh-CN"/>
                              </w:rPr>
                              <w:t>图例</w:t>
                            </w:r>
                          </w:p>
                          <w:p w14:paraId="0C55EF84">
                            <w:pPr>
                              <w:pStyle w:val="47"/>
                              <w:rPr>
                                <w:rFonts w:hint="eastAsia"/>
                                <w:lang w:val="en-US" w:eastAsia="zh-CN"/>
                              </w:rPr>
                            </w:pPr>
                            <w:r>
                              <w:rPr>
                                <w:rFonts w:hint="eastAsia"/>
                                <w:lang w:val="en-US" w:eastAsia="zh-CN"/>
                              </w:rPr>
                              <w:t xml:space="preserve">    水源井位置</w:t>
                            </w:r>
                          </w:p>
                          <w:p w14:paraId="29566338">
                            <w:pPr>
                              <w:pStyle w:val="47"/>
                              <w:ind w:firstLine="420" w:firstLineChars="200"/>
                              <w:rPr>
                                <w:rFonts w:hint="eastAsia"/>
                                <w:lang w:val="en-US" w:eastAsia="zh-CN"/>
                              </w:rPr>
                            </w:pPr>
                            <w:r>
                              <w:rPr>
                                <w:rFonts w:hint="eastAsia"/>
                                <w:lang w:val="en-US" w:eastAsia="zh-CN"/>
                              </w:rPr>
                              <w:t>项目位置</w:t>
                            </w:r>
                          </w:p>
                          <w:p w14:paraId="02EDA164">
                            <w:pPr>
                              <w:pStyle w:val="47"/>
                              <w:rPr>
                                <w:rFonts w:hint="default"/>
                                <w:lang w:val="en-US" w:eastAsia="zh-CN"/>
                              </w:rPr>
                            </w:pPr>
                            <w:r>
                              <w:rPr>
                                <w:rFonts w:hint="eastAsia"/>
                                <w:lang w:val="en-US" w:eastAsia="zh-CN"/>
                              </w:rPr>
                              <w:t>比例尺</w:t>
                            </w:r>
                            <w:r>
                              <w:rPr>
                                <w:rFonts w:hint="default" w:ascii="Times New Roman" w:hAnsi="Times New Roman" w:cs="Times New Roman"/>
                                <w:lang w:val="en-US" w:eastAsia="zh-CN"/>
                              </w:rPr>
                              <w:t>：1：4513</w:t>
                            </w:r>
                          </w:p>
                        </w:txbxContent>
                      </v:textbox>
                    </v:shape>
                  </w:pict>
                </mc:Fallback>
              </mc:AlternateContent>
            </w:r>
            <w:r>
              <w:rPr>
                <w:rFonts w:hint="default"/>
                <w:color w:val="auto"/>
              </w:rPr>
              <w:drawing>
                <wp:anchor distT="0" distB="0" distL="114300" distR="114300" simplePos="0" relativeHeight="251689984" behindDoc="0" locked="0" layoutInCell="1" allowOverlap="1">
                  <wp:simplePos x="0" y="0"/>
                  <wp:positionH relativeFrom="column">
                    <wp:posOffset>4682490</wp:posOffset>
                  </wp:positionH>
                  <wp:positionV relativeFrom="paragraph">
                    <wp:posOffset>64770</wp:posOffset>
                  </wp:positionV>
                  <wp:extent cx="400050" cy="375920"/>
                  <wp:effectExtent l="0" t="0" r="0" b="5080"/>
                  <wp:wrapNone/>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12"/>
                          <a:stretch>
                            <a:fillRect/>
                          </a:stretch>
                        </pic:blipFill>
                        <pic:spPr>
                          <a:xfrm>
                            <a:off x="0" y="0"/>
                            <a:ext cx="400050" cy="375920"/>
                          </a:xfrm>
                          <a:prstGeom prst="rect">
                            <a:avLst/>
                          </a:prstGeom>
                          <a:noFill/>
                          <a:ln>
                            <a:noFill/>
                          </a:ln>
                        </pic:spPr>
                      </pic:pic>
                    </a:graphicData>
                  </a:graphic>
                </wp:anchor>
              </w:drawing>
            </w:r>
            <w:r>
              <w:rPr>
                <w:rFonts w:hint="default"/>
              </w:rPr>
              <w:drawing>
                <wp:inline distT="0" distB="0" distL="114300" distR="114300">
                  <wp:extent cx="5097780" cy="3291205"/>
                  <wp:effectExtent l="0" t="0" r="7620" b="444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5"/>
                          <a:stretch>
                            <a:fillRect/>
                          </a:stretch>
                        </pic:blipFill>
                        <pic:spPr>
                          <a:xfrm>
                            <a:off x="0" y="0"/>
                            <a:ext cx="5097780" cy="3291205"/>
                          </a:xfrm>
                          <a:prstGeom prst="rect">
                            <a:avLst/>
                          </a:prstGeom>
                          <a:noFill/>
                          <a:ln>
                            <a:noFill/>
                          </a:ln>
                        </pic:spPr>
                      </pic:pic>
                    </a:graphicData>
                  </a:graphic>
                </wp:inline>
              </w:drawing>
            </w:r>
          </w:p>
          <w:p w14:paraId="17C258C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firstLine="422" w:firstLineChars="200"/>
              <w:jc w:val="center"/>
              <w:textAlignment w:val="auto"/>
              <w:rPr>
                <w:rFonts w:hint="eastAsia" w:eastAsia="宋体"/>
                <w:color w:val="auto"/>
                <w:highlight w:val="none"/>
                <w:lang w:val="en-US" w:eastAsia="zh-CN"/>
              </w:rPr>
            </w:pPr>
            <w:r>
              <w:rPr>
                <w:rFonts w:hint="default" w:ascii="Times New Roman" w:hAnsi="Times New Roman" w:cs="Times New Roman"/>
                <w:b/>
                <w:color w:val="auto"/>
                <w:kern w:val="0"/>
                <w:highlight w:val="none"/>
              </w:rPr>
              <w:t>图3-</w:t>
            </w:r>
            <w:r>
              <w:rPr>
                <w:rFonts w:hint="eastAsia" w:ascii="Times New Roman" w:hAnsi="Times New Roman" w:cs="Times New Roman"/>
                <w:b/>
                <w:color w:val="auto"/>
                <w:kern w:val="0"/>
                <w:highlight w:val="none"/>
                <w:lang w:val="en-US" w:eastAsia="zh-CN"/>
              </w:rPr>
              <w:t>2 饮用水水源地与本项目位置关系图</w:t>
            </w:r>
          </w:p>
        </w:tc>
      </w:tr>
      <w:tr w14:paraId="0A51A2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452" w:type="pct"/>
            <w:vAlign w:val="center"/>
          </w:tcPr>
          <w:p w14:paraId="5AEB044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污染物排放控制标准</w:t>
            </w:r>
          </w:p>
        </w:tc>
        <w:tc>
          <w:tcPr>
            <w:tcW w:w="4547" w:type="pct"/>
            <w:vAlign w:val="center"/>
          </w:tcPr>
          <w:p w14:paraId="16290FDF">
            <w:pPr>
              <w:pStyle w:val="96"/>
              <w:keepNext w:val="0"/>
              <w:keepLines w:val="0"/>
              <w:numPr>
                <w:ilvl w:val="0"/>
                <w:numId w:val="3"/>
              </w:numPr>
              <w:suppressLineNumbers w:val="0"/>
              <w:spacing w:before="0" w:beforeAutospacing="0" w:after="0" w:afterAutospacing="0" w:line="360" w:lineRule="auto"/>
              <w:ind w:left="0" w:right="0" w:firstLine="422" w:firstLineChars="200"/>
              <w:jc w:val="both"/>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废气</w:t>
            </w:r>
          </w:p>
          <w:p w14:paraId="2DB47965">
            <w:pPr>
              <w:keepNext w:val="0"/>
              <w:keepLines w:val="0"/>
              <w:suppressLineNumbers w:val="0"/>
              <w:spacing w:before="0" w:beforeAutospacing="0" w:after="0" w:afterAutospacing="0" w:line="360" w:lineRule="auto"/>
              <w:ind w:left="0" w:right="0" w:firstLine="420" w:firstLineChars="200"/>
              <w:rPr>
                <w:rFonts w:hint="eastAsia"/>
                <w:color w:val="auto"/>
                <w:kern w:val="0"/>
                <w:sz w:val="24"/>
                <w:szCs w:val="20"/>
                <w:highlight w:val="none"/>
              </w:rPr>
            </w:pPr>
            <w:r>
              <w:rPr>
                <w:rFonts w:hint="eastAsia"/>
                <w:color w:val="auto"/>
                <w:kern w:val="0"/>
                <w:szCs w:val="21"/>
                <w:highlight w:val="none"/>
              </w:rPr>
              <w:t>施工期</w:t>
            </w:r>
            <w:r>
              <w:rPr>
                <w:rFonts w:hint="eastAsia"/>
                <w:color w:val="auto"/>
                <w:kern w:val="0"/>
                <w:szCs w:val="21"/>
                <w:highlight w:val="none"/>
                <w:lang w:eastAsia="zh-CN"/>
              </w:rPr>
              <w:t>：</w:t>
            </w:r>
            <w:r>
              <w:rPr>
                <w:rFonts w:hint="eastAsia"/>
                <w:color w:val="auto"/>
                <w:kern w:val="0"/>
                <w:szCs w:val="21"/>
                <w:highlight w:val="none"/>
                <w:lang w:val="en-US" w:eastAsia="zh-CN"/>
              </w:rPr>
              <w:t>废气</w:t>
            </w:r>
            <w:r>
              <w:rPr>
                <w:rFonts w:hint="eastAsia"/>
                <w:color w:val="auto"/>
                <w:kern w:val="0"/>
                <w:szCs w:val="21"/>
                <w:highlight w:val="none"/>
              </w:rPr>
              <w:t>执行《大气污染物综合排放标准》（GB16297-1996）表2中无组织排放浓度限值要求，见表3-</w:t>
            </w:r>
            <w:r>
              <w:rPr>
                <w:rFonts w:hint="eastAsia"/>
                <w:color w:val="auto"/>
                <w:kern w:val="0"/>
                <w:szCs w:val="21"/>
                <w:highlight w:val="none"/>
                <w:lang w:val="en-US" w:eastAsia="zh-CN"/>
              </w:rPr>
              <w:t>7</w:t>
            </w:r>
            <w:r>
              <w:rPr>
                <w:rFonts w:hint="eastAsia"/>
                <w:color w:val="auto"/>
                <w:kern w:val="0"/>
                <w:szCs w:val="21"/>
                <w:highlight w:val="none"/>
              </w:rPr>
              <w:t>。</w:t>
            </w:r>
          </w:p>
          <w:p w14:paraId="6716AA81">
            <w:pPr>
              <w:keepNext w:val="0"/>
              <w:keepLines w:val="0"/>
              <w:widowControl/>
              <w:suppressLineNumbers w:val="0"/>
              <w:spacing w:before="0" w:beforeAutospacing="0" w:after="0" w:afterAutospacing="0"/>
              <w:ind w:left="0" w:right="0"/>
              <w:jc w:val="center"/>
              <w:rPr>
                <w:rFonts w:hint="default"/>
                <w:b/>
                <w:bCs/>
                <w:color w:val="auto"/>
                <w:szCs w:val="21"/>
                <w:highlight w:val="none"/>
              </w:rPr>
            </w:pPr>
            <w:r>
              <w:rPr>
                <w:rFonts w:hint="eastAsia" w:ascii="宋体" w:hAnsi="宋体" w:cs="宋体"/>
                <w:b/>
                <w:bCs/>
                <w:color w:val="auto"/>
                <w:kern w:val="0"/>
                <w:szCs w:val="21"/>
                <w:highlight w:val="none"/>
                <w:lang w:bidi="ar"/>
              </w:rPr>
              <w:t>表</w:t>
            </w:r>
            <w:r>
              <w:rPr>
                <w:rFonts w:hint="default"/>
                <w:b/>
                <w:bCs/>
                <w:color w:val="auto"/>
                <w:kern w:val="0"/>
                <w:szCs w:val="21"/>
                <w:highlight w:val="none"/>
                <w:lang w:bidi="ar"/>
              </w:rPr>
              <w:t>3-</w:t>
            </w:r>
            <w:r>
              <w:rPr>
                <w:rFonts w:hint="eastAsia"/>
                <w:b/>
                <w:bCs/>
                <w:color w:val="auto"/>
                <w:kern w:val="0"/>
                <w:szCs w:val="21"/>
                <w:highlight w:val="none"/>
                <w:lang w:val="en-US" w:eastAsia="zh-CN" w:bidi="ar"/>
              </w:rPr>
              <w:t>7</w:t>
            </w:r>
            <w:r>
              <w:rPr>
                <w:rFonts w:hint="eastAsia" w:ascii="宋体" w:hAnsi="宋体" w:cs="宋体"/>
                <w:b/>
                <w:bCs/>
                <w:color w:val="auto"/>
                <w:kern w:val="0"/>
                <w:szCs w:val="21"/>
                <w:highlight w:val="none"/>
                <w:lang w:bidi="ar"/>
              </w:rPr>
              <w:t>颗粒物排放标准（单位：</w:t>
            </w:r>
            <w:r>
              <w:rPr>
                <w:rFonts w:hint="default"/>
                <w:b/>
                <w:bCs/>
                <w:color w:val="auto"/>
                <w:kern w:val="0"/>
                <w:szCs w:val="21"/>
                <w:highlight w:val="none"/>
                <w:lang w:bidi="ar"/>
              </w:rPr>
              <w:t>mg/m</w:t>
            </w:r>
            <w:r>
              <w:rPr>
                <w:rFonts w:hint="default"/>
                <w:b/>
                <w:bCs/>
                <w:color w:val="auto"/>
                <w:kern w:val="0"/>
                <w:szCs w:val="21"/>
                <w:highlight w:val="none"/>
                <w:vertAlign w:val="superscript"/>
                <w:lang w:bidi="ar"/>
              </w:rPr>
              <w:t>3</w:t>
            </w:r>
            <w:r>
              <w:rPr>
                <w:rFonts w:hint="eastAsia" w:ascii="宋体" w:hAnsi="宋体" w:cs="宋体"/>
                <w:b/>
                <w:bCs/>
                <w:color w:val="auto"/>
                <w:kern w:val="0"/>
                <w:szCs w:val="21"/>
                <w:highlight w:val="none"/>
                <w:lang w:bidi="ar"/>
              </w:rPr>
              <w:t>）</w:t>
            </w:r>
          </w:p>
          <w:tbl>
            <w:tblPr>
              <w:tblStyle w:val="3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50"/>
              <w:gridCol w:w="3263"/>
              <w:gridCol w:w="2557"/>
            </w:tblGrid>
            <w:tr w14:paraId="7768165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op w:val="single" w:color="auto" w:sz="12" w:space="0"/>
                  </w:tcBorders>
                  <w:noWrap w:val="0"/>
                  <w:vAlign w:val="center"/>
                </w:tcPr>
                <w:p w14:paraId="5BB9F387">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污染物</w:t>
                  </w:r>
                </w:p>
              </w:tc>
              <w:tc>
                <w:tcPr>
                  <w:tcW w:w="3220" w:type="dxa"/>
                  <w:tcBorders>
                    <w:top w:val="single" w:color="auto" w:sz="12" w:space="0"/>
                  </w:tcBorders>
                  <w:noWrap w:val="0"/>
                  <w:vAlign w:val="center"/>
                </w:tcPr>
                <w:p w14:paraId="1A70B9F7">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无组织排放监控浓度限值</w:t>
                  </w:r>
                </w:p>
              </w:tc>
              <w:tc>
                <w:tcPr>
                  <w:tcW w:w="2523" w:type="dxa"/>
                  <w:tcBorders>
                    <w:top w:val="single" w:color="auto" w:sz="12" w:space="0"/>
                  </w:tcBorders>
                  <w:noWrap w:val="0"/>
                  <w:vAlign w:val="center"/>
                </w:tcPr>
                <w:p w14:paraId="5EDC2099">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最高允许排放浓度</w:t>
                  </w:r>
                </w:p>
              </w:tc>
            </w:tr>
            <w:tr w14:paraId="7DF9F16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bottom w:val="single" w:color="auto" w:sz="12" w:space="0"/>
                  </w:tcBorders>
                  <w:noWrap w:val="0"/>
                  <w:vAlign w:val="center"/>
                </w:tcPr>
                <w:p w14:paraId="41788EDA">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颗粒物</w:t>
                  </w:r>
                </w:p>
              </w:tc>
              <w:tc>
                <w:tcPr>
                  <w:tcW w:w="3220" w:type="dxa"/>
                  <w:tcBorders>
                    <w:bottom w:val="single" w:color="auto" w:sz="12" w:space="0"/>
                  </w:tcBorders>
                  <w:noWrap w:val="0"/>
                  <w:vAlign w:val="center"/>
                </w:tcPr>
                <w:p w14:paraId="58A5E957">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周界外浓度最高点</w:t>
                  </w:r>
                </w:p>
              </w:tc>
              <w:tc>
                <w:tcPr>
                  <w:tcW w:w="2523" w:type="dxa"/>
                  <w:tcBorders>
                    <w:bottom w:val="single" w:color="auto" w:sz="12" w:space="0"/>
                  </w:tcBorders>
                  <w:noWrap w:val="0"/>
                  <w:vAlign w:val="center"/>
                </w:tcPr>
                <w:p w14:paraId="06B17379">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1.0</w:t>
                  </w:r>
                </w:p>
              </w:tc>
            </w:tr>
          </w:tbl>
          <w:p w14:paraId="7CBB24C7">
            <w:pPr>
              <w:pStyle w:val="9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jc w:val="both"/>
              <w:textAlignment w:val="baseline"/>
              <w:rPr>
                <w:rFonts w:hint="default" w:ascii="Times New Roman" w:hAnsi="Times New Roman" w:eastAsia="宋体" w:cs="Times New Roman"/>
                <w:color w:val="auto"/>
                <w:kern w:val="0"/>
                <w:sz w:val="21"/>
                <w:szCs w:val="21"/>
                <w:highlight w:val="none"/>
              </w:rPr>
            </w:pPr>
            <w:r>
              <w:rPr>
                <w:rFonts w:hint="eastAsia" w:cs="Times New Roman"/>
                <w:b w:val="0"/>
                <w:bCs w:val="0"/>
                <w:color w:val="auto"/>
                <w:sz w:val="21"/>
                <w:szCs w:val="21"/>
                <w:highlight w:val="none"/>
                <w:lang w:val="en-US" w:eastAsia="zh-CN"/>
              </w:rPr>
              <w:t>运营期：</w:t>
            </w:r>
            <w:r>
              <w:rPr>
                <w:rFonts w:hint="default" w:ascii="Times New Roman" w:hAnsi="Times New Roman" w:eastAsia="宋体" w:cs="Times New Roman"/>
                <w:color w:val="FF0000"/>
                <w:kern w:val="0"/>
                <w:sz w:val="21"/>
                <w:szCs w:val="21"/>
                <w:highlight w:val="none"/>
                <w:lang w:val="en-US" w:eastAsia="zh-CN"/>
              </w:rPr>
              <w:t>热风炉废气：</w:t>
            </w:r>
            <w:r>
              <w:rPr>
                <w:rFonts w:hint="default" w:ascii="Times New Roman" w:hAnsi="Times New Roman" w:eastAsia="宋体" w:cs="Times New Roman"/>
                <w:color w:val="FF0000"/>
                <w:kern w:val="0"/>
                <w:sz w:val="21"/>
                <w:szCs w:val="21"/>
                <w:highlight w:val="none"/>
              </w:rPr>
              <w:t>SO</w:t>
            </w:r>
            <w:r>
              <w:rPr>
                <w:rFonts w:hint="default" w:ascii="Times New Roman" w:hAnsi="Times New Roman" w:eastAsia="宋体" w:cs="Times New Roman"/>
                <w:color w:val="FF0000"/>
                <w:kern w:val="0"/>
                <w:sz w:val="21"/>
                <w:szCs w:val="21"/>
                <w:highlight w:val="none"/>
                <w:vertAlign w:val="subscript"/>
              </w:rPr>
              <w:t>2</w:t>
            </w:r>
            <w:r>
              <w:rPr>
                <w:rFonts w:hint="default" w:ascii="Times New Roman" w:hAnsi="Times New Roman" w:eastAsia="宋体" w:cs="Times New Roman"/>
                <w:color w:val="FF0000"/>
                <w:kern w:val="0"/>
                <w:sz w:val="21"/>
                <w:szCs w:val="21"/>
                <w:highlight w:val="none"/>
              </w:rPr>
              <w:t>排放浓度执行《工业炉窑大气污染物排放标准》（GB9078-1996）中的表4中的二级标准，</w:t>
            </w:r>
            <w:r>
              <w:rPr>
                <w:rFonts w:hint="eastAsia" w:cs="Times New Roman"/>
                <w:color w:val="FF0000"/>
                <w:kern w:val="0"/>
                <w:sz w:val="21"/>
                <w:szCs w:val="21"/>
                <w:highlight w:val="none"/>
                <w:lang w:eastAsia="zh-CN"/>
              </w:rPr>
              <w:t>颗粒物</w:t>
            </w:r>
            <w:r>
              <w:rPr>
                <w:rFonts w:hint="default" w:ascii="Times New Roman" w:hAnsi="Times New Roman" w:eastAsia="宋体" w:cs="Times New Roman"/>
                <w:color w:val="FF0000"/>
                <w:kern w:val="0"/>
                <w:sz w:val="21"/>
                <w:szCs w:val="21"/>
                <w:highlight w:val="none"/>
                <w:lang w:eastAsia="zh-CN"/>
              </w:rPr>
              <w:t>排放浓度及烟气黑度</w:t>
            </w:r>
            <w:r>
              <w:rPr>
                <w:rFonts w:hint="default" w:ascii="Times New Roman" w:hAnsi="Times New Roman" w:eastAsia="宋体" w:cs="Times New Roman"/>
                <w:color w:val="FF0000"/>
                <w:kern w:val="0"/>
                <w:sz w:val="21"/>
                <w:szCs w:val="21"/>
                <w:highlight w:val="none"/>
              </w:rPr>
              <w:t>执行《工业炉窑大气污染物排放标准》（GB9078-1996）中的表2中的二级标准</w:t>
            </w:r>
            <w:r>
              <w:rPr>
                <w:rFonts w:hint="eastAsia" w:cs="Times New Roman"/>
                <w:color w:val="FF0000"/>
                <w:kern w:val="0"/>
                <w:sz w:val="21"/>
                <w:szCs w:val="21"/>
                <w:highlight w:val="none"/>
                <w:lang w:eastAsia="zh-CN"/>
              </w:rPr>
              <w:t>，</w:t>
            </w:r>
            <w:r>
              <w:rPr>
                <w:rFonts w:hint="eastAsia" w:cs="Times New Roman"/>
                <w:color w:val="FF0000"/>
                <w:kern w:val="0"/>
                <w:sz w:val="21"/>
                <w:szCs w:val="21"/>
                <w:highlight w:val="none"/>
                <w:lang w:val="en-US" w:eastAsia="zh-CN"/>
              </w:rPr>
              <w:t>热风炉周边无组织排放颗粒物浓度执行</w:t>
            </w:r>
            <w:r>
              <w:rPr>
                <w:rFonts w:hint="default" w:ascii="Times New Roman" w:hAnsi="Times New Roman" w:eastAsia="宋体" w:cs="Times New Roman"/>
                <w:color w:val="FF0000"/>
                <w:kern w:val="0"/>
                <w:sz w:val="21"/>
                <w:szCs w:val="21"/>
                <w:highlight w:val="none"/>
              </w:rPr>
              <w:t>《工业炉窑大气污染物排放标准》（GB9078-1996）中的表</w:t>
            </w:r>
            <w:r>
              <w:rPr>
                <w:rFonts w:hint="eastAsia" w:ascii="Times New Roman" w:hAnsi="Times New Roman" w:eastAsia="宋体" w:cs="Times New Roman"/>
                <w:color w:val="FF0000"/>
                <w:kern w:val="0"/>
                <w:sz w:val="21"/>
                <w:szCs w:val="21"/>
                <w:highlight w:val="none"/>
                <w:lang w:val="en-US" w:eastAsia="zh-CN"/>
              </w:rPr>
              <w:t>3</w:t>
            </w:r>
            <w:r>
              <w:rPr>
                <w:rFonts w:hint="default" w:ascii="Times New Roman" w:hAnsi="Times New Roman" w:eastAsia="宋体" w:cs="Times New Roman"/>
                <w:color w:val="FF0000"/>
                <w:kern w:val="0"/>
                <w:sz w:val="21"/>
                <w:szCs w:val="21"/>
                <w:highlight w:val="none"/>
              </w:rPr>
              <w:t>标准</w:t>
            </w:r>
            <w:r>
              <w:rPr>
                <w:rFonts w:hint="eastAsia" w:ascii="Times New Roman" w:hAnsi="Times New Roman" w:eastAsia="宋体" w:cs="Times New Roman"/>
                <w:color w:val="FF0000"/>
                <w:kern w:val="0"/>
                <w:sz w:val="21"/>
                <w:szCs w:val="21"/>
                <w:highlight w:val="none"/>
                <w:lang w:eastAsia="zh-CN"/>
              </w:rPr>
              <w:t>。</w:t>
            </w:r>
          </w:p>
          <w:p w14:paraId="5259CB5B">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rPr>
              <w:t>表3-</w:t>
            </w:r>
            <w:r>
              <w:rPr>
                <w:rFonts w:hint="eastAsia" w:cs="Times New Roman"/>
                <w:b/>
                <w:bCs/>
                <w:color w:val="auto"/>
                <w:kern w:val="0"/>
                <w:szCs w:val="21"/>
                <w:highlight w:val="none"/>
                <w:lang w:val="en-US" w:eastAsia="zh-CN"/>
              </w:rPr>
              <w:t>8</w:t>
            </w:r>
            <w:r>
              <w:rPr>
                <w:rFonts w:hint="eastAsia" w:ascii="Times New Roman" w:hAnsi="Times New Roman" w:eastAsia="宋体" w:cs="Times New Roman"/>
                <w:b/>
                <w:bCs/>
                <w:color w:val="auto"/>
                <w:kern w:val="0"/>
                <w:szCs w:val="21"/>
                <w:highlight w:val="none"/>
                <w:lang w:val="en-US" w:eastAsia="zh-CN"/>
              </w:rPr>
              <w:t xml:space="preserve"> </w:t>
            </w:r>
            <w:r>
              <w:rPr>
                <w:rFonts w:hint="default" w:ascii="Times New Roman" w:hAnsi="Times New Roman" w:eastAsia="宋体" w:cs="Times New Roman"/>
                <w:b/>
                <w:bCs/>
                <w:color w:val="auto"/>
                <w:kern w:val="0"/>
                <w:szCs w:val="21"/>
                <w:highlight w:val="none"/>
              </w:rPr>
              <w:t>工业炉窑大气污染物排放标准</w:t>
            </w:r>
          </w:p>
          <w:tbl>
            <w:tblPr>
              <w:tblStyle w:val="36"/>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75"/>
              <w:gridCol w:w="1575"/>
              <w:gridCol w:w="2240"/>
              <w:gridCol w:w="2677"/>
            </w:tblGrid>
            <w:tr w14:paraId="2588E4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tcBorders>
                    <w:top w:val="single" w:color="auto" w:sz="12" w:space="0"/>
                  </w:tcBorders>
                  <w:noWrap w:val="0"/>
                  <w:vAlign w:val="center"/>
                </w:tcPr>
                <w:p w14:paraId="1F918C9F">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污染物项目</w:t>
                  </w:r>
                </w:p>
              </w:tc>
              <w:tc>
                <w:tcPr>
                  <w:tcW w:w="1388" w:type="pct"/>
                  <w:tcBorders>
                    <w:top w:val="single" w:color="auto" w:sz="12" w:space="0"/>
                  </w:tcBorders>
                  <w:noWrap w:val="0"/>
                  <w:vAlign w:val="center"/>
                </w:tcPr>
                <w:p w14:paraId="437540E0">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二级</w:t>
                  </w:r>
                  <w:r>
                    <w:rPr>
                      <w:rFonts w:hint="default" w:ascii="Times New Roman" w:hAnsi="Times New Roman" w:eastAsia="宋体" w:cs="Times New Roman"/>
                      <w:color w:val="auto"/>
                      <w:sz w:val="18"/>
                      <w:szCs w:val="18"/>
                      <w:highlight w:val="none"/>
                    </w:rPr>
                    <w:t>（mg/m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w:t>
                  </w:r>
                </w:p>
              </w:tc>
              <w:tc>
                <w:tcPr>
                  <w:tcW w:w="1659" w:type="pct"/>
                  <w:tcBorders>
                    <w:top w:val="single" w:color="auto" w:sz="12" w:space="0"/>
                  </w:tcBorders>
                  <w:noWrap w:val="0"/>
                  <w:vAlign w:val="center"/>
                </w:tcPr>
                <w:p w14:paraId="35D96EE3">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污染物排放监控位置</w:t>
                  </w:r>
                </w:p>
              </w:tc>
            </w:tr>
            <w:tr w14:paraId="3A4558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50CC787D">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颗粒物</w:t>
                  </w:r>
                </w:p>
              </w:tc>
              <w:tc>
                <w:tcPr>
                  <w:tcW w:w="1388" w:type="pct"/>
                  <w:noWrap w:val="0"/>
                  <w:vAlign w:val="center"/>
                </w:tcPr>
                <w:p w14:paraId="2E90BB28">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200</w:t>
                  </w:r>
                </w:p>
              </w:tc>
              <w:tc>
                <w:tcPr>
                  <w:tcW w:w="1659" w:type="pct"/>
                  <w:vMerge w:val="restart"/>
                  <w:noWrap w:val="0"/>
                  <w:vAlign w:val="center"/>
                </w:tcPr>
                <w:p w14:paraId="7208D819">
                  <w:pPr>
                    <w:keepNext w:val="0"/>
                    <w:keepLines w:val="0"/>
                    <w:widowControl/>
                    <w:suppressLineNumbers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Cs/>
                      <w:color w:val="auto"/>
                      <w:kern w:val="0"/>
                      <w:sz w:val="18"/>
                      <w:szCs w:val="18"/>
                      <w:highlight w:val="none"/>
                      <w:lang w:eastAsia="zh-CN"/>
                    </w:rPr>
                  </w:pPr>
                  <w:r>
                    <w:rPr>
                      <w:rFonts w:hint="eastAsia" w:cs="Times New Roman"/>
                      <w:color w:val="auto"/>
                      <w:sz w:val="18"/>
                      <w:szCs w:val="18"/>
                      <w:highlight w:val="none"/>
                      <w:lang w:eastAsia="zh-CN"/>
                    </w:rPr>
                    <w:t>烟囱</w:t>
                  </w:r>
                </w:p>
              </w:tc>
            </w:tr>
            <w:tr w14:paraId="6BB907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4E24437C">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二氧化硫</w:t>
                  </w:r>
                </w:p>
              </w:tc>
              <w:tc>
                <w:tcPr>
                  <w:tcW w:w="1388" w:type="pct"/>
                  <w:noWrap w:val="0"/>
                  <w:vAlign w:val="center"/>
                </w:tcPr>
                <w:p w14:paraId="47A0AEEC">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850</w:t>
                  </w:r>
                </w:p>
              </w:tc>
              <w:tc>
                <w:tcPr>
                  <w:tcW w:w="1659" w:type="pct"/>
                  <w:vMerge w:val="continue"/>
                  <w:noWrap w:val="0"/>
                  <w:vAlign w:val="center"/>
                </w:tcPr>
                <w:p w14:paraId="650BC20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18"/>
                      <w:szCs w:val="18"/>
                      <w:highlight w:val="none"/>
                    </w:rPr>
                  </w:pPr>
                </w:p>
              </w:tc>
            </w:tr>
            <w:tr w14:paraId="3E0003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31311797">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eastAsia="zh-CN"/>
                    </w:rPr>
                  </w:pPr>
                  <w:r>
                    <w:rPr>
                      <w:rFonts w:hint="default" w:ascii="Times New Roman" w:hAnsi="Times New Roman" w:eastAsia="宋体" w:cs="Times New Roman"/>
                      <w:bCs/>
                      <w:color w:val="auto"/>
                      <w:kern w:val="0"/>
                      <w:sz w:val="18"/>
                      <w:szCs w:val="18"/>
                      <w:highlight w:val="none"/>
                      <w:lang w:eastAsia="zh-CN"/>
                    </w:rPr>
                    <w:t>氮氧化物</w:t>
                  </w:r>
                </w:p>
              </w:tc>
              <w:tc>
                <w:tcPr>
                  <w:tcW w:w="1388" w:type="pct"/>
                  <w:noWrap w:val="0"/>
                  <w:vAlign w:val="center"/>
                </w:tcPr>
                <w:p w14:paraId="23F7B475">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val="en-US" w:eastAsia="zh-CN"/>
                    </w:rPr>
                  </w:pPr>
                  <w:r>
                    <w:rPr>
                      <w:rFonts w:hint="default" w:ascii="Times New Roman" w:hAnsi="Times New Roman" w:eastAsia="宋体" w:cs="Times New Roman"/>
                      <w:bCs/>
                      <w:color w:val="auto"/>
                      <w:kern w:val="0"/>
                      <w:sz w:val="18"/>
                      <w:szCs w:val="18"/>
                      <w:highlight w:val="none"/>
                      <w:lang w:val="en-US" w:eastAsia="zh-CN"/>
                    </w:rPr>
                    <w:t>-</w:t>
                  </w:r>
                </w:p>
              </w:tc>
              <w:tc>
                <w:tcPr>
                  <w:tcW w:w="1659" w:type="pct"/>
                  <w:vMerge w:val="continue"/>
                  <w:noWrap w:val="0"/>
                  <w:vAlign w:val="center"/>
                </w:tcPr>
                <w:p w14:paraId="752F7C8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18"/>
                      <w:szCs w:val="18"/>
                      <w:highlight w:val="none"/>
                    </w:rPr>
                  </w:pPr>
                </w:p>
              </w:tc>
            </w:tr>
            <w:tr w14:paraId="72E12B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noWrap w:val="0"/>
                  <w:vAlign w:val="center"/>
                </w:tcPr>
                <w:p w14:paraId="1D270C1C">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烟气黑度（</w:t>
                  </w:r>
                  <w:r>
                    <w:rPr>
                      <w:rFonts w:hint="eastAsia" w:ascii="Times New Roman" w:hAnsi="Times New Roman" w:eastAsia="宋体" w:cs="Times New Roman"/>
                      <w:bCs/>
                      <w:color w:val="auto"/>
                      <w:kern w:val="0"/>
                      <w:sz w:val="18"/>
                      <w:szCs w:val="18"/>
                      <w:highlight w:val="none"/>
                      <w:lang w:eastAsia="zh-CN"/>
                    </w:rPr>
                    <w:t>林格曼黑度</w:t>
                  </w:r>
                  <w:r>
                    <w:rPr>
                      <w:rFonts w:hint="default" w:ascii="Times New Roman" w:hAnsi="Times New Roman" w:eastAsia="宋体" w:cs="Times New Roman"/>
                      <w:bCs/>
                      <w:color w:val="auto"/>
                      <w:kern w:val="0"/>
                      <w:sz w:val="18"/>
                      <w:szCs w:val="18"/>
                      <w:highlight w:val="none"/>
                    </w:rPr>
                    <w:t>，级）</w:t>
                  </w:r>
                </w:p>
              </w:tc>
              <w:tc>
                <w:tcPr>
                  <w:tcW w:w="1388" w:type="pct"/>
                  <w:noWrap w:val="0"/>
                  <w:vAlign w:val="center"/>
                </w:tcPr>
                <w:p w14:paraId="12D7BC83">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≤1</w:t>
                  </w:r>
                </w:p>
              </w:tc>
              <w:tc>
                <w:tcPr>
                  <w:tcW w:w="1659" w:type="pct"/>
                  <w:noWrap w:val="0"/>
                  <w:vAlign w:val="center"/>
                </w:tcPr>
                <w:p w14:paraId="22ECDA8E">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color w:val="auto"/>
                      <w:sz w:val="18"/>
                      <w:szCs w:val="18"/>
                      <w:highlight w:val="none"/>
                      <w:lang w:eastAsia="zh-CN"/>
                    </w:rPr>
                    <w:t>烟囱</w:t>
                  </w:r>
                  <w:r>
                    <w:rPr>
                      <w:rFonts w:hint="default" w:ascii="Times New Roman" w:hAnsi="Times New Roman" w:eastAsia="宋体" w:cs="Times New Roman"/>
                      <w:bCs/>
                      <w:color w:val="auto"/>
                      <w:kern w:val="0"/>
                      <w:sz w:val="18"/>
                      <w:szCs w:val="18"/>
                      <w:highlight w:val="none"/>
                    </w:rPr>
                    <w:t>排放口</w:t>
                  </w:r>
                </w:p>
              </w:tc>
            </w:tr>
            <w:tr w14:paraId="1C1B95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8" w:type="dxa"/>
                  <w:vMerge w:val="restart"/>
                  <w:noWrap w:val="0"/>
                  <w:vAlign w:val="center"/>
                </w:tcPr>
                <w:p w14:paraId="3F417D6F">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FF0000"/>
                      <w:kern w:val="0"/>
                      <w:sz w:val="18"/>
                      <w:szCs w:val="18"/>
                      <w:highlight w:val="none"/>
                      <w:lang w:val="en-US" w:eastAsia="zh-CN"/>
                    </w:rPr>
                    <w:t>工业炉窑无组织排放颗粒物</w:t>
                  </w:r>
                </w:p>
              </w:tc>
              <w:tc>
                <w:tcPr>
                  <w:tcW w:w="1568" w:type="dxa"/>
                  <w:noWrap w:val="0"/>
                  <w:vAlign w:val="center"/>
                </w:tcPr>
                <w:p w14:paraId="7F1CC03B">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FF0000"/>
                      <w:kern w:val="0"/>
                      <w:sz w:val="18"/>
                      <w:szCs w:val="18"/>
                      <w:highlight w:val="none"/>
                      <w:lang w:val="en-US" w:eastAsia="zh-CN"/>
                    </w:rPr>
                    <w:t>设置方式</w:t>
                  </w:r>
                </w:p>
              </w:tc>
              <w:tc>
                <w:tcPr>
                  <w:tcW w:w="2230" w:type="dxa"/>
                  <w:noWrap w:val="0"/>
                  <w:vAlign w:val="center"/>
                </w:tcPr>
                <w:p w14:paraId="643704BE">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FF0000"/>
                      <w:kern w:val="0"/>
                      <w:sz w:val="18"/>
                      <w:szCs w:val="18"/>
                      <w:highlight w:val="none"/>
                      <w:lang w:val="en-US" w:eastAsia="zh-CN"/>
                    </w:rPr>
                    <w:t>炉窑类别</w:t>
                  </w:r>
                </w:p>
              </w:tc>
              <w:tc>
                <w:tcPr>
                  <w:tcW w:w="2666" w:type="dxa"/>
                  <w:noWrap w:val="0"/>
                  <w:vAlign w:val="center"/>
                </w:tcPr>
                <w:p w14:paraId="02CC0350">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eastAsia" w:cs="Times New Roman"/>
                      <w:color w:val="auto"/>
                      <w:sz w:val="18"/>
                      <w:szCs w:val="18"/>
                      <w:highlight w:val="none"/>
                      <w:lang w:eastAsia="zh-CN"/>
                    </w:rPr>
                  </w:pPr>
                  <w:r>
                    <w:rPr>
                      <w:rFonts w:hint="eastAsia" w:cs="Times New Roman"/>
                      <w:color w:val="FF0000"/>
                      <w:sz w:val="18"/>
                      <w:szCs w:val="18"/>
                      <w:highlight w:val="none"/>
                      <w:lang w:val="en-US" w:eastAsia="zh-CN"/>
                    </w:rPr>
                    <w:t>无组织排放颗粒物最高允许浓度</w:t>
                  </w:r>
                  <w:r>
                    <w:rPr>
                      <w:rFonts w:hint="default" w:ascii="Times New Roman" w:hAnsi="Times New Roman" w:eastAsia="宋体" w:cs="Times New Roman"/>
                      <w:color w:val="FF0000"/>
                      <w:sz w:val="18"/>
                      <w:szCs w:val="18"/>
                      <w:highlight w:val="none"/>
                    </w:rPr>
                    <w:t>（mg/m</w:t>
                  </w:r>
                  <w:r>
                    <w:rPr>
                      <w:rFonts w:hint="default" w:ascii="Times New Roman" w:hAnsi="Times New Roman" w:eastAsia="宋体" w:cs="Times New Roman"/>
                      <w:color w:val="FF0000"/>
                      <w:sz w:val="18"/>
                      <w:szCs w:val="18"/>
                      <w:highlight w:val="none"/>
                      <w:vertAlign w:val="superscript"/>
                    </w:rPr>
                    <w:t>3</w:t>
                  </w:r>
                  <w:r>
                    <w:rPr>
                      <w:rFonts w:hint="default" w:ascii="Times New Roman" w:hAnsi="Times New Roman" w:eastAsia="宋体" w:cs="Times New Roman"/>
                      <w:color w:val="FF0000"/>
                      <w:sz w:val="18"/>
                      <w:szCs w:val="18"/>
                      <w:highlight w:val="none"/>
                    </w:rPr>
                    <w:t>）</w:t>
                  </w:r>
                </w:p>
              </w:tc>
            </w:tr>
            <w:tr w14:paraId="7414B7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8" w:type="dxa"/>
                  <w:vMerge w:val="continue"/>
                  <w:tcBorders>
                    <w:bottom w:val="single" w:color="auto" w:sz="12" w:space="0"/>
                  </w:tcBorders>
                  <w:noWrap w:val="0"/>
                  <w:vAlign w:val="center"/>
                </w:tcPr>
                <w:p w14:paraId="7603A1FB">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p>
              </w:tc>
              <w:tc>
                <w:tcPr>
                  <w:tcW w:w="1568" w:type="dxa"/>
                  <w:tcBorders>
                    <w:bottom w:val="single" w:color="auto" w:sz="12" w:space="0"/>
                  </w:tcBorders>
                  <w:noWrap w:val="0"/>
                  <w:vAlign w:val="center"/>
                </w:tcPr>
                <w:p w14:paraId="4F6C576B">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FF0000"/>
                      <w:kern w:val="0"/>
                      <w:sz w:val="18"/>
                      <w:szCs w:val="18"/>
                      <w:highlight w:val="none"/>
                      <w:lang w:val="en-US" w:eastAsia="zh-CN"/>
                    </w:rPr>
                    <w:t>有车间厂房</w:t>
                  </w:r>
                </w:p>
              </w:tc>
              <w:tc>
                <w:tcPr>
                  <w:tcW w:w="2230" w:type="dxa"/>
                  <w:tcBorders>
                    <w:bottom w:val="single" w:color="auto" w:sz="12" w:space="0"/>
                  </w:tcBorders>
                  <w:noWrap w:val="0"/>
                  <w:vAlign w:val="center"/>
                </w:tcPr>
                <w:p w14:paraId="59E8C727">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FF0000"/>
                      <w:kern w:val="0"/>
                      <w:sz w:val="18"/>
                      <w:szCs w:val="18"/>
                      <w:highlight w:val="none"/>
                      <w:lang w:val="en-US" w:eastAsia="zh-CN"/>
                    </w:rPr>
                    <w:t>其他炉窑</w:t>
                  </w:r>
                </w:p>
              </w:tc>
              <w:tc>
                <w:tcPr>
                  <w:tcW w:w="2666" w:type="dxa"/>
                  <w:tcBorders>
                    <w:bottom w:val="single" w:color="auto" w:sz="12" w:space="0"/>
                  </w:tcBorders>
                  <w:noWrap w:val="0"/>
                  <w:vAlign w:val="center"/>
                </w:tcPr>
                <w:p w14:paraId="1E795635">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eastAsia" w:cs="Times New Roman"/>
                      <w:color w:val="auto"/>
                      <w:sz w:val="18"/>
                      <w:szCs w:val="18"/>
                      <w:highlight w:val="none"/>
                      <w:lang w:eastAsia="zh-CN"/>
                    </w:rPr>
                  </w:pPr>
                  <w:r>
                    <w:rPr>
                      <w:rFonts w:hint="eastAsia" w:cs="Times New Roman"/>
                      <w:color w:val="FF0000"/>
                      <w:sz w:val="18"/>
                      <w:szCs w:val="18"/>
                      <w:highlight w:val="none"/>
                      <w:lang w:val="en-US" w:eastAsia="zh-CN"/>
                    </w:rPr>
                    <w:t>5</w:t>
                  </w:r>
                </w:p>
              </w:tc>
            </w:tr>
          </w:tbl>
          <w:p w14:paraId="7CADBF6B">
            <w:pPr>
              <w:pStyle w:val="9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jc w:val="both"/>
              <w:textAlignment w:val="auto"/>
              <w:rPr>
                <w:rStyle w:val="154"/>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0"/>
                <w:kern w:val="0"/>
                <w:sz w:val="21"/>
                <w:szCs w:val="21"/>
                <w:highlight w:val="none"/>
                <w:lang w:val="en-US" w:eastAsia="zh-CN"/>
              </w:rPr>
              <w:t>本项目</w:t>
            </w:r>
            <w:r>
              <w:rPr>
                <w:rFonts w:hint="default" w:ascii="Times New Roman" w:hAnsi="Times New Roman" w:cs="Times New Roman"/>
                <w:color w:val="auto"/>
                <w:spacing w:val="0"/>
                <w:kern w:val="0"/>
                <w:sz w:val="21"/>
                <w:szCs w:val="21"/>
                <w:highlight w:val="none"/>
              </w:rPr>
              <w:t>厂界无组织颗粒物执行《大气污染物综合排放标准》（GB16297-1996）表2中无组织排放监控浓度限值</w:t>
            </w:r>
            <w:r>
              <w:rPr>
                <w:rFonts w:hint="default" w:ascii="Times New Roman" w:hAnsi="Times New Roman" w:cs="Times New Roman"/>
                <w:bCs/>
                <w:color w:val="auto"/>
                <w:spacing w:val="0"/>
                <w:sz w:val="21"/>
                <w:szCs w:val="21"/>
                <w:highlight w:val="none"/>
              </w:rPr>
              <w:t>。</w:t>
            </w:r>
          </w:p>
          <w:p w14:paraId="2F7457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kern w:val="0"/>
                <w:highlight w:val="none"/>
              </w:rPr>
              <w:t>表</w:t>
            </w:r>
            <w:r>
              <w:rPr>
                <w:rFonts w:hint="default" w:ascii="Times New Roman" w:hAnsi="Times New Roman" w:eastAsia="宋体" w:cs="Times New Roman"/>
                <w:b/>
                <w:bCs/>
                <w:color w:val="auto"/>
                <w:kern w:val="0"/>
                <w:highlight w:val="none"/>
                <w:lang w:val="en-US" w:eastAsia="zh-CN"/>
              </w:rPr>
              <w:t>3</w:t>
            </w:r>
            <w:r>
              <w:rPr>
                <w:rFonts w:hint="default" w:ascii="Times New Roman" w:hAnsi="Times New Roman" w:eastAsia="宋体" w:cs="Times New Roman"/>
                <w:b/>
                <w:bCs/>
                <w:color w:val="auto"/>
                <w:kern w:val="0"/>
                <w:highlight w:val="none"/>
              </w:rPr>
              <w:t>-</w:t>
            </w:r>
            <w:r>
              <w:rPr>
                <w:rFonts w:hint="eastAsia" w:cs="Times New Roman"/>
                <w:b/>
                <w:bCs/>
                <w:color w:val="auto"/>
                <w:kern w:val="0"/>
                <w:highlight w:val="none"/>
                <w:lang w:val="en-US" w:eastAsia="zh-CN"/>
              </w:rPr>
              <w:t>9</w:t>
            </w:r>
            <w:r>
              <w:rPr>
                <w:rFonts w:hint="default" w:ascii="Times New Roman" w:hAnsi="Times New Roman" w:eastAsia="宋体" w:cs="Times New Roman"/>
                <w:b/>
                <w:bCs/>
                <w:color w:val="auto"/>
                <w:kern w:val="0"/>
                <w:highlight w:val="none"/>
              </w:rPr>
              <w:t>大气污染物综合排放标准</w:t>
            </w:r>
          </w:p>
          <w:tbl>
            <w:tblPr>
              <w:tblStyle w:val="36"/>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50"/>
              <w:gridCol w:w="3263"/>
              <w:gridCol w:w="2557"/>
            </w:tblGrid>
            <w:tr w14:paraId="5B51D40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op w:val="single" w:color="auto" w:sz="12" w:space="0"/>
                  </w:tcBorders>
                  <w:noWrap w:val="0"/>
                  <w:vAlign w:val="center"/>
                </w:tcPr>
                <w:p w14:paraId="4B752D8E">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污染物</w:t>
                  </w:r>
                </w:p>
              </w:tc>
              <w:tc>
                <w:tcPr>
                  <w:tcW w:w="3220" w:type="dxa"/>
                  <w:tcBorders>
                    <w:top w:val="single" w:color="auto" w:sz="12" w:space="0"/>
                  </w:tcBorders>
                  <w:noWrap w:val="0"/>
                  <w:vAlign w:val="center"/>
                </w:tcPr>
                <w:p w14:paraId="375EF3C2">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无组织排放监控浓度限值</w:t>
                  </w:r>
                </w:p>
              </w:tc>
              <w:tc>
                <w:tcPr>
                  <w:tcW w:w="2523" w:type="dxa"/>
                  <w:tcBorders>
                    <w:top w:val="single" w:color="auto" w:sz="12" w:space="0"/>
                  </w:tcBorders>
                  <w:noWrap w:val="0"/>
                  <w:vAlign w:val="center"/>
                </w:tcPr>
                <w:p w14:paraId="58C42A7D">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最高允许排放浓度</w:t>
                  </w:r>
                </w:p>
              </w:tc>
            </w:tr>
            <w:tr w14:paraId="3E6C146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bottom w:val="single" w:color="auto" w:sz="12" w:space="0"/>
                  </w:tcBorders>
                  <w:noWrap w:val="0"/>
                  <w:vAlign w:val="center"/>
                </w:tcPr>
                <w:p w14:paraId="4687EF89">
                  <w:pPr>
                    <w:keepNext w:val="0"/>
                    <w:keepLines w:val="0"/>
                    <w:suppressLineNumbers w:val="0"/>
                    <w:adjustRightInd w:val="0"/>
                    <w:snapToGrid w:val="0"/>
                    <w:spacing w:before="0" w:beforeAutospacing="0" w:after="0" w:afterAutospacing="0"/>
                    <w:ind w:left="0" w:right="0"/>
                    <w:jc w:val="center"/>
                    <w:rPr>
                      <w:rFonts w:hint="eastAsia"/>
                      <w:color w:val="auto"/>
                      <w:sz w:val="18"/>
                      <w:szCs w:val="18"/>
                      <w:highlight w:val="none"/>
                    </w:rPr>
                  </w:pPr>
                  <w:r>
                    <w:rPr>
                      <w:rFonts w:hint="eastAsia"/>
                      <w:color w:val="auto"/>
                      <w:sz w:val="18"/>
                      <w:szCs w:val="18"/>
                      <w:highlight w:val="none"/>
                    </w:rPr>
                    <w:t>颗粒物</w:t>
                  </w:r>
                </w:p>
              </w:tc>
              <w:tc>
                <w:tcPr>
                  <w:tcW w:w="3220" w:type="dxa"/>
                  <w:tcBorders>
                    <w:bottom w:val="single" w:color="auto" w:sz="12" w:space="0"/>
                  </w:tcBorders>
                  <w:noWrap w:val="0"/>
                  <w:vAlign w:val="center"/>
                </w:tcPr>
                <w:p w14:paraId="682D2D48">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周界外浓度最高点</w:t>
                  </w:r>
                </w:p>
              </w:tc>
              <w:tc>
                <w:tcPr>
                  <w:tcW w:w="2523" w:type="dxa"/>
                  <w:tcBorders>
                    <w:bottom w:val="single" w:color="auto" w:sz="12" w:space="0"/>
                  </w:tcBorders>
                  <w:noWrap w:val="0"/>
                  <w:vAlign w:val="center"/>
                </w:tcPr>
                <w:p w14:paraId="07C78788">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1.0</w:t>
                  </w:r>
                </w:p>
              </w:tc>
            </w:tr>
          </w:tbl>
          <w:p w14:paraId="4A6429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2、废水</w:t>
            </w:r>
          </w:p>
          <w:p w14:paraId="490F825E">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宋体" w:hAnsi="宋体" w:eastAsia="宋体" w:cs="宋体"/>
                <w:color w:val="auto"/>
                <w:spacing w:val="0"/>
                <w:kern w:val="24"/>
                <w:sz w:val="21"/>
                <w:szCs w:val="21"/>
                <w:highlight w:val="none"/>
                <w:lang w:eastAsia="zh-CN"/>
              </w:rPr>
            </w:pPr>
            <w:r>
              <w:rPr>
                <w:rFonts w:hint="eastAsia"/>
                <w:bCs/>
                <w:color w:val="auto"/>
                <w:szCs w:val="21"/>
              </w:rPr>
              <w:t>本项目生产过程中无废水产生，</w:t>
            </w:r>
            <w:r>
              <w:rPr>
                <w:rFonts w:hint="eastAsia"/>
                <w:bCs/>
                <w:color w:val="auto"/>
                <w:szCs w:val="21"/>
                <w:lang w:eastAsia="zh-CN"/>
              </w:rPr>
              <w:t>员工生活污水排入防渗旱厕定期清掏外运堆肥，不外排。</w:t>
            </w:r>
          </w:p>
          <w:p w14:paraId="44F45F2B">
            <w:pPr>
              <w:keepNext w:val="0"/>
              <w:keepLines w:val="0"/>
              <w:numPr>
                <w:ilvl w:val="0"/>
                <w:numId w:val="0"/>
              </w:numPr>
              <w:suppressLineNumbers w:val="0"/>
              <w:spacing w:before="0" w:beforeAutospacing="0" w:after="0" w:afterAutospacing="0" w:line="360" w:lineRule="auto"/>
              <w:ind w:left="0" w:right="0" w:rightChars="0" w:firstLine="422" w:firstLineChars="200"/>
              <w:rPr>
                <w:rFonts w:hint="default"/>
                <w:color w:val="auto"/>
                <w:highlight w:val="none"/>
              </w:rPr>
            </w:pPr>
            <w:r>
              <w:rPr>
                <w:rFonts w:hint="eastAsia" w:cs="Times New Roman"/>
                <w:b/>
                <w:color w:val="auto"/>
                <w:szCs w:val="21"/>
                <w:highlight w:val="none"/>
                <w:lang w:val="en-US" w:eastAsia="zh-CN"/>
              </w:rPr>
              <w:t>3、</w:t>
            </w:r>
            <w:r>
              <w:rPr>
                <w:rFonts w:hint="default" w:ascii="Times New Roman" w:hAnsi="Times New Roman" w:cs="Times New Roman"/>
                <w:b/>
                <w:color w:val="auto"/>
                <w:szCs w:val="21"/>
                <w:highlight w:val="none"/>
              </w:rPr>
              <w:t>噪声</w:t>
            </w:r>
          </w:p>
          <w:p w14:paraId="3EBE459C">
            <w:pPr>
              <w:keepNext w:val="0"/>
              <w:keepLines w:val="0"/>
              <w:suppressLineNumbers w:val="0"/>
              <w:spacing w:before="0" w:beforeAutospacing="0" w:after="0" w:afterAutospacing="0" w:line="360" w:lineRule="auto"/>
              <w:ind w:left="0" w:right="0" w:firstLine="420" w:firstLineChars="200"/>
              <w:rPr>
                <w:rFonts w:hint="default"/>
                <w:b/>
                <w:color w:val="FF0000"/>
                <w:szCs w:val="21"/>
                <w:highlight w:val="none"/>
              </w:rPr>
            </w:pPr>
            <w:r>
              <w:rPr>
                <w:rFonts w:hint="default"/>
                <w:color w:val="FF0000"/>
                <w:szCs w:val="21"/>
                <w:highlight w:val="none"/>
              </w:rPr>
              <w:t>施工期</w:t>
            </w:r>
            <w:r>
              <w:rPr>
                <w:rFonts w:hint="eastAsia"/>
                <w:color w:val="FF0000"/>
                <w:szCs w:val="21"/>
                <w:highlight w:val="none"/>
                <w:lang w:eastAsia="zh-CN"/>
              </w:rPr>
              <w:t>：</w:t>
            </w:r>
            <w:r>
              <w:rPr>
                <w:rFonts w:hint="default"/>
                <w:color w:val="FF0000"/>
                <w:szCs w:val="21"/>
                <w:highlight w:val="none"/>
              </w:rPr>
              <w:t>噪声执行</w:t>
            </w:r>
            <w:r>
              <w:rPr>
                <w:rFonts w:hint="eastAsia"/>
                <w:color w:val="FF0000"/>
                <w:szCs w:val="21"/>
                <w:highlight w:val="none"/>
                <w:lang w:eastAsia="zh-CN"/>
              </w:rPr>
              <w:t>《建筑施工噪声排放标准》（GB12523-2025）</w:t>
            </w:r>
            <w:r>
              <w:rPr>
                <w:rFonts w:hint="default"/>
                <w:color w:val="FF0000"/>
                <w:szCs w:val="21"/>
                <w:highlight w:val="none"/>
              </w:rPr>
              <w:t>中噪声排放限值，具体标准见表3-</w:t>
            </w:r>
            <w:r>
              <w:rPr>
                <w:rFonts w:hint="eastAsia"/>
                <w:color w:val="FF0000"/>
                <w:szCs w:val="21"/>
                <w:highlight w:val="none"/>
                <w:lang w:val="en-US" w:eastAsia="zh-CN"/>
              </w:rPr>
              <w:t>10</w:t>
            </w:r>
            <w:r>
              <w:rPr>
                <w:rFonts w:hint="default"/>
                <w:color w:val="FF0000"/>
                <w:szCs w:val="21"/>
                <w:highlight w:val="none"/>
              </w:rPr>
              <w:t>。</w:t>
            </w:r>
          </w:p>
          <w:p w14:paraId="49AB44A2">
            <w:pPr>
              <w:keepNext w:val="0"/>
              <w:keepLines w:val="0"/>
              <w:suppressLineNumbers w:val="0"/>
              <w:spacing w:before="0" w:beforeAutospacing="0" w:after="0" w:afterAutospacing="0"/>
              <w:ind w:left="0" w:right="0"/>
              <w:jc w:val="center"/>
              <w:rPr>
                <w:rFonts w:hint="default"/>
                <w:color w:val="auto"/>
                <w:highlight w:val="none"/>
              </w:rPr>
            </w:pPr>
            <w:r>
              <w:rPr>
                <w:rFonts w:hint="default"/>
                <w:b/>
                <w:color w:val="auto"/>
                <w:szCs w:val="21"/>
                <w:highlight w:val="none"/>
              </w:rPr>
              <w:t>表3-</w:t>
            </w:r>
            <w:r>
              <w:rPr>
                <w:rFonts w:hint="eastAsia"/>
                <w:b/>
                <w:color w:val="auto"/>
                <w:szCs w:val="21"/>
                <w:highlight w:val="none"/>
                <w:lang w:val="en-US" w:eastAsia="zh-CN"/>
              </w:rPr>
              <w:t xml:space="preserve">10 </w:t>
            </w:r>
            <w:r>
              <w:rPr>
                <w:rFonts w:hint="eastAsia"/>
                <w:b/>
                <w:color w:val="auto"/>
                <w:szCs w:val="21"/>
                <w:highlight w:val="none"/>
                <w:lang w:eastAsia="zh-CN"/>
              </w:rPr>
              <w:t>建筑施工噪声排放标准</w:t>
            </w:r>
            <w:r>
              <w:rPr>
                <w:rFonts w:hint="default"/>
                <w:b/>
                <w:color w:val="auto"/>
                <w:szCs w:val="21"/>
                <w:highlight w:val="none"/>
              </w:rPr>
              <w:t xml:space="preserve"> 单位：dB(A)</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60"/>
              <w:gridCol w:w="4010"/>
            </w:tblGrid>
            <w:tr w14:paraId="40BA08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op w:val="single" w:color="auto" w:sz="12" w:space="0"/>
                  </w:tcBorders>
                  <w:vAlign w:val="center"/>
                </w:tcPr>
                <w:p w14:paraId="13A44B78">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昼间</w:t>
                  </w:r>
                </w:p>
              </w:tc>
              <w:tc>
                <w:tcPr>
                  <w:tcW w:w="3789" w:type="dxa"/>
                  <w:tcBorders>
                    <w:top w:val="single" w:color="auto" w:sz="12" w:space="0"/>
                  </w:tcBorders>
                  <w:vAlign w:val="center"/>
                </w:tcPr>
                <w:p w14:paraId="139E843D">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夜间</w:t>
                  </w:r>
                </w:p>
              </w:tc>
            </w:tr>
            <w:tr w14:paraId="692848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bottom w:val="single" w:color="auto" w:sz="12" w:space="0"/>
                  </w:tcBorders>
                  <w:vAlign w:val="center"/>
                </w:tcPr>
                <w:p w14:paraId="4E0C91E6">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70</w:t>
                  </w:r>
                </w:p>
              </w:tc>
              <w:tc>
                <w:tcPr>
                  <w:tcW w:w="3789" w:type="dxa"/>
                  <w:tcBorders>
                    <w:bottom w:val="single" w:color="auto" w:sz="12" w:space="0"/>
                  </w:tcBorders>
                  <w:vAlign w:val="center"/>
                </w:tcPr>
                <w:p w14:paraId="3AFA38E5">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55</w:t>
                  </w:r>
                </w:p>
              </w:tc>
            </w:tr>
          </w:tbl>
          <w:p w14:paraId="530E19D9">
            <w:pPr>
              <w:pStyle w:val="10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20" w:firstLineChars="200"/>
              <w:jc w:val="both"/>
              <w:textAlignment w:val="auto"/>
              <w:rPr>
                <w:rFonts w:hint="default" w:ascii="Times New Roman" w:hAnsi="Times New Roman" w:eastAsia="宋体" w:cs="Times New Roman"/>
                <w:color w:val="FF0000"/>
                <w:kern w:val="0"/>
                <w:sz w:val="21"/>
                <w:szCs w:val="21"/>
                <w:highlight w:val="none"/>
                <w:lang w:val="en-US" w:eastAsia="zh-CN"/>
              </w:rPr>
            </w:pPr>
            <w:r>
              <w:rPr>
                <w:rFonts w:hint="eastAsia" w:ascii="Times New Roman" w:hAnsi="Times New Roman" w:eastAsia="宋体" w:cs="Times New Roman"/>
                <w:color w:val="FF0000"/>
                <w:kern w:val="0"/>
                <w:szCs w:val="21"/>
                <w:highlight w:val="none"/>
                <w:lang w:val="en-US" w:eastAsia="zh-CN"/>
              </w:rPr>
              <w:t>运</w:t>
            </w:r>
            <w:r>
              <w:rPr>
                <w:rFonts w:hint="default" w:ascii="Times New Roman" w:hAnsi="Times New Roman" w:eastAsia="宋体" w:cs="Times New Roman"/>
                <w:color w:val="FF0000"/>
                <w:kern w:val="0"/>
                <w:sz w:val="21"/>
                <w:szCs w:val="21"/>
                <w:highlight w:val="none"/>
                <w:lang w:val="en-US" w:eastAsia="zh-CN"/>
              </w:rPr>
              <w:t>营期：</w:t>
            </w:r>
            <w:r>
              <w:rPr>
                <w:rFonts w:hint="default" w:ascii="Times New Roman" w:hAnsi="Times New Roman" w:cs="Times New Roman"/>
                <w:color w:val="FF0000"/>
                <w:kern w:val="0"/>
                <w:sz w:val="21"/>
                <w:szCs w:val="21"/>
                <w:highlight w:val="none"/>
                <w:lang w:val="en-US" w:eastAsia="zh-CN"/>
              </w:rPr>
              <w:t>根据</w:t>
            </w:r>
            <w:r>
              <w:rPr>
                <w:rFonts w:hint="default" w:ascii="Times New Roman" w:hAnsi="Times New Roman" w:eastAsia="宋体" w:cs="Times New Roman"/>
                <w:color w:val="FF0000"/>
                <w:kern w:val="0"/>
                <w:sz w:val="21"/>
                <w:szCs w:val="21"/>
                <w:highlight w:val="none"/>
                <w:lang w:val="en-US" w:eastAsia="zh-CN"/>
              </w:rPr>
              <w:t>《声环境质量标准》（GB3096-2008）</w:t>
            </w:r>
            <w:r>
              <w:rPr>
                <w:rFonts w:hint="eastAsia" w:ascii="Times New Roman" w:hAnsi="Times New Roman" w:eastAsia="宋体" w:cs="Times New Roman"/>
                <w:color w:val="FF0000"/>
                <w:sz w:val="21"/>
                <w:szCs w:val="21"/>
                <w:lang w:val="en-US" w:eastAsia="zh-CN"/>
              </w:rPr>
              <w:t>2</w:t>
            </w:r>
            <w:r>
              <w:rPr>
                <w:rFonts w:hint="default" w:ascii="Times New Roman" w:hAnsi="Times New Roman" w:eastAsia="宋体" w:cs="Times New Roman"/>
                <w:color w:val="FF0000"/>
                <w:sz w:val="21"/>
                <w:szCs w:val="21"/>
              </w:rPr>
              <w:t>类声环境功能区：指以商业金融、集市贸易为主要功能，或者居住、商业、工业混杂，需要维护住宅安静的区域。</w:t>
            </w:r>
            <w:r>
              <w:rPr>
                <w:rFonts w:hint="default" w:ascii="Times New Roman" w:hAnsi="Times New Roman" w:eastAsia="宋体" w:cs="Times New Roman"/>
                <w:color w:val="FF0000"/>
                <w:kern w:val="0"/>
                <w:sz w:val="21"/>
                <w:szCs w:val="21"/>
                <w:highlight w:val="none"/>
                <w:lang w:val="en-US" w:eastAsia="zh-CN"/>
              </w:rPr>
              <w:t>本项目</w:t>
            </w:r>
            <w:r>
              <w:rPr>
                <w:rFonts w:hint="default" w:ascii="Times New Roman" w:hAnsi="Times New Roman" w:cs="Times New Roman"/>
                <w:color w:val="FF0000"/>
                <w:kern w:val="0"/>
                <w:sz w:val="21"/>
                <w:szCs w:val="21"/>
                <w:highlight w:val="none"/>
                <w:lang w:val="en-US" w:eastAsia="zh-CN"/>
              </w:rPr>
              <w:t>区域为居住、工业混杂，</w:t>
            </w:r>
            <w:r>
              <w:rPr>
                <w:rFonts w:hint="default" w:ascii="Times New Roman" w:hAnsi="Times New Roman" w:eastAsia="宋体" w:cs="Times New Roman"/>
                <w:color w:val="FF0000"/>
                <w:kern w:val="0"/>
                <w:sz w:val="21"/>
                <w:szCs w:val="21"/>
                <w:highlight w:val="none"/>
                <w:lang w:val="en-US" w:eastAsia="zh-CN"/>
              </w:rPr>
              <w:t>厂界噪声执行《工业企业厂界环境噪声排放标准》(GB12348-2008)表1中</w:t>
            </w:r>
            <w:r>
              <w:rPr>
                <w:rFonts w:hint="default" w:ascii="Times New Roman" w:hAnsi="Times New Roman" w:cs="Times New Roman"/>
                <w:color w:val="FF0000"/>
                <w:kern w:val="0"/>
                <w:sz w:val="21"/>
                <w:szCs w:val="21"/>
                <w:highlight w:val="none"/>
                <w:lang w:val="en-US" w:eastAsia="zh-CN"/>
              </w:rPr>
              <w:t>2类</w:t>
            </w:r>
            <w:r>
              <w:rPr>
                <w:rFonts w:hint="default" w:ascii="Times New Roman" w:hAnsi="Times New Roman" w:eastAsia="宋体" w:cs="Times New Roman"/>
                <w:color w:val="FF0000"/>
                <w:kern w:val="0"/>
                <w:sz w:val="21"/>
                <w:szCs w:val="21"/>
                <w:highlight w:val="none"/>
                <w:lang w:val="en-US" w:eastAsia="zh-CN"/>
              </w:rPr>
              <w:t>标准。</w:t>
            </w:r>
          </w:p>
          <w:p w14:paraId="0BF8533D">
            <w:pPr>
              <w:pStyle w:val="72"/>
              <w:keepNext w:val="0"/>
              <w:keepLines w:val="0"/>
              <w:suppressLineNumbers w:val="0"/>
              <w:snapToGrid w:val="0"/>
              <w:spacing w:before="0" w:beforeLines="0" w:beforeAutospacing="0" w:after="0" w:afterLines="0" w:afterAutospacing="0" w:line="240" w:lineRule="auto"/>
              <w:ind w:left="0" w:right="0"/>
              <w:rPr>
                <w:rFonts w:hint="default" w:ascii="Times New Roman" w:hAnsi="Times New Roman" w:cs="Times New Roman"/>
                <w:snapToGrid w:val="0"/>
                <w:color w:val="auto"/>
                <w:spacing w:val="0"/>
                <w:sz w:val="21"/>
                <w:szCs w:val="21"/>
                <w:highlight w:val="none"/>
              </w:rPr>
            </w:pPr>
            <w:r>
              <w:rPr>
                <w:rFonts w:hint="default" w:ascii="Times New Roman" w:hAnsi="Times New Roman" w:eastAsia="宋体" w:cs="Times New Roman"/>
                <w:b/>
                <w:bCs/>
                <w:snapToGrid w:val="0"/>
                <w:color w:val="auto"/>
                <w:spacing w:val="0"/>
                <w:sz w:val="21"/>
                <w:szCs w:val="21"/>
                <w:highlight w:val="none"/>
              </w:rPr>
              <w:t>表3-</w:t>
            </w:r>
            <w:r>
              <w:rPr>
                <w:rFonts w:hint="eastAsia" w:ascii="Times New Roman" w:hAnsi="Times New Roman" w:eastAsia="宋体" w:cs="Times New Roman"/>
                <w:b/>
                <w:bCs/>
                <w:snapToGrid w:val="0"/>
                <w:color w:val="auto"/>
                <w:spacing w:val="0"/>
                <w:sz w:val="21"/>
                <w:szCs w:val="21"/>
                <w:highlight w:val="none"/>
                <w:lang w:val="en-US" w:eastAsia="zh-CN"/>
              </w:rPr>
              <w:t xml:space="preserve">11 </w:t>
            </w:r>
            <w:r>
              <w:rPr>
                <w:rFonts w:hint="default" w:ascii="Times New Roman" w:hAnsi="Times New Roman" w:eastAsia="宋体" w:cs="Times New Roman"/>
                <w:b/>
                <w:bCs/>
                <w:snapToGrid w:val="0"/>
                <w:color w:val="auto"/>
                <w:spacing w:val="0"/>
                <w:sz w:val="21"/>
                <w:szCs w:val="21"/>
                <w:highlight w:val="none"/>
              </w:rPr>
              <w:t>工业企业厂界环境噪声排放标准</w:t>
            </w:r>
          </w:p>
          <w:tbl>
            <w:tblPr>
              <w:tblStyle w:val="36"/>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00"/>
              <w:gridCol w:w="2814"/>
              <w:gridCol w:w="2853"/>
            </w:tblGrid>
            <w:tr w14:paraId="13D34CF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vMerge w:val="restart"/>
                  <w:tcBorders>
                    <w:top w:val="single" w:color="auto" w:sz="12" w:space="0"/>
                  </w:tcBorders>
                  <w:vAlign w:val="center"/>
                </w:tcPr>
                <w:p w14:paraId="29AA9D04">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类别</w:t>
                  </w:r>
                </w:p>
              </w:tc>
              <w:tc>
                <w:tcPr>
                  <w:tcW w:w="3512" w:type="pct"/>
                  <w:gridSpan w:val="2"/>
                  <w:tcBorders>
                    <w:top w:val="single" w:color="auto" w:sz="12" w:space="0"/>
                  </w:tcBorders>
                  <w:vAlign w:val="center"/>
                </w:tcPr>
                <w:p w14:paraId="4AA27FEC">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标准值（dB（A））</w:t>
                  </w:r>
                </w:p>
              </w:tc>
            </w:tr>
            <w:tr w14:paraId="1A7D661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283" w:hRule="atLeast"/>
                <w:jc w:val="center"/>
              </w:trPr>
              <w:tc>
                <w:tcPr>
                  <w:tcW w:w="1487" w:type="pct"/>
                  <w:vMerge w:val="continue"/>
                  <w:vAlign w:val="center"/>
                </w:tcPr>
                <w:p w14:paraId="4E3A9167">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p>
              </w:tc>
              <w:tc>
                <w:tcPr>
                  <w:tcW w:w="1744" w:type="pct"/>
                  <w:vAlign w:val="center"/>
                </w:tcPr>
                <w:p w14:paraId="57E47D4E">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昼间</w:t>
                  </w:r>
                </w:p>
              </w:tc>
              <w:tc>
                <w:tcPr>
                  <w:tcW w:w="1768" w:type="pct"/>
                  <w:vAlign w:val="center"/>
                </w:tcPr>
                <w:p w14:paraId="74056F7B">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夜间</w:t>
                  </w:r>
                </w:p>
              </w:tc>
            </w:tr>
            <w:tr w14:paraId="4DC958E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tcBorders>
                    <w:bottom w:val="single" w:color="auto" w:sz="12" w:space="0"/>
                  </w:tcBorders>
                  <w:vAlign w:val="center"/>
                </w:tcPr>
                <w:p w14:paraId="6683A8D0">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eastAsia" w:cs="Times New Roman" w:eastAsiaTheme="minorEastAsia"/>
                      <w:color w:val="auto"/>
                      <w:sz w:val="18"/>
                      <w:szCs w:val="18"/>
                      <w:highlight w:val="none"/>
                      <w:lang w:val="en-US" w:eastAsia="zh-CN"/>
                    </w:rPr>
                    <w:t>2类</w:t>
                  </w:r>
                </w:p>
              </w:tc>
              <w:tc>
                <w:tcPr>
                  <w:tcW w:w="1744" w:type="pct"/>
                  <w:tcBorders>
                    <w:bottom w:val="single" w:color="auto" w:sz="12" w:space="0"/>
                  </w:tcBorders>
                  <w:vAlign w:val="center"/>
                </w:tcPr>
                <w:p w14:paraId="61198D87">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60</w:t>
                  </w:r>
                </w:p>
              </w:tc>
              <w:tc>
                <w:tcPr>
                  <w:tcW w:w="1768" w:type="pct"/>
                  <w:tcBorders>
                    <w:bottom w:val="single" w:color="auto" w:sz="12" w:space="0"/>
                  </w:tcBorders>
                  <w:vAlign w:val="center"/>
                </w:tcPr>
                <w:p w14:paraId="78E9791C">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50</w:t>
                  </w:r>
                </w:p>
              </w:tc>
            </w:tr>
          </w:tbl>
          <w:p w14:paraId="4D59A4C5">
            <w:pPr>
              <w:keepNext w:val="0"/>
              <w:keepLines w:val="0"/>
              <w:suppressLineNumbers w:val="0"/>
              <w:spacing w:before="0" w:beforeAutospacing="0" w:after="0" w:afterAutospacing="0" w:line="360" w:lineRule="auto"/>
              <w:ind w:left="0" w:right="0" w:firstLine="422" w:firstLineChars="200"/>
              <w:rPr>
                <w:rFonts w:hint="default" w:ascii="Times New Roman" w:hAnsi="Times New Roman" w:cs="Times New Roman"/>
                <w:color w:val="auto"/>
                <w:kern w:val="21"/>
                <w:szCs w:val="21"/>
                <w:highlight w:val="none"/>
              </w:rPr>
            </w:pPr>
            <w:r>
              <w:rPr>
                <w:rFonts w:hint="default" w:ascii="Times New Roman" w:hAnsi="Times New Roman" w:cs="Times New Roman"/>
                <w:b/>
                <w:bCs/>
                <w:color w:val="auto"/>
                <w:kern w:val="21"/>
                <w:szCs w:val="21"/>
                <w:highlight w:val="none"/>
              </w:rPr>
              <w:t>4、固体废物</w:t>
            </w:r>
          </w:p>
          <w:p w14:paraId="308AF4BF">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21"/>
                <w:szCs w:val="21"/>
                <w:highlight w:val="none"/>
              </w:rPr>
              <w:t>一般固体废物处置执行《一般工业固体废物贮存和填埋污染控制标准》（GB18599-2020）</w:t>
            </w:r>
            <w:r>
              <w:rPr>
                <w:rFonts w:hint="eastAsia" w:ascii="Times New Roman" w:hAnsi="Times New Roman" w:eastAsia="宋体" w:cs="Times New Roman"/>
                <w:b w:val="0"/>
                <w:bCs w:val="0"/>
                <w:color w:val="auto"/>
                <w:sz w:val="21"/>
                <w:szCs w:val="21"/>
                <w:highlight w:val="none"/>
                <w:lang w:val="en-US" w:eastAsia="zh-CN"/>
              </w:rPr>
              <w:t>、</w:t>
            </w:r>
            <w:r>
              <w:rPr>
                <w:rFonts w:hint="eastAsia"/>
                <w:bCs/>
                <w:color w:val="auto"/>
                <w:szCs w:val="21"/>
                <w:highlight w:val="none"/>
              </w:rPr>
              <w:t>《固体废物分类与代码</w:t>
            </w:r>
            <w:r>
              <w:rPr>
                <w:rFonts w:hint="eastAsia"/>
                <w:bCs/>
                <w:color w:val="auto"/>
                <w:szCs w:val="21"/>
                <w:highlight w:val="none"/>
                <w:lang w:eastAsia="zh-CN"/>
              </w:rPr>
              <w:t>目录</w:t>
            </w:r>
            <w:r>
              <w:rPr>
                <w:rFonts w:hint="eastAsia"/>
                <w:bCs/>
                <w:color w:val="auto"/>
                <w:szCs w:val="21"/>
                <w:highlight w:val="none"/>
              </w:rPr>
              <w:t>》（</w:t>
            </w:r>
            <w:r>
              <w:rPr>
                <w:rFonts w:hint="eastAsia"/>
                <w:bCs/>
                <w:color w:val="auto"/>
                <w:szCs w:val="21"/>
                <w:highlight w:val="none"/>
                <w:lang w:eastAsia="zh-CN"/>
              </w:rPr>
              <w:t>公告</w:t>
            </w:r>
            <w:r>
              <w:rPr>
                <w:rFonts w:hint="eastAsia"/>
                <w:bCs/>
                <w:color w:val="auto"/>
                <w:szCs w:val="21"/>
                <w:highlight w:val="none"/>
                <w:lang w:val="en-US" w:eastAsia="zh-CN"/>
              </w:rPr>
              <w:t>2024年第4号</w:t>
            </w:r>
            <w:r>
              <w:rPr>
                <w:rFonts w:hint="eastAsia"/>
                <w:bCs/>
                <w:color w:val="auto"/>
                <w:szCs w:val="21"/>
                <w:highlight w:val="none"/>
              </w:rPr>
              <w:t>）</w:t>
            </w:r>
            <w:r>
              <w:rPr>
                <w:rFonts w:hint="eastAsia" w:ascii="Times New Roman" w:hAnsi="Times New Roman" w:eastAsia="宋体" w:cs="Times New Roman"/>
                <w:bCs/>
                <w:color w:val="auto"/>
                <w:szCs w:val="21"/>
                <w:highlight w:val="none"/>
                <w:lang w:eastAsia="zh-CN"/>
              </w:rPr>
              <w:t>，</w:t>
            </w:r>
            <w:r>
              <w:rPr>
                <w:rFonts w:hint="eastAsia" w:ascii="Times New Roman" w:hAnsi="Times New Roman" w:eastAsia="宋体" w:cs="Times New Roman"/>
                <w:bCs/>
                <w:color w:val="auto"/>
                <w:szCs w:val="21"/>
                <w:highlight w:val="none"/>
                <w:lang w:val="en-US" w:eastAsia="zh-CN"/>
              </w:rPr>
              <w:t>危险废物执行《危险废物贮存污染控制标准》（GB18597-2023）、 《国家危险废物名录（2025年版）》的相关要求管理。</w:t>
            </w:r>
          </w:p>
        </w:tc>
      </w:tr>
      <w:tr w14:paraId="56F5A7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92" w:hRule="atLeast"/>
          <w:jc w:val="center"/>
        </w:trPr>
        <w:tc>
          <w:tcPr>
            <w:tcW w:w="452" w:type="pct"/>
            <w:tcBorders>
              <w:bottom w:val="single" w:color="auto" w:sz="4" w:space="0"/>
            </w:tcBorders>
            <w:vAlign w:val="center"/>
          </w:tcPr>
          <w:p w14:paraId="259BBC4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总量控制指标</w:t>
            </w:r>
          </w:p>
        </w:tc>
        <w:tc>
          <w:tcPr>
            <w:tcW w:w="4547" w:type="pct"/>
            <w:tcBorders>
              <w:bottom w:val="single" w:color="auto" w:sz="4" w:space="0"/>
            </w:tcBorders>
            <w:vAlign w:val="center"/>
          </w:tcPr>
          <w:p w14:paraId="1008F6B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b/>
                <w:color w:val="auto"/>
                <w:szCs w:val="21"/>
                <w:highlight w:val="none"/>
              </w:rPr>
            </w:pPr>
            <w:r>
              <w:rPr>
                <w:rFonts w:hint="eastAsia" w:cs="Times New Roman"/>
                <w:b/>
                <w:bCs/>
                <w:color w:val="auto"/>
                <w:kern w:val="0"/>
                <w:szCs w:val="21"/>
                <w:highlight w:val="none"/>
                <w:lang w:val="en-US" w:eastAsia="zh-CN"/>
              </w:rPr>
              <w:t xml:space="preserve">表3-12 </w:t>
            </w:r>
            <w:r>
              <w:rPr>
                <w:rFonts w:hint="eastAsia"/>
                <w:b/>
                <w:color w:val="auto"/>
                <w:szCs w:val="21"/>
                <w:highlight w:val="none"/>
                <w:lang w:val="en-US" w:eastAsia="zh-CN"/>
              </w:rPr>
              <w:t>本项目总量控制指标 单位</w:t>
            </w:r>
            <w:r>
              <w:rPr>
                <w:rFonts w:hint="eastAsia"/>
                <w:b/>
                <w:color w:val="auto"/>
                <w:szCs w:val="21"/>
                <w:highlight w:val="none"/>
              </w:rPr>
              <w:t>：</w:t>
            </w:r>
            <w:r>
              <w:rPr>
                <w:rFonts w:hint="default"/>
                <w:b/>
                <w:color w:val="auto"/>
                <w:szCs w:val="21"/>
                <w:highlight w:val="none"/>
              </w:rPr>
              <w:t>t/a</w:t>
            </w:r>
          </w:p>
          <w:tbl>
            <w:tblPr>
              <w:tblStyle w:val="36"/>
              <w:tblW w:w="805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3"/>
              <w:gridCol w:w="3468"/>
              <w:gridCol w:w="3408"/>
            </w:tblGrid>
            <w:tr w14:paraId="5855DA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183" w:type="dxa"/>
                  <w:tcBorders>
                    <w:top w:val="single" w:color="auto" w:sz="12" w:space="0"/>
                  </w:tcBorders>
                  <w:noWrap w:val="0"/>
                  <w:vAlign w:val="center"/>
                </w:tcPr>
                <w:p w14:paraId="1B7C150C">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bCs/>
                      <w:color w:val="auto"/>
                      <w:sz w:val="18"/>
                      <w:szCs w:val="18"/>
                      <w:highlight w:val="none"/>
                    </w:rPr>
                    <w:t>名称</w:t>
                  </w:r>
                </w:p>
              </w:tc>
              <w:tc>
                <w:tcPr>
                  <w:tcW w:w="3468" w:type="dxa"/>
                  <w:tcBorders>
                    <w:top w:val="single" w:color="auto" w:sz="12" w:space="0"/>
                  </w:tcBorders>
                  <w:noWrap w:val="0"/>
                  <w:vAlign w:val="center"/>
                </w:tcPr>
                <w:p w14:paraId="5270984E">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lang w:eastAsia="zh-CN"/>
                    </w:rPr>
                    <w:t>预测排放量</w:t>
                  </w:r>
                  <w:r>
                    <w:rPr>
                      <w:rFonts w:hint="default"/>
                      <w:color w:val="auto"/>
                      <w:sz w:val="18"/>
                      <w:szCs w:val="18"/>
                      <w:highlight w:val="none"/>
                    </w:rPr>
                    <w:t>t/a）</w:t>
                  </w:r>
                </w:p>
              </w:tc>
              <w:tc>
                <w:tcPr>
                  <w:tcW w:w="3408" w:type="dxa"/>
                  <w:tcBorders>
                    <w:top w:val="single" w:color="auto" w:sz="12" w:space="0"/>
                  </w:tcBorders>
                  <w:noWrap w:val="0"/>
                  <w:vAlign w:val="center"/>
                </w:tcPr>
                <w:p w14:paraId="7313DAB3">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核定排放量（t/a）</w:t>
                  </w:r>
                </w:p>
              </w:tc>
            </w:tr>
            <w:tr w14:paraId="11B54B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183" w:type="dxa"/>
                  <w:noWrap w:val="0"/>
                  <w:vAlign w:val="center"/>
                </w:tcPr>
                <w:p w14:paraId="04A2CEE0">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eastAsia="宋体" w:cs="Times New Roman"/>
                      <w:color w:val="auto"/>
                      <w:spacing w:val="0"/>
                      <w:position w:val="0"/>
                      <w:sz w:val="18"/>
                      <w:szCs w:val="18"/>
                      <w:highlight w:val="none"/>
                    </w:rPr>
                    <w:t>SO</w:t>
                  </w:r>
                  <w:r>
                    <w:rPr>
                      <w:rFonts w:hint="default" w:ascii="Times New Roman" w:hAnsi="Times New Roman" w:eastAsia="宋体" w:cs="Times New Roman"/>
                      <w:color w:val="auto"/>
                      <w:spacing w:val="0"/>
                      <w:position w:val="0"/>
                      <w:sz w:val="18"/>
                      <w:szCs w:val="18"/>
                      <w:highlight w:val="none"/>
                      <w:vertAlign w:val="subscript"/>
                    </w:rPr>
                    <w:t>2</w:t>
                  </w:r>
                </w:p>
              </w:tc>
              <w:tc>
                <w:tcPr>
                  <w:tcW w:w="3468" w:type="dxa"/>
                  <w:noWrap w:val="0"/>
                  <w:vAlign w:val="center"/>
                </w:tcPr>
                <w:p w14:paraId="7A545E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18"/>
                      <w:szCs w:val="18"/>
                      <w:highlight w:val="none"/>
                      <w:lang w:val="en-US" w:eastAsia="zh-CN"/>
                    </w:rPr>
                  </w:pPr>
                  <w:r>
                    <w:rPr>
                      <w:rFonts w:hint="eastAsia" w:cs="Times New Roman"/>
                      <w:color w:val="auto"/>
                      <w:spacing w:val="0"/>
                      <w:kern w:val="0"/>
                      <w:position w:val="0"/>
                      <w:sz w:val="18"/>
                      <w:szCs w:val="18"/>
                      <w:highlight w:val="none"/>
                      <w:lang w:val="en-US" w:eastAsia="zh-CN"/>
                    </w:rPr>
                    <w:t>1.038</w:t>
                  </w:r>
                </w:p>
              </w:tc>
              <w:tc>
                <w:tcPr>
                  <w:tcW w:w="3408" w:type="dxa"/>
                  <w:noWrap w:val="0"/>
                  <w:vAlign w:val="center"/>
                </w:tcPr>
                <w:p w14:paraId="4CC26E97">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1.629</w:t>
                  </w:r>
                </w:p>
              </w:tc>
            </w:tr>
            <w:tr w14:paraId="0EBA60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183" w:type="dxa"/>
                  <w:tcBorders>
                    <w:bottom w:val="single" w:color="auto" w:sz="12" w:space="0"/>
                  </w:tcBorders>
                  <w:noWrap w:val="0"/>
                  <w:vAlign w:val="center"/>
                </w:tcPr>
                <w:p w14:paraId="2C7920EC">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eastAsia="宋体" w:cs="Times New Roman"/>
                      <w:color w:val="auto"/>
                      <w:spacing w:val="0"/>
                      <w:position w:val="0"/>
                      <w:sz w:val="18"/>
                      <w:szCs w:val="18"/>
                      <w:highlight w:val="none"/>
                    </w:rPr>
                    <w:t>NO</w:t>
                  </w:r>
                  <w:r>
                    <w:rPr>
                      <w:rFonts w:hint="default" w:ascii="Times New Roman" w:hAnsi="Times New Roman" w:eastAsia="宋体" w:cs="Times New Roman"/>
                      <w:color w:val="auto"/>
                      <w:spacing w:val="0"/>
                      <w:position w:val="0"/>
                      <w:sz w:val="18"/>
                      <w:szCs w:val="18"/>
                      <w:highlight w:val="none"/>
                      <w:lang w:val="en-US" w:eastAsia="zh-CN"/>
                    </w:rPr>
                    <w:t>x</w:t>
                  </w:r>
                </w:p>
              </w:tc>
              <w:tc>
                <w:tcPr>
                  <w:tcW w:w="3468" w:type="dxa"/>
                  <w:tcBorders>
                    <w:bottom w:val="single" w:color="auto" w:sz="12" w:space="0"/>
                  </w:tcBorders>
                  <w:noWrap w:val="0"/>
                  <w:vAlign w:val="center"/>
                </w:tcPr>
                <w:p w14:paraId="57FD4F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olor w:val="auto"/>
                      <w:sz w:val="18"/>
                      <w:szCs w:val="18"/>
                      <w:highlight w:val="none"/>
                      <w:lang w:val="en-US" w:eastAsia="zh-CN"/>
                    </w:rPr>
                  </w:pPr>
                  <w:r>
                    <w:rPr>
                      <w:rFonts w:hint="eastAsia" w:cs="Times New Roman"/>
                      <w:color w:val="auto"/>
                      <w:kern w:val="0"/>
                      <w:sz w:val="18"/>
                      <w:szCs w:val="18"/>
                      <w:highlight w:val="none"/>
                      <w:lang w:val="en-US" w:eastAsia="zh-CN"/>
                    </w:rPr>
                    <w:t>2.405</w:t>
                  </w:r>
                </w:p>
              </w:tc>
              <w:tc>
                <w:tcPr>
                  <w:tcW w:w="3408" w:type="dxa"/>
                  <w:tcBorders>
                    <w:bottom w:val="single" w:color="auto" w:sz="12" w:space="0"/>
                  </w:tcBorders>
                  <w:noWrap w:val="0"/>
                  <w:vAlign w:val="center"/>
                </w:tcPr>
                <w:p w14:paraId="50F3F77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4.889</w:t>
                  </w:r>
                </w:p>
              </w:tc>
            </w:tr>
          </w:tbl>
          <w:p w14:paraId="3079D1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0"/>
                <w:szCs w:val="21"/>
                <w:highlight w:val="cyan"/>
                <w:lang w:val="en-US" w:eastAsia="zh-CN"/>
              </w:rPr>
            </w:pPr>
          </w:p>
        </w:tc>
      </w:tr>
    </w:tbl>
    <w:p w14:paraId="740486E9">
      <w:pPr>
        <w:pStyle w:val="30"/>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
          <w:sz w:val="36"/>
          <w:szCs w:val="36"/>
          <w:highlight w:val="none"/>
        </w:rPr>
        <w:br w:type="page"/>
      </w:r>
      <w:bookmarkStart w:id="6" w:name="_Toc17537"/>
      <w:r>
        <w:rPr>
          <w:rFonts w:hint="default" w:ascii="Times New Roman" w:hAnsi="Times New Roman" w:eastAsia="黑体" w:cs="Times New Roman"/>
          <w:snapToGrid w:val="0"/>
          <w:color w:val="auto"/>
          <w:kern w:val="21"/>
          <w:sz w:val="30"/>
          <w:szCs w:val="30"/>
          <w:highlight w:val="none"/>
        </w:rPr>
        <w:t>四、主要环境影响和保护措施</w:t>
      </w:r>
      <w:bookmarkEnd w:id="6"/>
    </w:p>
    <w:tbl>
      <w:tblPr>
        <w:tblStyle w:val="36"/>
        <w:tblW w:w="875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7"/>
        <w:gridCol w:w="8302"/>
      </w:tblGrid>
      <w:tr w14:paraId="551FEF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7" w:type="dxa"/>
            <w:noWrap w:val="0"/>
            <w:tcMar>
              <w:left w:w="28" w:type="dxa"/>
              <w:right w:w="28" w:type="dxa"/>
            </w:tcMar>
            <w:vAlign w:val="center"/>
          </w:tcPr>
          <w:p w14:paraId="3040FDF8">
            <w:pPr>
              <w:pStyle w:val="30"/>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施工</w:t>
            </w:r>
          </w:p>
          <w:p w14:paraId="2DEF4881">
            <w:pPr>
              <w:pStyle w:val="30"/>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期环</w:t>
            </w:r>
          </w:p>
          <w:p w14:paraId="4C8C8E69">
            <w:pPr>
              <w:pStyle w:val="30"/>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境保</w:t>
            </w:r>
          </w:p>
          <w:p w14:paraId="74011C3B">
            <w:pPr>
              <w:pStyle w:val="30"/>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护措</w:t>
            </w:r>
          </w:p>
          <w:p w14:paraId="155C123B">
            <w:pPr>
              <w:pStyle w:val="30"/>
              <w:keepNext w:val="0"/>
              <w:keepLines w:val="0"/>
              <w:suppressLineNumbers w:val="0"/>
              <w:adjustRightInd w:val="0"/>
              <w:snapToGrid w:val="0"/>
              <w:spacing w:before="0" w:beforeAutospacing="0" w:after="0" w:afterAutospacing="0"/>
              <w:ind w:left="0" w:right="0"/>
              <w:jc w:val="center"/>
              <w:rPr>
                <w:rFonts w:hint="default" w:ascii="Times New Roman" w:hAnsi="Times New Roman"/>
                <w:bCs/>
                <w:color w:val="auto"/>
                <w:kern w:val="2"/>
                <w:sz w:val="21"/>
                <w:szCs w:val="21"/>
                <w:highlight w:val="none"/>
              </w:rPr>
            </w:pPr>
            <w:r>
              <w:rPr>
                <w:rFonts w:hint="default" w:ascii="Times New Roman" w:hAnsi="Times New Roman"/>
                <w:color w:val="auto"/>
                <w:kern w:val="2"/>
                <w:sz w:val="21"/>
                <w:szCs w:val="21"/>
                <w:highlight w:val="none"/>
              </w:rPr>
              <w:t>施</w:t>
            </w:r>
          </w:p>
        </w:tc>
        <w:tc>
          <w:tcPr>
            <w:tcW w:w="8302" w:type="dxa"/>
            <w:noWrap w:val="0"/>
            <w:vAlign w:val="center"/>
          </w:tcPr>
          <w:p w14:paraId="5F0D23C3">
            <w:pPr>
              <w:pStyle w:val="15"/>
              <w:keepNext w:val="0"/>
              <w:keepLines w:val="0"/>
              <w:widowControl/>
              <w:suppressLineNumbers w:val="0"/>
              <w:spacing w:before="0" w:beforeAutospacing="0" w:after="0" w:afterAutospacing="0" w:line="360" w:lineRule="auto"/>
              <w:ind w:left="0" w:right="0" w:firstLine="422" w:firstLineChars="200"/>
              <w:rPr>
                <w:rFonts w:hint="default" w:hAnsi="Times New Roman"/>
                <w:b/>
                <w:bCs/>
                <w:color w:val="FF0000"/>
                <w:highlight w:val="none"/>
              </w:rPr>
            </w:pPr>
            <w:r>
              <w:rPr>
                <w:rFonts w:hint="eastAsia" w:hAnsi="Times New Roman"/>
                <w:b/>
                <w:bCs/>
                <w:color w:val="FF0000"/>
                <w:highlight w:val="none"/>
                <w:lang w:val="en-US" w:eastAsia="zh-CN"/>
              </w:rPr>
              <w:t>1</w:t>
            </w:r>
            <w:r>
              <w:rPr>
                <w:rFonts w:hint="default" w:hAnsi="Times New Roman"/>
                <w:b/>
                <w:bCs/>
                <w:color w:val="FF0000"/>
                <w:highlight w:val="none"/>
              </w:rPr>
              <w:t>、大气污染防治措施</w:t>
            </w:r>
          </w:p>
          <w:p w14:paraId="06C1116C">
            <w:pPr>
              <w:pStyle w:val="18"/>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rPr>
                <w:rFonts w:hint="default"/>
                <w:color w:val="FF0000"/>
                <w:highlight w:val="none"/>
              </w:rPr>
            </w:pPr>
            <w:r>
              <w:rPr>
                <w:rFonts w:hint="default"/>
                <w:color w:val="FF0000"/>
                <w:highlight w:val="none"/>
              </w:rPr>
              <w:t>本项目施工期废气主要为场地平整、基础开挖、建筑材料运输及装卸、堆存等过程产生的扬尘，施工机械和施工运输车辆产生的机动车尾气。</w:t>
            </w:r>
          </w:p>
          <w:p w14:paraId="2B05B351">
            <w:pPr>
              <w:pStyle w:val="18"/>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rPr>
                <w:rFonts w:hint="default"/>
                <w:color w:val="FF0000"/>
                <w:sz w:val="21"/>
                <w:highlight w:val="none"/>
              </w:rPr>
            </w:pPr>
            <w:r>
              <w:rPr>
                <w:rFonts w:hint="default"/>
                <w:color w:val="FF0000"/>
                <w:sz w:val="21"/>
                <w:highlight w:val="none"/>
              </w:rPr>
              <w:t>治理措施：</w:t>
            </w:r>
          </w:p>
          <w:p w14:paraId="4997C4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sz w:val="21"/>
                <w:highlight w:val="none"/>
              </w:rPr>
            </w:pPr>
            <w:r>
              <w:rPr>
                <w:rFonts w:hint="default"/>
                <w:color w:val="FF0000"/>
                <w:sz w:val="21"/>
                <w:highlight w:val="none"/>
              </w:rPr>
              <w:t>1）施工扬尘</w:t>
            </w:r>
          </w:p>
          <w:p w14:paraId="4C7473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highlight w:val="none"/>
              </w:rPr>
            </w:pPr>
            <w:r>
              <w:rPr>
                <w:rFonts w:hint="default"/>
                <w:color w:val="FF0000"/>
                <w:highlight w:val="none"/>
              </w:rPr>
              <w:t>①针对施工任务和施工场地环境状况，制定合理的施工计划，采取集中力量逐段施工方法，缩短施工周期，减少施工现场的工作面，减轻施工扬尘对环境的影响。</w:t>
            </w:r>
          </w:p>
          <w:p w14:paraId="2F565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highlight w:val="none"/>
              </w:rPr>
            </w:pPr>
            <w:r>
              <w:rPr>
                <w:rFonts w:hint="default"/>
                <w:color w:val="FF0000"/>
                <w:highlight w:val="none"/>
              </w:rPr>
              <w:t>③施工车辆采取篷布加盖措施，施工车辆运输路线选择尽量避绕人口密集区、学校、医院等敏感点。</w:t>
            </w:r>
          </w:p>
          <w:p w14:paraId="5B7499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highlight w:val="none"/>
              </w:rPr>
            </w:pPr>
            <w:r>
              <w:rPr>
                <w:rFonts w:hint="default"/>
                <w:color w:val="FF0000"/>
                <w:highlight w:val="none"/>
              </w:rPr>
              <w:t>④运输</w:t>
            </w:r>
            <w:r>
              <w:rPr>
                <w:rFonts w:hint="eastAsia"/>
                <w:color w:val="FF0000"/>
                <w:highlight w:val="none"/>
                <w:lang w:eastAsia="zh-CN"/>
              </w:rPr>
              <w:t>建筑</w:t>
            </w:r>
            <w:r>
              <w:rPr>
                <w:rFonts w:hint="default"/>
                <w:color w:val="FF0000"/>
                <w:highlight w:val="none"/>
              </w:rPr>
              <w:t>垃圾的车辆装载高度应低于车辆上沿，不得超高超载。实行封闭运输，以免车辆颠簸撒漏。坚持文明装卸，运输车辆装卸完货后应清洗车厢。</w:t>
            </w:r>
          </w:p>
          <w:p w14:paraId="3B4C65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highlight w:val="none"/>
              </w:rPr>
            </w:pPr>
            <w:r>
              <w:rPr>
                <w:rFonts w:hint="default"/>
                <w:color w:val="FF0000"/>
                <w:highlight w:val="none"/>
              </w:rPr>
              <w:t>⑤在施工场地上设置专人负责建筑垃圾、建筑材料的处置、清运和堆放，堆放场地加盖蓬布或洒水，防止二次扬尘。</w:t>
            </w:r>
          </w:p>
          <w:p w14:paraId="5B1ED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highlight w:val="none"/>
              </w:rPr>
            </w:pPr>
            <w:r>
              <w:rPr>
                <w:rFonts w:hint="default"/>
                <w:color w:val="FF0000"/>
                <w:highlight w:val="none"/>
              </w:rPr>
              <w:t>⑥对建筑垃圾应及时处理、清运、以减少占地，防止扬尘污染，改善施工场地的环境。</w:t>
            </w:r>
          </w:p>
          <w:p w14:paraId="7E1A41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highlight w:val="none"/>
              </w:rPr>
            </w:pPr>
            <w:r>
              <w:rPr>
                <w:rFonts w:hint="default"/>
                <w:color w:val="FF0000"/>
                <w:highlight w:val="none"/>
              </w:rPr>
              <w:t>⑦施工过程中，在施工现场周围，连续设置不低于1.5m高的围挡，并做到坚固美观。</w:t>
            </w:r>
          </w:p>
          <w:p w14:paraId="1194A5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highlight w:val="none"/>
              </w:rPr>
            </w:pPr>
            <w:r>
              <w:rPr>
                <w:rFonts w:hint="default"/>
                <w:color w:val="FF0000"/>
                <w:highlight w:val="none"/>
              </w:rPr>
              <w:t>⑧在施工场地安排员工定期对施工场地洒水以减少扬尘量，洒水次数根据天气状况而定，一般每天洒水1~2次，若遇到大风或干燥天气可适当增加洒水次数。</w:t>
            </w:r>
          </w:p>
          <w:p w14:paraId="26C686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highlight w:val="none"/>
              </w:rPr>
            </w:pPr>
            <w:r>
              <w:rPr>
                <w:rFonts w:hint="default"/>
                <w:color w:val="FF0000"/>
                <w:highlight w:val="none"/>
              </w:rPr>
              <w:t>⑨施工结束后，应尽早对场区内的裸露地面进行绿化、硬化工作，减少扬尘的产生量和预防水土流失。可选取栽种易存活、好管理的本地品种，尽可能增大场区内、外的绿化面积，做到草、灌、木相结合。</w:t>
            </w:r>
          </w:p>
          <w:p w14:paraId="732974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highlight w:val="none"/>
              </w:rPr>
            </w:pPr>
            <w:r>
              <w:rPr>
                <w:rFonts w:hint="default"/>
                <w:color w:val="FF0000"/>
                <w:highlight w:val="none"/>
              </w:rPr>
              <w:t>2）机械设备、车辆燃油废气防治措施如下：</w:t>
            </w:r>
          </w:p>
          <w:p w14:paraId="1745B7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highlight w:val="none"/>
              </w:rPr>
            </w:pPr>
            <w:r>
              <w:rPr>
                <w:rFonts w:hint="default"/>
                <w:color w:val="FF0000"/>
                <w:highlight w:val="none"/>
              </w:rPr>
              <w:t>①选用先进的施工机械，减少油耗和燃油废气污染；</w:t>
            </w:r>
          </w:p>
          <w:p w14:paraId="60723C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highlight w:val="none"/>
              </w:rPr>
            </w:pPr>
            <w:r>
              <w:rPr>
                <w:rFonts w:hint="default"/>
                <w:color w:val="FF0000"/>
                <w:highlight w:val="none"/>
              </w:rPr>
              <w:t>②尽量使用电气化设备，少使用燃油设备；</w:t>
            </w:r>
          </w:p>
          <w:p w14:paraId="0FEC12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highlight w:val="none"/>
              </w:rPr>
            </w:pPr>
            <w:r>
              <w:rPr>
                <w:rFonts w:hint="default"/>
                <w:color w:val="FF0000"/>
                <w:highlight w:val="none"/>
              </w:rPr>
              <w:t>③做好设备的维修和养护工作，使机械设备处于良好的工作状态，减少油耗，同时降低污染。</w:t>
            </w:r>
          </w:p>
          <w:p w14:paraId="2D0DC1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szCs w:val="21"/>
                <w:highlight w:val="none"/>
              </w:rPr>
            </w:pPr>
            <w:r>
              <w:rPr>
                <w:rFonts w:hint="default"/>
                <w:color w:val="FF0000"/>
                <w:szCs w:val="21"/>
                <w:highlight w:val="none"/>
              </w:rPr>
              <w:t>经上述治理后，施工期产生的粉尘、扬尘对环境空气的影响较小。满足《大气污染物综合排放标准》（GB16297-1996）表2中无组织排放标准要求。</w:t>
            </w:r>
          </w:p>
          <w:p w14:paraId="1235F4B3">
            <w:pPr>
              <w:pStyle w:val="15"/>
              <w:keepNext w:val="0"/>
              <w:keepLines w:val="0"/>
              <w:widowControl/>
              <w:suppressLineNumbers w:val="0"/>
              <w:spacing w:before="0" w:beforeAutospacing="0" w:after="0" w:afterAutospacing="0" w:line="360" w:lineRule="auto"/>
              <w:ind w:left="0" w:right="0" w:firstLine="422" w:firstLineChars="200"/>
              <w:rPr>
                <w:rFonts w:hint="default" w:hAnsi="Times New Roman"/>
                <w:b/>
                <w:bCs/>
                <w:color w:val="FF0000"/>
                <w:highlight w:val="none"/>
              </w:rPr>
            </w:pPr>
            <w:r>
              <w:rPr>
                <w:rFonts w:hint="eastAsia" w:hAnsi="Times New Roman"/>
                <w:b/>
                <w:bCs/>
                <w:color w:val="FF0000"/>
                <w:highlight w:val="none"/>
                <w:lang w:val="en-US" w:eastAsia="zh-CN"/>
              </w:rPr>
              <w:t>2</w:t>
            </w:r>
            <w:r>
              <w:rPr>
                <w:rFonts w:hint="default" w:hAnsi="Times New Roman"/>
                <w:b/>
                <w:bCs/>
                <w:color w:val="FF0000"/>
                <w:highlight w:val="none"/>
              </w:rPr>
              <w:t>、水环境污染防治措施</w:t>
            </w:r>
          </w:p>
          <w:p w14:paraId="29A776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ascii="Times New Roman" w:hAnsi="Times New Roman" w:cs="Times New Roman"/>
                <w:color w:val="FF0000"/>
                <w:highlight w:val="none"/>
              </w:rPr>
            </w:pPr>
            <w:r>
              <w:rPr>
                <w:rFonts w:hint="default" w:ascii="Times New Roman" w:hAnsi="Times New Roman" w:cs="Times New Roman"/>
                <w:color w:val="FF0000"/>
                <w:highlight w:val="none"/>
              </w:rPr>
              <w:t>1</w:t>
            </w:r>
            <w:r>
              <w:rPr>
                <w:rFonts w:hint="default" w:ascii="Times New Roman" w:hAnsi="Times New Roman" w:cs="Times New Roman"/>
                <w:color w:val="FF0000"/>
                <w:highlight w:val="none"/>
                <w:lang w:eastAsia="zh-CN"/>
              </w:rPr>
              <w:t>）</w:t>
            </w:r>
            <w:r>
              <w:rPr>
                <w:rFonts w:hint="default" w:ascii="Times New Roman" w:hAnsi="Times New Roman" w:cs="Times New Roman"/>
                <w:color w:val="FF0000"/>
                <w:highlight w:val="none"/>
              </w:rPr>
              <w:t>施工废水</w:t>
            </w:r>
          </w:p>
          <w:p w14:paraId="22C4A5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FF0000"/>
                <w:highlight w:val="none"/>
              </w:rPr>
            </w:pPr>
            <w:r>
              <w:rPr>
                <w:rFonts w:hint="default"/>
                <w:color w:val="FF0000"/>
                <w:highlight w:val="none"/>
              </w:rPr>
              <w:t>当建设施工队伍进入施工现场进行砂、石子冲洗等施工作业过程中将会有施工泥浆废水产生，因此要求施工方在施工现场开挖修建临时废水储存池，使施工泥浆废水经过沉淀澄清处理后，上清液回收利用，不外排，池内泥浆定时挖出与建筑垃圾合并，运到管理部门指定的建筑渣土堆放场地妥善堆存处理。</w:t>
            </w:r>
          </w:p>
          <w:p w14:paraId="3F7F0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FF0000"/>
                <w:highlight w:val="none"/>
              </w:rPr>
            </w:pPr>
            <w:r>
              <w:rPr>
                <w:rFonts w:hint="default"/>
                <w:color w:val="FF0000"/>
                <w:highlight w:val="none"/>
              </w:rPr>
              <w:t>2</w:t>
            </w:r>
            <w:r>
              <w:rPr>
                <w:rFonts w:hint="eastAsia"/>
                <w:color w:val="FF0000"/>
                <w:highlight w:val="none"/>
                <w:lang w:eastAsia="zh-CN"/>
              </w:rPr>
              <w:t>）</w:t>
            </w:r>
            <w:r>
              <w:rPr>
                <w:rFonts w:hint="default"/>
                <w:color w:val="FF0000"/>
                <w:highlight w:val="none"/>
              </w:rPr>
              <w:t>生活污水</w:t>
            </w:r>
          </w:p>
          <w:p w14:paraId="2C4AF2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FF0000"/>
                <w:szCs w:val="21"/>
                <w:highlight w:val="none"/>
              </w:rPr>
            </w:pPr>
            <w:r>
              <w:rPr>
                <w:rFonts w:hint="default"/>
                <w:color w:val="FF0000"/>
                <w:highlight w:val="none"/>
              </w:rPr>
              <w:t>施工人员生活污水排入</w:t>
            </w:r>
            <w:r>
              <w:rPr>
                <w:rFonts w:hint="default"/>
                <w:color w:val="FF0000"/>
                <w:szCs w:val="21"/>
                <w:highlight w:val="none"/>
              </w:rPr>
              <w:t>防渗</w:t>
            </w:r>
            <w:r>
              <w:rPr>
                <w:rFonts w:hint="eastAsia"/>
                <w:color w:val="FF0000"/>
                <w:szCs w:val="21"/>
                <w:highlight w:val="none"/>
                <w:lang w:val="en-US" w:eastAsia="zh-CN"/>
              </w:rPr>
              <w:t>旱厕</w:t>
            </w:r>
            <w:r>
              <w:rPr>
                <w:rFonts w:hint="default"/>
                <w:color w:val="FF0000"/>
                <w:szCs w:val="21"/>
                <w:highlight w:val="none"/>
              </w:rPr>
              <w:t>，定期清掏、外运堆肥，不外排。</w:t>
            </w:r>
          </w:p>
          <w:p w14:paraId="692D92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FF0000"/>
                <w:szCs w:val="21"/>
                <w:highlight w:val="none"/>
              </w:rPr>
            </w:pPr>
            <w:r>
              <w:rPr>
                <w:rFonts w:hint="default"/>
                <w:color w:val="FF0000"/>
                <w:szCs w:val="21"/>
                <w:highlight w:val="none"/>
              </w:rPr>
              <w:t>在认真落实上述措施的基础上，施工废水对施工现场周围的环境影响较小，伴随施工期的结束也将结束。</w:t>
            </w:r>
          </w:p>
          <w:p w14:paraId="2421C23E">
            <w:pPr>
              <w:pStyle w:val="15"/>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b w:val="0"/>
                <w:bCs w:val="0"/>
                <w:color w:val="FF0000"/>
                <w:highlight w:val="none"/>
              </w:rPr>
            </w:pPr>
            <w:r>
              <w:rPr>
                <w:rFonts w:hint="default" w:ascii="Times New Roman" w:hAnsi="Times New Roman" w:cs="Times New Roman"/>
                <w:b w:val="0"/>
                <w:bCs w:val="0"/>
                <w:color w:val="FF0000"/>
                <w:highlight w:val="none"/>
                <w:lang w:val="en-US" w:eastAsia="zh-CN"/>
              </w:rPr>
              <w:t>3</w:t>
            </w:r>
            <w:r>
              <w:rPr>
                <w:rFonts w:hint="default" w:ascii="Times New Roman" w:hAnsi="Times New Roman" w:cs="Times New Roman"/>
                <w:b w:val="0"/>
                <w:bCs w:val="0"/>
                <w:color w:val="FF0000"/>
                <w:highlight w:val="none"/>
                <w:lang w:eastAsia="zh-CN"/>
              </w:rPr>
              <w:t>）</w:t>
            </w:r>
            <w:r>
              <w:rPr>
                <w:rFonts w:hint="default" w:ascii="Times New Roman" w:hAnsi="Times New Roman" w:cs="Times New Roman"/>
                <w:b w:val="0"/>
                <w:bCs w:val="0"/>
                <w:color w:val="FF0000"/>
                <w:highlight w:val="none"/>
              </w:rPr>
              <w:t>声环境防治措施</w:t>
            </w:r>
          </w:p>
          <w:p w14:paraId="112C2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FF0000"/>
                <w:sz w:val="21"/>
                <w:highlight w:val="none"/>
              </w:rPr>
            </w:pPr>
            <w:r>
              <w:rPr>
                <w:rFonts w:hint="default"/>
                <w:color w:val="FF0000"/>
                <w:sz w:val="21"/>
                <w:highlight w:val="none"/>
              </w:rPr>
              <w:t>施工期噪声主要为挖掘机、推土机、轮式机、起重机、冲击式钻机、搅拌机等施工机械及车辆运行造成的。</w:t>
            </w:r>
          </w:p>
          <w:p w14:paraId="0F1DAFC1">
            <w:pPr>
              <w:pStyle w:val="9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FF0000"/>
                <w:sz w:val="21"/>
                <w:highlight w:val="none"/>
              </w:rPr>
            </w:pPr>
            <w:r>
              <w:rPr>
                <w:rFonts w:hint="default"/>
                <w:color w:val="FF0000"/>
                <w:sz w:val="21"/>
                <w:highlight w:val="none"/>
              </w:rPr>
              <w:t>治理措施：</w:t>
            </w:r>
          </w:p>
          <w:p w14:paraId="026AA4B6">
            <w:pPr>
              <w:pStyle w:val="9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FF0000"/>
                <w:sz w:val="21"/>
                <w:highlight w:val="none"/>
              </w:rPr>
            </w:pPr>
            <w:r>
              <w:rPr>
                <w:rFonts w:hint="default"/>
                <w:color w:val="FF0000"/>
                <w:sz w:val="21"/>
                <w:highlight w:val="none"/>
              </w:rPr>
              <w:t>①加强施工管理，合理安排施工作业时间，严格按照施工噪声管理的有关规定执行。施工现场施工单位必须执行</w:t>
            </w:r>
            <w:r>
              <w:rPr>
                <w:rFonts w:hint="eastAsia"/>
                <w:color w:val="FF0000"/>
                <w:sz w:val="21"/>
                <w:highlight w:val="none"/>
                <w:lang w:eastAsia="zh-CN"/>
              </w:rPr>
              <w:t>《建筑施工噪声排放标准》（GB12523-2025）</w:t>
            </w:r>
            <w:r>
              <w:rPr>
                <w:rFonts w:hint="default"/>
                <w:color w:val="FF0000"/>
                <w:sz w:val="21"/>
                <w:highlight w:val="none"/>
              </w:rPr>
              <w:t>中的各项规定。将打桩等高噪声作业尽量安排在白天进行，杜绝夜间（22：00-7：00）施工噪声扰民。</w:t>
            </w:r>
          </w:p>
          <w:p w14:paraId="3AD82C97">
            <w:pPr>
              <w:pStyle w:val="9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FF0000"/>
                <w:sz w:val="21"/>
                <w:highlight w:val="none"/>
              </w:rPr>
            </w:pPr>
            <w:r>
              <w:rPr>
                <w:rFonts w:hint="default"/>
                <w:color w:val="FF0000"/>
                <w:sz w:val="21"/>
                <w:highlight w:val="none"/>
              </w:rPr>
              <w:t>②尽量采用低噪声的施工工具，如以液压工具代替气压工具，同时尽可能采用施工噪声低的施工方法</w:t>
            </w:r>
            <w:r>
              <w:rPr>
                <w:rFonts w:hint="eastAsia"/>
                <w:color w:val="FF0000"/>
                <w:sz w:val="21"/>
                <w:highlight w:val="none"/>
                <w:lang w:eastAsia="zh-CN"/>
              </w:rPr>
              <w:t>，</w:t>
            </w:r>
            <w:r>
              <w:rPr>
                <w:rFonts w:hint="default"/>
                <w:color w:val="FF0000"/>
                <w:sz w:val="21"/>
                <w:highlight w:val="none"/>
              </w:rPr>
              <w:t>如在项目施工过程中合理调配施工设备，将噪声较大的设备、项目主入口设置于远离环境敏感点的位置。</w:t>
            </w:r>
          </w:p>
          <w:p w14:paraId="2700EFF4">
            <w:pPr>
              <w:pStyle w:val="9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FF0000"/>
                <w:sz w:val="21"/>
                <w:highlight w:val="none"/>
              </w:rPr>
            </w:pPr>
            <w:r>
              <w:rPr>
                <w:rFonts w:hint="default"/>
                <w:color w:val="FF0000"/>
                <w:sz w:val="21"/>
                <w:highlight w:val="none"/>
              </w:rPr>
              <w:t>③合理进行施工总平面布置，高噪设备进行隔声、减振，施工现场设置隔挡，在特殊点施工时安装隔声屏障。</w:t>
            </w:r>
          </w:p>
          <w:p w14:paraId="20D67A3A">
            <w:pPr>
              <w:pStyle w:val="9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FF0000"/>
                <w:sz w:val="21"/>
                <w:highlight w:val="none"/>
              </w:rPr>
            </w:pPr>
            <w:r>
              <w:rPr>
                <w:rFonts w:hint="default"/>
                <w:color w:val="FF0000"/>
                <w:sz w:val="21"/>
                <w:highlight w:val="none"/>
              </w:rPr>
              <w:t>④混凝土需要连续浇灌作业前，应做好各项准备工作，将搅拌机运行时间压到最低限度。</w:t>
            </w:r>
          </w:p>
          <w:p w14:paraId="7BE0C70B">
            <w:pPr>
              <w:pStyle w:val="9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FF0000"/>
                <w:sz w:val="21"/>
                <w:highlight w:val="none"/>
              </w:rPr>
            </w:pPr>
            <w:r>
              <w:rPr>
                <w:rFonts w:hint="default"/>
                <w:color w:val="FF0000"/>
                <w:sz w:val="21"/>
                <w:highlight w:val="none"/>
              </w:rPr>
              <w:t>⑤定期对机械、设备进行维护、检修。</w:t>
            </w:r>
          </w:p>
          <w:p w14:paraId="18200505">
            <w:pPr>
              <w:pStyle w:val="9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FF0000"/>
                <w:sz w:val="21"/>
                <w:highlight w:val="none"/>
              </w:rPr>
            </w:pPr>
            <w:r>
              <w:rPr>
                <w:rFonts w:hint="default"/>
                <w:color w:val="FF0000"/>
                <w:sz w:val="21"/>
                <w:highlight w:val="none"/>
              </w:rPr>
              <w:t>⑥加强对运输车辆的管理，施工过程中各种运输车辆的运行，还将会引起公路沿线噪声级的增加。因此，应加强对运输车辆的管理，制订合理运输路线，采取控制车速和禁鸣笛等措施，减少运输噪声污染。</w:t>
            </w:r>
          </w:p>
          <w:p w14:paraId="4BDAFE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FF0000"/>
                <w:highlight w:val="none"/>
              </w:rPr>
            </w:pPr>
            <w:r>
              <w:rPr>
                <w:rFonts w:hint="default"/>
                <w:color w:val="FF0000"/>
                <w:sz w:val="21"/>
                <w:highlight w:val="none"/>
              </w:rPr>
              <w:t>各施工阶段的设备产生的噪声具有阶段性、临时性和不固定性，不同的施工阶段有不同的噪声源。通过采取上述措施，施工期噪声对周边环境影响较小，基本不会产生扰民现象，并会随着施工期结束而消失。采取以上措施后，施工场界声环境可满足</w:t>
            </w:r>
            <w:r>
              <w:rPr>
                <w:rFonts w:hint="eastAsia"/>
                <w:color w:val="FF0000"/>
                <w:sz w:val="21"/>
                <w:highlight w:val="none"/>
                <w:lang w:eastAsia="zh-CN"/>
              </w:rPr>
              <w:t>《建筑施工噪声排放标准》（GB12523-2025）</w:t>
            </w:r>
            <w:r>
              <w:rPr>
                <w:rFonts w:hint="default"/>
                <w:color w:val="FF0000"/>
                <w:sz w:val="21"/>
                <w:highlight w:val="none"/>
              </w:rPr>
              <w:t>中规定的标准。</w:t>
            </w:r>
          </w:p>
          <w:p w14:paraId="330DEC7B">
            <w:pPr>
              <w:keepNext w:val="0"/>
              <w:keepLines w:val="0"/>
              <w:widowControl/>
              <w:suppressLineNumbers w:val="0"/>
              <w:spacing w:before="0" w:beforeAutospacing="0" w:after="0" w:afterAutospacing="0" w:line="360" w:lineRule="auto"/>
              <w:ind w:left="0" w:right="0" w:firstLine="422" w:firstLineChars="200"/>
              <w:rPr>
                <w:rFonts w:hint="default"/>
                <w:b/>
                <w:bCs/>
                <w:color w:val="FF0000"/>
                <w:highlight w:val="none"/>
              </w:rPr>
            </w:pPr>
            <w:r>
              <w:rPr>
                <w:rFonts w:hint="eastAsia"/>
                <w:b/>
                <w:bCs/>
                <w:color w:val="FF0000"/>
                <w:highlight w:val="none"/>
                <w:lang w:val="en-US" w:eastAsia="zh-CN"/>
              </w:rPr>
              <w:t>4</w:t>
            </w:r>
            <w:r>
              <w:rPr>
                <w:rFonts w:hint="default"/>
                <w:b/>
                <w:bCs/>
                <w:color w:val="FF0000"/>
                <w:highlight w:val="none"/>
              </w:rPr>
              <w:t>、固体废物影响分析</w:t>
            </w:r>
          </w:p>
          <w:p w14:paraId="2071DACB">
            <w:pPr>
              <w:keepNext w:val="0"/>
              <w:keepLines w:val="0"/>
              <w:widowControl/>
              <w:suppressLineNumbers w:val="0"/>
              <w:spacing w:before="0" w:beforeAutospacing="0" w:after="0" w:afterAutospacing="0" w:line="360" w:lineRule="auto"/>
              <w:ind w:left="0" w:right="0" w:firstLine="420" w:firstLineChars="200"/>
              <w:rPr>
                <w:rFonts w:hint="default"/>
                <w:color w:val="FF0000"/>
                <w:sz w:val="21"/>
                <w:highlight w:val="none"/>
              </w:rPr>
            </w:pPr>
            <w:r>
              <w:rPr>
                <w:rFonts w:hint="default"/>
                <w:color w:val="FF0000"/>
                <w:sz w:val="21"/>
                <w:highlight w:val="none"/>
              </w:rPr>
              <w:t>施工期产生的固体废物主要包括建筑废弃材料和施工人员生活垃圾</w:t>
            </w:r>
            <w:r>
              <w:rPr>
                <w:rFonts w:hint="default"/>
                <w:color w:val="FF0000"/>
                <w:sz w:val="21"/>
                <w:szCs w:val="21"/>
                <w:highlight w:val="none"/>
              </w:rPr>
              <w:t>。</w:t>
            </w:r>
          </w:p>
          <w:p w14:paraId="04BA61ED">
            <w:pPr>
              <w:keepNext w:val="0"/>
              <w:keepLines w:val="0"/>
              <w:widowControl/>
              <w:suppressLineNumbers w:val="0"/>
              <w:spacing w:before="0" w:beforeAutospacing="0" w:after="0" w:afterAutospacing="0" w:line="360" w:lineRule="auto"/>
              <w:ind w:left="0" w:right="0" w:firstLine="420" w:firstLineChars="200"/>
              <w:rPr>
                <w:rFonts w:hint="default"/>
                <w:color w:val="FF0000"/>
                <w:sz w:val="21"/>
                <w:highlight w:val="none"/>
              </w:rPr>
            </w:pPr>
            <w:r>
              <w:rPr>
                <w:rFonts w:hint="default"/>
                <w:color w:val="FF0000"/>
                <w:sz w:val="21"/>
                <w:highlight w:val="none"/>
              </w:rPr>
              <w:t>对施工产生的废料首先应考虑废料的回收利用，如钢筋、钢板、木材等下角料可分类回收，由废物收购站处理；建筑垃圾，如混凝土废料、含砖、石、砂的杂土应集中堆放，定时清运，送建筑废渣专用堆放场，以免影响施工和环境卫生。</w:t>
            </w:r>
          </w:p>
          <w:p w14:paraId="53E55187">
            <w:pPr>
              <w:keepNext w:val="0"/>
              <w:keepLines w:val="0"/>
              <w:widowControl/>
              <w:suppressLineNumbers w:val="0"/>
              <w:spacing w:before="0" w:beforeAutospacing="0" w:after="0" w:afterAutospacing="0" w:line="360" w:lineRule="auto"/>
              <w:ind w:left="0" w:right="0" w:firstLine="420" w:firstLineChars="200"/>
              <w:rPr>
                <w:rFonts w:hint="default"/>
                <w:color w:val="FF0000"/>
                <w:sz w:val="21"/>
                <w:highlight w:val="none"/>
              </w:rPr>
            </w:pPr>
            <w:r>
              <w:rPr>
                <w:rFonts w:hint="default"/>
                <w:color w:val="FF0000"/>
                <w:sz w:val="21"/>
                <w:highlight w:val="none"/>
              </w:rPr>
              <w:t>施工人员生活垃圾设置专门的储存设施，集中收集后交由市政部门处理。</w:t>
            </w:r>
          </w:p>
          <w:p w14:paraId="7FE1A364">
            <w:pPr>
              <w:keepNext w:val="0"/>
              <w:keepLines w:val="0"/>
              <w:widowControl/>
              <w:suppressLineNumbers w:val="0"/>
              <w:adjustRightInd/>
              <w:snapToGrid/>
              <w:spacing w:before="0" w:beforeAutospacing="0" w:after="0" w:afterAutospacing="0" w:line="360" w:lineRule="auto"/>
              <w:ind w:left="0" w:right="0" w:firstLine="420" w:firstLineChars="200"/>
              <w:rPr>
                <w:rFonts w:hint="default"/>
                <w:color w:val="FF0000"/>
                <w:sz w:val="21"/>
                <w:highlight w:val="none"/>
              </w:rPr>
            </w:pPr>
            <w:r>
              <w:rPr>
                <w:rFonts w:hint="default"/>
                <w:color w:val="FF0000"/>
                <w:sz w:val="21"/>
                <w:szCs w:val="21"/>
                <w:highlight w:val="none"/>
              </w:rPr>
              <w:t>施工期固体废物处置率100%。</w:t>
            </w:r>
          </w:p>
          <w:p w14:paraId="52D633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olor w:val="auto"/>
                <w:highlight w:val="none"/>
                <w:lang w:val="en-US" w:eastAsia="zh-CN"/>
              </w:rPr>
            </w:pPr>
            <w:r>
              <w:rPr>
                <w:rFonts w:hint="default"/>
                <w:color w:val="FF0000"/>
                <w:sz w:val="21"/>
                <w:highlight w:val="none"/>
              </w:rPr>
              <w:t>施工期的环境影响是短暂的，只要建设施工单位加强全员职工的环境保护意识，并从施工设备的技术和管理两个方面做到文明施工、清洁施工，那么本项目在建设施工期对周围环境所产生的污染影响可控制在国家有关规定的允许范围内。当本项目建设施工结束后，上述对环境的污染影响可得到消除。</w:t>
            </w:r>
          </w:p>
        </w:tc>
      </w:tr>
      <w:tr w14:paraId="7A85C7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457" w:type="dxa"/>
            <w:noWrap w:val="0"/>
            <w:tcMar>
              <w:left w:w="28" w:type="dxa"/>
              <w:right w:w="28" w:type="dxa"/>
            </w:tcMar>
            <w:vAlign w:val="center"/>
          </w:tcPr>
          <w:p w14:paraId="79F9EE8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76E36F39">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15F9172F">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59EF4500">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4B4C80DE">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20FBCE17">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tc>
        <w:tc>
          <w:tcPr>
            <w:tcW w:w="8302" w:type="dxa"/>
            <w:noWrap w:val="0"/>
            <w:vAlign w:val="top"/>
          </w:tcPr>
          <w:p w14:paraId="00786BE8">
            <w:pPr>
              <w:keepNext w:val="0"/>
              <w:keepLines w:val="0"/>
              <w:suppressLineNumbers w:val="0"/>
              <w:spacing w:before="0" w:beforeAutospacing="0" w:after="0" w:afterAutospacing="0" w:line="360" w:lineRule="auto"/>
              <w:ind w:left="0" w:right="0" w:firstLine="422" w:firstLineChars="200"/>
              <w:rPr>
                <w:rFonts w:hint="default" w:ascii="Times New Roman" w:hAnsi="Times New Roman" w:cs="Times New Roman"/>
                <w:b/>
                <w:bCs/>
                <w:color w:val="auto"/>
                <w:kern w:val="21"/>
                <w:szCs w:val="21"/>
                <w:highlight w:val="none"/>
              </w:rPr>
            </w:pPr>
            <w:r>
              <w:rPr>
                <w:rFonts w:hint="default" w:ascii="Times New Roman" w:hAnsi="Times New Roman" w:cs="Times New Roman"/>
                <w:b/>
                <w:bCs/>
                <w:color w:val="auto"/>
                <w:kern w:val="21"/>
                <w:szCs w:val="21"/>
                <w:highlight w:val="none"/>
              </w:rPr>
              <w:t>1、废气</w:t>
            </w:r>
          </w:p>
          <w:p w14:paraId="703C254C">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1</w:t>
            </w:r>
            <w:r>
              <w:rPr>
                <w:rFonts w:hint="default" w:ascii="Times New Roman" w:hAnsi="Times New Roman" w:cs="Times New Roman"/>
                <w:bCs/>
                <w:color w:val="auto"/>
                <w:szCs w:val="21"/>
                <w:highlight w:val="none"/>
              </w:rPr>
              <w:t>）项目废气污染源</w:t>
            </w:r>
          </w:p>
          <w:p w14:paraId="68CAB51C">
            <w:pPr>
              <w:pStyle w:val="143"/>
              <w:keepNext w:val="0"/>
              <w:keepLines w:val="0"/>
              <w:suppressLineNumbers w:val="0"/>
              <w:spacing w:before="0" w:beforeAutospacing="0" w:after="0" w:afterAutospacing="0" w:line="240" w:lineRule="auto"/>
              <w:ind w:left="0" w:right="0"/>
              <w:jc w:val="center"/>
              <w:rPr>
                <w:rFonts w:hint="eastAsia" w:ascii="宋体" w:eastAsia="宋体" w:cs="宋体"/>
                <w:b/>
                <w:color w:val="auto"/>
                <w:sz w:val="21"/>
                <w:szCs w:val="21"/>
                <w:highlight w:val="none"/>
              </w:rPr>
            </w:pPr>
            <w:r>
              <w:rPr>
                <w:rFonts w:hint="eastAsia" w:ascii="宋体" w:eastAsia="宋体" w:cs="宋体"/>
                <w:b/>
                <w:color w:val="auto"/>
                <w:sz w:val="21"/>
                <w:szCs w:val="21"/>
                <w:highlight w:val="none"/>
              </w:rPr>
              <w:t>表</w:t>
            </w:r>
            <w:r>
              <w:rPr>
                <w:rFonts w:hint="default" w:ascii="Times New Roman" w:hAnsi="Times New Roman" w:eastAsia="宋体" w:cs="Times New Roman"/>
                <w:b/>
                <w:color w:val="auto"/>
                <w:sz w:val="21"/>
                <w:szCs w:val="21"/>
                <w:highlight w:val="none"/>
              </w:rPr>
              <w:t>4-</w:t>
            </w:r>
            <w:r>
              <w:rPr>
                <w:rFonts w:hint="default" w:ascii="Times New Roman" w:hAnsi="Times New Roman" w:eastAsia="宋体" w:cs="Times New Roman"/>
                <w:b/>
                <w:color w:val="auto"/>
                <w:sz w:val="21"/>
                <w:szCs w:val="21"/>
                <w:highlight w:val="none"/>
                <w:lang w:val="en-US" w:eastAsia="zh-CN"/>
              </w:rPr>
              <w:t>1</w:t>
            </w:r>
            <w:r>
              <w:rPr>
                <w:rFonts w:hint="eastAsia" w:ascii="宋体" w:eastAsia="宋体" w:cs="宋体"/>
                <w:b/>
                <w:color w:val="auto"/>
                <w:sz w:val="21"/>
                <w:szCs w:val="21"/>
                <w:highlight w:val="none"/>
              </w:rPr>
              <w:t>废气污染源源强核算结果及相关参数一览表</w:t>
            </w:r>
          </w:p>
          <w:tbl>
            <w:tblPr>
              <w:tblStyle w:val="36"/>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1"/>
              <w:gridCol w:w="305"/>
              <w:gridCol w:w="343"/>
              <w:gridCol w:w="305"/>
              <w:gridCol w:w="537"/>
              <w:gridCol w:w="664"/>
              <w:gridCol w:w="679"/>
              <w:gridCol w:w="655"/>
              <w:gridCol w:w="831"/>
              <w:gridCol w:w="544"/>
              <w:gridCol w:w="360"/>
              <w:gridCol w:w="500"/>
              <w:gridCol w:w="679"/>
              <w:gridCol w:w="649"/>
              <w:gridCol w:w="716"/>
              <w:gridCol w:w="27"/>
            </w:tblGrid>
            <w:tr w14:paraId="317D47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6" w:type="pct"/>
                <w:trHeight w:val="340" w:hRule="atLeast"/>
                <w:jc w:val="center"/>
              </w:trPr>
              <w:tc>
                <w:tcPr>
                  <w:tcW w:w="368" w:type="pct"/>
                  <w:gridSpan w:val="2"/>
                  <w:vMerge w:val="restart"/>
                  <w:tcBorders>
                    <w:top w:val="single" w:color="auto" w:sz="12" w:space="0"/>
                  </w:tcBorders>
                  <w:noWrap w:val="0"/>
                  <w:vAlign w:val="center"/>
                </w:tcPr>
                <w:p w14:paraId="7EBF4D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排放源</w:t>
                  </w:r>
                </w:p>
              </w:tc>
              <w:tc>
                <w:tcPr>
                  <w:tcW w:w="212" w:type="pct"/>
                  <w:vMerge w:val="restart"/>
                  <w:tcBorders>
                    <w:top w:val="single" w:color="auto" w:sz="12" w:space="0"/>
                  </w:tcBorders>
                  <w:noWrap w:val="0"/>
                  <w:vAlign w:val="center"/>
                </w:tcPr>
                <w:p w14:paraId="70A687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w:t>
                  </w:r>
                </w:p>
              </w:tc>
              <w:tc>
                <w:tcPr>
                  <w:tcW w:w="1756" w:type="pct"/>
                  <w:gridSpan w:val="5"/>
                  <w:tcBorders>
                    <w:top w:val="single" w:color="auto" w:sz="12" w:space="0"/>
                  </w:tcBorders>
                  <w:noWrap w:val="0"/>
                  <w:vAlign w:val="center"/>
                </w:tcPr>
                <w:p w14:paraId="577C5C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污染物产生</w:t>
                  </w:r>
                </w:p>
              </w:tc>
              <w:tc>
                <w:tcPr>
                  <w:tcW w:w="850" w:type="pct"/>
                  <w:gridSpan w:val="2"/>
                  <w:tcBorders>
                    <w:top w:val="single" w:color="auto" w:sz="12" w:space="0"/>
                  </w:tcBorders>
                  <w:noWrap w:val="0"/>
                  <w:vAlign w:val="center"/>
                </w:tcPr>
                <w:p w14:paraId="7AD3F7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治理措施</w:t>
                  </w:r>
                </w:p>
              </w:tc>
              <w:tc>
                <w:tcPr>
                  <w:tcW w:w="1795" w:type="pct"/>
                  <w:gridSpan w:val="5"/>
                  <w:tcBorders>
                    <w:top w:val="single" w:color="auto" w:sz="12" w:space="0"/>
                  </w:tcBorders>
                  <w:noWrap w:val="0"/>
                  <w:vAlign w:val="center"/>
                </w:tcPr>
                <w:p w14:paraId="7B297B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污染物排放</w:t>
                  </w:r>
                </w:p>
              </w:tc>
            </w:tr>
            <w:tr w14:paraId="3DAF75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gridSpan w:val="2"/>
                  <w:vMerge w:val="continue"/>
                  <w:noWrap w:val="0"/>
                  <w:vAlign w:val="center"/>
                </w:tcPr>
                <w:p w14:paraId="3897C3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12" w:type="pct"/>
                  <w:vMerge w:val="continue"/>
                  <w:noWrap w:val="0"/>
                  <w:vAlign w:val="center"/>
                </w:tcPr>
                <w:p w14:paraId="61CD47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88" w:type="pct"/>
                  <w:noWrap w:val="0"/>
                  <w:vAlign w:val="center"/>
                </w:tcPr>
                <w:p w14:paraId="6BBC5C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核算方法</w:t>
                  </w:r>
                </w:p>
              </w:tc>
              <w:tc>
                <w:tcPr>
                  <w:tcW w:w="332" w:type="pct"/>
                  <w:noWrap w:val="0"/>
                  <w:vAlign w:val="center"/>
                </w:tcPr>
                <w:p w14:paraId="068F02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废气量m</w:t>
                  </w:r>
                  <w:r>
                    <w:rPr>
                      <w:rFonts w:hint="default" w:ascii="Times New Roman" w:hAnsi="Times New Roman" w:eastAsia="宋体" w:cs="Times New Roman"/>
                      <w:color w:val="auto"/>
                      <w:spacing w:val="0"/>
                      <w:kern w:val="0"/>
                      <w:position w:val="0"/>
                      <w:sz w:val="18"/>
                      <w:szCs w:val="18"/>
                      <w:highlight w:val="none"/>
                      <w:vertAlign w:val="superscript"/>
                    </w:rPr>
                    <w:t>3</w:t>
                  </w:r>
                  <w:r>
                    <w:rPr>
                      <w:rFonts w:hint="default" w:ascii="Times New Roman" w:hAnsi="Times New Roman" w:eastAsia="宋体" w:cs="Times New Roman"/>
                      <w:color w:val="auto"/>
                      <w:spacing w:val="0"/>
                      <w:kern w:val="0"/>
                      <w:position w:val="0"/>
                      <w:sz w:val="18"/>
                      <w:szCs w:val="18"/>
                      <w:highlight w:val="none"/>
                    </w:rPr>
                    <w:t>/h</w:t>
                  </w:r>
                </w:p>
              </w:tc>
              <w:tc>
                <w:tcPr>
                  <w:tcW w:w="410" w:type="pct"/>
                  <w:noWrap w:val="0"/>
                  <w:vAlign w:val="center"/>
                </w:tcPr>
                <w:p w14:paraId="205711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w:t>
                  </w:r>
                </w:p>
                <w:p w14:paraId="4625E1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浓度mg/m</w:t>
                  </w:r>
                  <w:r>
                    <w:rPr>
                      <w:rFonts w:hint="default" w:ascii="Times New Roman" w:hAnsi="Times New Roman" w:eastAsia="宋体" w:cs="Times New Roman"/>
                      <w:color w:val="auto"/>
                      <w:spacing w:val="0"/>
                      <w:kern w:val="0"/>
                      <w:position w:val="0"/>
                      <w:sz w:val="18"/>
                      <w:szCs w:val="18"/>
                      <w:highlight w:val="none"/>
                      <w:vertAlign w:val="superscript"/>
                    </w:rPr>
                    <w:t>3</w:t>
                  </w:r>
                </w:p>
              </w:tc>
              <w:tc>
                <w:tcPr>
                  <w:tcW w:w="419" w:type="pct"/>
                  <w:noWrap w:val="0"/>
                  <w:vAlign w:val="center"/>
                </w:tcPr>
                <w:p w14:paraId="27D7B7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产生速率kg/h</w:t>
                  </w:r>
                </w:p>
              </w:tc>
              <w:tc>
                <w:tcPr>
                  <w:tcW w:w="405" w:type="pct"/>
                  <w:noWrap w:val="0"/>
                  <w:vAlign w:val="center"/>
                </w:tcPr>
                <w:p w14:paraId="63832E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产生量</w:t>
                  </w:r>
                </w:p>
                <w:p w14:paraId="0F9A0A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t/a</w:t>
                  </w:r>
                </w:p>
              </w:tc>
              <w:tc>
                <w:tcPr>
                  <w:tcW w:w="513" w:type="pct"/>
                  <w:noWrap w:val="0"/>
                  <w:vAlign w:val="center"/>
                </w:tcPr>
                <w:p w14:paraId="4ACDF9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工艺</w:t>
                  </w:r>
                </w:p>
              </w:tc>
              <w:tc>
                <w:tcPr>
                  <w:tcW w:w="336" w:type="pct"/>
                  <w:noWrap w:val="0"/>
                  <w:vAlign w:val="center"/>
                </w:tcPr>
                <w:p w14:paraId="45FE37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效率%</w:t>
                  </w:r>
                </w:p>
              </w:tc>
              <w:tc>
                <w:tcPr>
                  <w:tcW w:w="222" w:type="pct"/>
                  <w:noWrap w:val="0"/>
                  <w:vAlign w:val="center"/>
                </w:tcPr>
                <w:p w14:paraId="677DB4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核算方法</w:t>
                  </w:r>
                </w:p>
              </w:tc>
              <w:tc>
                <w:tcPr>
                  <w:tcW w:w="309" w:type="pct"/>
                  <w:noWrap w:val="0"/>
                  <w:vAlign w:val="center"/>
                </w:tcPr>
                <w:p w14:paraId="29660A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废气量m</w:t>
                  </w:r>
                  <w:r>
                    <w:rPr>
                      <w:rFonts w:hint="default" w:ascii="Times New Roman" w:hAnsi="Times New Roman" w:eastAsia="宋体" w:cs="Times New Roman"/>
                      <w:color w:val="auto"/>
                      <w:spacing w:val="0"/>
                      <w:kern w:val="0"/>
                      <w:position w:val="0"/>
                      <w:sz w:val="18"/>
                      <w:szCs w:val="18"/>
                      <w:highlight w:val="none"/>
                      <w:vertAlign w:val="superscript"/>
                    </w:rPr>
                    <w:t>3</w:t>
                  </w:r>
                  <w:r>
                    <w:rPr>
                      <w:rFonts w:hint="default" w:ascii="Times New Roman" w:hAnsi="Times New Roman" w:eastAsia="宋体" w:cs="Times New Roman"/>
                      <w:color w:val="auto"/>
                      <w:spacing w:val="0"/>
                      <w:kern w:val="0"/>
                      <w:position w:val="0"/>
                      <w:sz w:val="18"/>
                      <w:szCs w:val="18"/>
                      <w:highlight w:val="none"/>
                    </w:rPr>
                    <w:t>/h</w:t>
                  </w:r>
                </w:p>
              </w:tc>
              <w:tc>
                <w:tcPr>
                  <w:tcW w:w="419" w:type="pct"/>
                  <w:noWrap w:val="0"/>
                  <w:vAlign w:val="center"/>
                </w:tcPr>
                <w:p w14:paraId="48B9F3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w:t>
                  </w:r>
                </w:p>
                <w:p w14:paraId="52B764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浓度mg/m</w:t>
                  </w:r>
                  <w:r>
                    <w:rPr>
                      <w:rFonts w:hint="default" w:ascii="Times New Roman" w:hAnsi="Times New Roman" w:eastAsia="宋体" w:cs="Times New Roman"/>
                      <w:color w:val="auto"/>
                      <w:spacing w:val="0"/>
                      <w:kern w:val="0"/>
                      <w:position w:val="0"/>
                      <w:sz w:val="18"/>
                      <w:szCs w:val="18"/>
                      <w:highlight w:val="none"/>
                      <w:vertAlign w:val="superscript"/>
                    </w:rPr>
                    <w:t>3</w:t>
                  </w:r>
                </w:p>
              </w:tc>
              <w:tc>
                <w:tcPr>
                  <w:tcW w:w="401" w:type="pct"/>
                  <w:noWrap w:val="0"/>
                  <w:vAlign w:val="center"/>
                </w:tcPr>
                <w:p w14:paraId="616996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产生速率kg/h</w:t>
                  </w:r>
                </w:p>
              </w:tc>
              <w:tc>
                <w:tcPr>
                  <w:tcW w:w="459" w:type="pct"/>
                  <w:gridSpan w:val="2"/>
                  <w:noWrap w:val="0"/>
                  <w:vAlign w:val="center"/>
                </w:tcPr>
                <w:p w14:paraId="6F5D33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排放量</w:t>
                  </w:r>
                </w:p>
                <w:p w14:paraId="4B1503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t/a</w:t>
                  </w:r>
                </w:p>
              </w:tc>
            </w:tr>
            <w:tr w14:paraId="43C20B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 w:type="pct"/>
                  <w:vMerge w:val="restart"/>
                  <w:noWrap w:val="0"/>
                  <w:vAlign w:val="center"/>
                </w:tcPr>
                <w:p w14:paraId="548B9D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有组织排放</w:t>
                  </w:r>
                </w:p>
              </w:tc>
              <w:tc>
                <w:tcPr>
                  <w:tcW w:w="188" w:type="pct"/>
                  <w:vMerge w:val="restart"/>
                  <w:noWrap w:val="0"/>
                  <w:vAlign w:val="center"/>
                </w:tcPr>
                <w:p w14:paraId="2CCD5F7A">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eastAsia"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热风炉</w:t>
                  </w:r>
                  <w:r>
                    <w:rPr>
                      <w:rFonts w:hint="eastAsia" w:cs="Times New Roman"/>
                      <w:color w:val="auto"/>
                      <w:sz w:val="18"/>
                      <w:szCs w:val="18"/>
                      <w:highlight w:val="none"/>
                      <w:lang w:val="en-US" w:eastAsia="zh-CN"/>
                    </w:rPr>
                    <w:t>烟囱</w:t>
                  </w:r>
                </w:p>
              </w:tc>
              <w:tc>
                <w:tcPr>
                  <w:tcW w:w="212" w:type="pct"/>
                  <w:noWrap w:val="0"/>
                  <w:vAlign w:val="center"/>
                </w:tcPr>
                <w:p w14:paraId="41BB2A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颗粒物</w:t>
                  </w:r>
                </w:p>
              </w:tc>
              <w:tc>
                <w:tcPr>
                  <w:tcW w:w="188" w:type="pct"/>
                  <w:vMerge w:val="restart"/>
                  <w:noWrap w:val="0"/>
                  <w:vAlign w:val="center"/>
                </w:tcPr>
                <w:p w14:paraId="2112F0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position w:val="0"/>
                      <w:sz w:val="18"/>
                      <w:szCs w:val="18"/>
                      <w:highlight w:val="none"/>
                      <w:lang w:eastAsia="zh-CN"/>
                    </w:rPr>
                    <w:t>物料衡算法</w:t>
                  </w:r>
                </w:p>
              </w:tc>
              <w:tc>
                <w:tcPr>
                  <w:tcW w:w="332" w:type="pct"/>
                  <w:vMerge w:val="restart"/>
                  <w:noWrap w:val="0"/>
                  <w:vAlign w:val="center"/>
                </w:tcPr>
                <w:p w14:paraId="44ED2C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5566.958</w:t>
                  </w:r>
                </w:p>
              </w:tc>
              <w:tc>
                <w:tcPr>
                  <w:tcW w:w="410" w:type="pct"/>
                  <w:noWrap w:val="0"/>
                  <w:vAlign w:val="center"/>
                </w:tcPr>
                <w:p w14:paraId="4B20E0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3536.549</w:t>
                  </w:r>
                </w:p>
              </w:tc>
              <w:tc>
                <w:tcPr>
                  <w:tcW w:w="419" w:type="pct"/>
                  <w:noWrap w:val="0"/>
                  <w:vAlign w:val="center"/>
                </w:tcPr>
                <w:p w14:paraId="538B28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19.688</w:t>
                  </w:r>
                </w:p>
              </w:tc>
              <w:tc>
                <w:tcPr>
                  <w:tcW w:w="405" w:type="pct"/>
                  <w:noWrap w:val="0"/>
                  <w:vAlign w:val="center"/>
                </w:tcPr>
                <w:p w14:paraId="2E6A98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47.251</w:t>
                  </w:r>
                </w:p>
              </w:tc>
              <w:tc>
                <w:tcPr>
                  <w:tcW w:w="513" w:type="pct"/>
                  <w:noWrap w:val="0"/>
                  <w:vAlign w:val="center"/>
                </w:tcPr>
                <w:p w14:paraId="6792A29D">
                  <w:pPr>
                    <w:pStyle w:val="51"/>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布袋除尘器+15米高烟囱</w:t>
                  </w:r>
                </w:p>
              </w:tc>
              <w:tc>
                <w:tcPr>
                  <w:tcW w:w="336" w:type="pct"/>
                  <w:noWrap w:val="0"/>
                  <w:vAlign w:val="center"/>
                </w:tcPr>
                <w:p w14:paraId="09DEEE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99</w:t>
                  </w:r>
                </w:p>
              </w:tc>
              <w:tc>
                <w:tcPr>
                  <w:tcW w:w="222" w:type="pct"/>
                  <w:vMerge w:val="restart"/>
                  <w:noWrap w:val="0"/>
                  <w:vAlign w:val="center"/>
                </w:tcPr>
                <w:p w14:paraId="453AEF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物料衡算法</w:t>
                  </w:r>
                </w:p>
              </w:tc>
              <w:tc>
                <w:tcPr>
                  <w:tcW w:w="309" w:type="pct"/>
                  <w:vMerge w:val="restart"/>
                  <w:noWrap w:val="0"/>
                  <w:vAlign w:val="center"/>
                </w:tcPr>
                <w:p w14:paraId="7A71D5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5566.958</w:t>
                  </w:r>
                </w:p>
              </w:tc>
              <w:tc>
                <w:tcPr>
                  <w:tcW w:w="419" w:type="pct"/>
                  <w:noWrap w:val="0"/>
                  <w:vAlign w:val="center"/>
                </w:tcPr>
                <w:p w14:paraId="06DEB8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35.365</w:t>
                  </w:r>
                </w:p>
              </w:tc>
              <w:tc>
                <w:tcPr>
                  <w:tcW w:w="401" w:type="pct"/>
                  <w:noWrap w:val="0"/>
                  <w:vAlign w:val="center"/>
                </w:tcPr>
                <w:p w14:paraId="63399E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position w:val="0"/>
                      <w:sz w:val="18"/>
                      <w:szCs w:val="18"/>
                      <w:highlight w:val="none"/>
                      <w:lang w:val="en-US" w:eastAsia="zh-CN"/>
                    </w:rPr>
                    <w:t>0.197</w:t>
                  </w:r>
                </w:p>
              </w:tc>
              <w:tc>
                <w:tcPr>
                  <w:tcW w:w="459" w:type="pct"/>
                  <w:gridSpan w:val="2"/>
                  <w:noWrap w:val="0"/>
                  <w:vAlign w:val="center"/>
                </w:tcPr>
                <w:p w14:paraId="413B39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0.473</w:t>
                  </w:r>
                </w:p>
              </w:tc>
            </w:tr>
            <w:tr w14:paraId="373F17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 w:type="pct"/>
                  <w:vMerge w:val="continue"/>
                  <w:noWrap w:val="0"/>
                  <w:vAlign w:val="center"/>
                </w:tcPr>
                <w:p w14:paraId="2194DB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88" w:type="pct"/>
                  <w:vMerge w:val="continue"/>
                  <w:noWrap w:val="0"/>
                  <w:vAlign w:val="center"/>
                </w:tcPr>
                <w:p w14:paraId="5B322D88">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212" w:type="pct"/>
                  <w:noWrap w:val="0"/>
                  <w:vAlign w:val="center"/>
                </w:tcPr>
                <w:p w14:paraId="4127D1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SO</w:t>
                  </w:r>
                  <w:r>
                    <w:rPr>
                      <w:rFonts w:hint="default" w:ascii="Times New Roman" w:hAnsi="Times New Roman" w:eastAsia="宋体" w:cs="Times New Roman"/>
                      <w:color w:val="auto"/>
                      <w:spacing w:val="0"/>
                      <w:position w:val="0"/>
                      <w:sz w:val="18"/>
                      <w:szCs w:val="18"/>
                      <w:highlight w:val="none"/>
                      <w:vertAlign w:val="subscript"/>
                    </w:rPr>
                    <w:t>2</w:t>
                  </w:r>
                </w:p>
              </w:tc>
              <w:tc>
                <w:tcPr>
                  <w:tcW w:w="188" w:type="pct"/>
                  <w:vMerge w:val="continue"/>
                  <w:noWrap w:val="0"/>
                  <w:vAlign w:val="center"/>
                </w:tcPr>
                <w:p w14:paraId="48F474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pacing w:val="0"/>
                      <w:kern w:val="0"/>
                      <w:position w:val="0"/>
                      <w:sz w:val="18"/>
                      <w:szCs w:val="18"/>
                      <w:highlight w:val="none"/>
                      <w:lang w:val="en-US" w:eastAsia="zh-CN"/>
                    </w:rPr>
                  </w:pPr>
                </w:p>
              </w:tc>
              <w:tc>
                <w:tcPr>
                  <w:tcW w:w="332" w:type="pct"/>
                  <w:vMerge w:val="continue"/>
                  <w:noWrap w:val="0"/>
                  <w:vAlign w:val="center"/>
                </w:tcPr>
                <w:p w14:paraId="4FEC93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10" w:type="pct"/>
                  <w:noWrap w:val="0"/>
                  <w:vAlign w:val="center"/>
                </w:tcPr>
                <w:p w14:paraId="19B81C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77.665</w:t>
                  </w:r>
                </w:p>
              </w:tc>
              <w:tc>
                <w:tcPr>
                  <w:tcW w:w="419" w:type="pct"/>
                  <w:noWrap w:val="0"/>
                  <w:vAlign w:val="center"/>
                </w:tcPr>
                <w:p w14:paraId="5D9400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position w:val="0"/>
                      <w:sz w:val="18"/>
                      <w:szCs w:val="18"/>
                      <w:highlight w:val="none"/>
                      <w:lang w:val="en-US" w:eastAsia="zh-CN"/>
                    </w:rPr>
                    <w:t>0.432</w:t>
                  </w:r>
                </w:p>
              </w:tc>
              <w:tc>
                <w:tcPr>
                  <w:tcW w:w="405" w:type="pct"/>
                  <w:noWrap w:val="0"/>
                  <w:vAlign w:val="center"/>
                </w:tcPr>
                <w:p w14:paraId="6A6D9E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1.038</w:t>
                  </w:r>
                </w:p>
              </w:tc>
              <w:tc>
                <w:tcPr>
                  <w:tcW w:w="513" w:type="pct"/>
                  <w:noWrap w:val="0"/>
                  <w:vAlign w:val="center"/>
                </w:tcPr>
                <w:p w14:paraId="6B39A7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336" w:type="pct"/>
                  <w:noWrap w:val="0"/>
                  <w:vAlign w:val="center"/>
                </w:tcPr>
                <w:p w14:paraId="2ADAB1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eastAsia="宋体" w:cs="Times New Roman"/>
                      <w:color w:val="auto"/>
                      <w:spacing w:val="0"/>
                      <w:position w:val="0"/>
                      <w:sz w:val="18"/>
                      <w:szCs w:val="18"/>
                      <w:highlight w:val="none"/>
                    </w:rPr>
                    <w:t>/</w:t>
                  </w:r>
                </w:p>
              </w:tc>
              <w:tc>
                <w:tcPr>
                  <w:tcW w:w="222" w:type="pct"/>
                  <w:vMerge w:val="continue"/>
                  <w:noWrap w:val="0"/>
                  <w:vAlign w:val="center"/>
                </w:tcPr>
                <w:p w14:paraId="5AD10D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9" w:type="pct"/>
                  <w:vMerge w:val="continue"/>
                  <w:noWrap w:val="0"/>
                  <w:vAlign w:val="center"/>
                </w:tcPr>
                <w:p w14:paraId="1CE67D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19" w:type="pct"/>
                  <w:noWrap w:val="0"/>
                  <w:vAlign w:val="center"/>
                </w:tcPr>
                <w:p w14:paraId="10D07A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bidi="ar-SA"/>
                    </w:rPr>
                    <w:t>77.665</w:t>
                  </w:r>
                </w:p>
              </w:tc>
              <w:tc>
                <w:tcPr>
                  <w:tcW w:w="401" w:type="pct"/>
                  <w:noWrap w:val="0"/>
                  <w:vAlign w:val="center"/>
                </w:tcPr>
                <w:p w14:paraId="4F21B5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position w:val="0"/>
                      <w:sz w:val="18"/>
                      <w:szCs w:val="18"/>
                      <w:highlight w:val="none"/>
                      <w:lang w:val="en-US" w:eastAsia="zh-CN"/>
                    </w:rPr>
                    <w:t>0.432</w:t>
                  </w:r>
                </w:p>
              </w:tc>
              <w:tc>
                <w:tcPr>
                  <w:tcW w:w="459" w:type="pct"/>
                  <w:gridSpan w:val="2"/>
                  <w:noWrap w:val="0"/>
                  <w:vAlign w:val="center"/>
                </w:tcPr>
                <w:p w14:paraId="6A1CA9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bidi="ar-SA"/>
                    </w:rPr>
                    <w:t>1.038</w:t>
                  </w:r>
                </w:p>
              </w:tc>
            </w:tr>
            <w:tr w14:paraId="41B44E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 w:type="pct"/>
                  <w:vMerge w:val="continue"/>
                  <w:noWrap w:val="0"/>
                  <w:vAlign w:val="center"/>
                </w:tcPr>
                <w:p w14:paraId="5D8DA7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88" w:type="pct"/>
                  <w:vMerge w:val="continue"/>
                  <w:noWrap w:val="0"/>
                  <w:vAlign w:val="center"/>
                </w:tcPr>
                <w:p w14:paraId="6B22C31E">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212" w:type="pct"/>
                  <w:noWrap w:val="0"/>
                  <w:vAlign w:val="center"/>
                </w:tcPr>
                <w:p w14:paraId="69721C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NO</w:t>
                  </w:r>
                  <w:r>
                    <w:rPr>
                      <w:rFonts w:hint="default" w:ascii="Times New Roman" w:hAnsi="Times New Roman" w:eastAsia="宋体" w:cs="Times New Roman"/>
                      <w:color w:val="auto"/>
                      <w:spacing w:val="0"/>
                      <w:position w:val="0"/>
                      <w:sz w:val="18"/>
                      <w:szCs w:val="18"/>
                      <w:highlight w:val="none"/>
                      <w:lang w:val="en-US" w:eastAsia="zh-CN"/>
                    </w:rPr>
                    <w:t>x</w:t>
                  </w:r>
                </w:p>
              </w:tc>
              <w:tc>
                <w:tcPr>
                  <w:tcW w:w="188" w:type="pct"/>
                  <w:noWrap w:val="0"/>
                  <w:vAlign w:val="center"/>
                </w:tcPr>
                <w:p w14:paraId="1FB3FC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pacing w:val="0"/>
                      <w:kern w:val="0"/>
                      <w:position w:val="0"/>
                      <w:sz w:val="18"/>
                      <w:szCs w:val="18"/>
                      <w:highlight w:val="none"/>
                      <w:lang w:eastAsia="zh-CN"/>
                    </w:rPr>
                  </w:pPr>
                  <w:r>
                    <w:rPr>
                      <w:rFonts w:hint="eastAsia" w:cs="Times New Roman"/>
                      <w:color w:val="auto"/>
                      <w:spacing w:val="0"/>
                      <w:kern w:val="0"/>
                      <w:position w:val="0"/>
                      <w:sz w:val="18"/>
                      <w:szCs w:val="18"/>
                      <w:highlight w:val="none"/>
                      <w:lang w:eastAsia="zh-CN"/>
                    </w:rPr>
                    <w:t>类比法</w:t>
                  </w:r>
                </w:p>
              </w:tc>
              <w:tc>
                <w:tcPr>
                  <w:tcW w:w="332" w:type="pct"/>
                  <w:vMerge w:val="continue"/>
                  <w:noWrap w:val="0"/>
                  <w:vAlign w:val="center"/>
                </w:tcPr>
                <w:p w14:paraId="0C5527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10" w:type="pct"/>
                  <w:noWrap w:val="0"/>
                  <w:vAlign w:val="center"/>
                </w:tcPr>
                <w:p w14:paraId="2B921E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rPr>
                    <w:t>180</w:t>
                  </w:r>
                </w:p>
              </w:tc>
              <w:tc>
                <w:tcPr>
                  <w:tcW w:w="419" w:type="pct"/>
                  <w:noWrap w:val="0"/>
                  <w:vAlign w:val="center"/>
                </w:tcPr>
                <w:p w14:paraId="4115D2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1.002</w:t>
                  </w:r>
                </w:p>
              </w:tc>
              <w:tc>
                <w:tcPr>
                  <w:tcW w:w="405" w:type="pct"/>
                  <w:noWrap w:val="0"/>
                  <w:vAlign w:val="center"/>
                </w:tcPr>
                <w:p w14:paraId="6A4188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2.405</w:t>
                  </w:r>
                </w:p>
              </w:tc>
              <w:tc>
                <w:tcPr>
                  <w:tcW w:w="513" w:type="pct"/>
                  <w:noWrap w:val="0"/>
                  <w:vAlign w:val="center"/>
                </w:tcPr>
                <w:p w14:paraId="1D0F06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336" w:type="pct"/>
                  <w:noWrap w:val="0"/>
                  <w:vAlign w:val="center"/>
                </w:tcPr>
                <w:p w14:paraId="5BDB29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w:t>
                  </w:r>
                </w:p>
              </w:tc>
              <w:tc>
                <w:tcPr>
                  <w:tcW w:w="222" w:type="pct"/>
                  <w:shd w:val="clear" w:color="auto" w:fill="auto"/>
                  <w:noWrap w:val="0"/>
                  <w:vAlign w:val="center"/>
                </w:tcPr>
                <w:p w14:paraId="3B695A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eastAsia="zh-CN"/>
                    </w:rPr>
                    <w:t>类比法</w:t>
                  </w:r>
                </w:p>
              </w:tc>
              <w:tc>
                <w:tcPr>
                  <w:tcW w:w="309" w:type="pct"/>
                  <w:vMerge w:val="continue"/>
                  <w:noWrap w:val="0"/>
                  <w:vAlign w:val="center"/>
                </w:tcPr>
                <w:p w14:paraId="4725FC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19" w:type="pct"/>
                  <w:noWrap w:val="0"/>
                  <w:vAlign w:val="center"/>
                </w:tcPr>
                <w:p w14:paraId="2FC97B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180</w:t>
                  </w:r>
                </w:p>
              </w:tc>
              <w:tc>
                <w:tcPr>
                  <w:tcW w:w="401" w:type="pct"/>
                  <w:noWrap w:val="0"/>
                  <w:vAlign w:val="center"/>
                </w:tcPr>
                <w:p w14:paraId="6230A1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bidi="ar-SA"/>
                    </w:rPr>
                    <w:t>1.002</w:t>
                  </w:r>
                </w:p>
              </w:tc>
              <w:tc>
                <w:tcPr>
                  <w:tcW w:w="459" w:type="pct"/>
                  <w:gridSpan w:val="2"/>
                  <w:noWrap w:val="0"/>
                  <w:vAlign w:val="center"/>
                </w:tcPr>
                <w:p w14:paraId="74AEB1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bidi="ar-SA"/>
                    </w:rPr>
                    <w:t>2.405</w:t>
                  </w:r>
                </w:p>
              </w:tc>
            </w:tr>
            <w:tr w14:paraId="590626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 w:type="pct"/>
                  <w:vMerge w:val="restart"/>
                  <w:noWrap w:val="0"/>
                  <w:vAlign w:val="center"/>
                </w:tcPr>
                <w:p w14:paraId="08F1C4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无组织排放</w:t>
                  </w:r>
                </w:p>
              </w:tc>
              <w:tc>
                <w:tcPr>
                  <w:tcW w:w="188" w:type="pct"/>
                  <w:noWrap w:val="0"/>
                  <w:vAlign w:val="center"/>
                </w:tcPr>
                <w:p w14:paraId="149C47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lang w:eastAsia="zh-CN"/>
                    </w:rPr>
                    <w:t>输送装卸</w:t>
                  </w:r>
                </w:p>
              </w:tc>
              <w:tc>
                <w:tcPr>
                  <w:tcW w:w="212" w:type="pct"/>
                  <w:vMerge w:val="restart"/>
                  <w:noWrap w:val="0"/>
                  <w:vAlign w:val="center"/>
                </w:tcPr>
                <w:p w14:paraId="27D0E7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ascii="Times New Roman" w:hAnsi="Times New Roman" w:eastAsia="宋体" w:cs="Times New Roman"/>
                      <w:color w:val="auto"/>
                      <w:spacing w:val="0"/>
                      <w:position w:val="0"/>
                      <w:sz w:val="18"/>
                      <w:szCs w:val="18"/>
                      <w:highlight w:val="none"/>
                      <w:lang w:val="en-US" w:eastAsia="zh-CN"/>
                    </w:rPr>
                    <w:t>工业粉尘</w:t>
                  </w:r>
                </w:p>
              </w:tc>
              <w:tc>
                <w:tcPr>
                  <w:tcW w:w="188" w:type="pct"/>
                  <w:vMerge w:val="restart"/>
                  <w:noWrap w:val="0"/>
                  <w:vAlign w:val="center"/>
                </w:tcPr>
                <w:p w14:paraId="1CE6D8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产污系数法</w:t>
                  </w:r>
                </w:p>
              </w:tc>
              <w:tc>
                <w:tcPr>
                  <w:tcW w:w="332" w:type="pct"/>
                  <w:noWrap w:val="0"/>
                  <w:vAlign w:val="center"/>
                </w:tcPr>
                <w:p w14:paraId="13A139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10" w:type="pct"/>
                  <w:noWrap w:val="0"/>
                  <w:vAlign w:val="center"/>
                </w:tcPr>
                <w:p w14:paraId="50B42E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19" w:type="pct"/>
                  <w:noWrap w:val="0"/>
                  <w:vAlign w:val="center"/>
                </w:tcPr>
                <w:p w14:paraId="1DBA32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bCs/>
                      <w:color w:val="auto"/>
                      <w:kern w:val="0"/>
                      <w:sz w:val="18"/>
                      <w:szCs w:val="18"/>
                      <w:highlight w:val="none"/>
                      <w:lang w:val="en-US" w:eastAsia="zh-CN"/>
                    </w:rPr>
                    <w:t>0.833</w:t>
                  </w:r>
                </w:p>
              </w:tc>
              <w:tc>
                <w:tcPr>
                  <w:tcW w:w="405" w:type="pct"/>
                  <w:noWrap w:val="0"/>
                  <w:vAlign w:val="center"/>
                </w:tcPr>
                <w:p w14:paraId="4638EE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513" w:type="pct"/>
                  <w:noWrap w:val="0"/>
                  <w:vAlign w:val="center"/>
                </w:tcPr>
                <w:p w14:paraId="2D170C1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装卸工段</w:t>
                  </w:r>
                  <w:r>
                    <w:rPr>
                      <w:rFonts w:hint="eastAsia" w:ascii="Times New Roman" w:hAnsi="Times New Roman" w:eastAsia="宋体" w:cs="Times New Roman"/>
                      <w:color w:val="auto"/>
                      <w:spacing w:val="0"/>
                      <w:kern w:val="0"/>
                      <w:sz w:val="18"/>
                      <w:szCs w:val="18"/>
                      <w:highlight w:val="none"/>
                      <w:lang w:val="en-US" w:eastAsia="zh-CN" w:bidi="ar"/>
                    </w:rPr>
                    <w:t>采用</w:t>
                  </w:r>
                  <w:r>
                    <w:rPr>
                      <w:rFonts w:hint="default" w:ascii="Times New Roman" w:hAnsi="Times New Roman" w:eastAsia="宋体" w:cs="Times New Roman"/>
                      <w:color w:val="auto"/>
                      <w:spacing w:val="0"/>
                      <w:kern w:val="0"/>
                      <w:sz w:val="18"/>
                      <w:szCs w:val="18"/>
                      <w:highlight w:val="none"/>
                      <w:lang w:val="en-US" w:eastAsia="zh-CN" w:bidi="ar"/>
                    </w:rPr>
                    <w:t>密闭性良好的设备，全封闭输送机、原粮入</w:t>
                  </w:r>
                  <w:r>
                    <w:rPr>
                      <w:rFonts w:hint="eastAsia" w:cs="Times New Roman"/>
                      <w:color w:val="auto"/>
                      <w:spacing w:val="0"/>
                      <w:kern w:val="0"/>
                      <w:sz w:val="18"/>
                      <w:szCs w:val="18"/>
                      <w:highlight w:val="none"/>
                      <w:lang w:val="en-US" w:eastAsia="zh-CN" w:bidi="ar"/>
                    </w:rPr>
                    <w:t>仓</w:t>
                  </w:r>
                  <w:r>
                    <w:rPr>
                      <w:rFonts w:hint="default" w:ascii="Times New Roman" w:hAnsi="Times New Roman" w:eastAsia="宋体" w:cs="Times New Roman"/>
                      <w:color w:val="auto"/>
                      <w:spacing w:val="0"/>
                      <w:kern w:val="0"/>
                      <w:sz w:val="18"/>
                      <w:szCs w:val="18"/>
                      <w:highlight w:val="none"/>
                      <w:lang w:val="en-US" w:eastAsia="zh-CN" w:bidi="ar"/>
                    </w:rPr>
                    <w:t>采取封闭和减小装卸高度</w:t>
                  </w:r>
                  <w:r>
                    <w:rPr>
                      <w:rFonts w:hint="default" w:ascii="Times New Roman" w:hAnsi="Times New Roman" w:cs="Times New Roman"/>
                      <w:color w:val="auto"/>
                      <w:sz w:val="18"/>
                      <w:szCs w:val="18"/>
                      <w:highlight w:val="none"/>
                    </w:rPr>
                    <w:t>等降尘措施，运输过程中采用封闭输送</w:t>
                  </w:r>
                </w:p>
              </w:tc>
              <w:tc>
                <w:tcPr>
                  <w:tcW w:w="336" w:type="pct"/>
                  <w:noWrap w:val="0"/>
                  <w:vAlign w:val="center"/>
                </w:tcPr>
                <w:p w14:paraId="70E6D4F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pacing w:val="0"/>
                      <w:kern w:val="0"/>
                      <w:position w:val="0"/>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w:t>
                  </w:r>
                </w:p>
              </w:tc>
              <w:tc>
                <w:tcPr>
                  <w:tcW w:w="222" w:type="pct"/>
                  <w:vMerge w:val="restart"/>
                  <w:shd w:val="clear" w:color="auto" w:fill="auto"/>
                  <w:noWrap w:val="0"/>
                  <w:vAlign w:val="center"/>
                </w:tcPr>
                <w:p w14:paraId="2F0DC3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eastAsia="宋体" w:cs="Times New Roman"/>
                      <w:color w:val="auto"/>
                      <w:spacing w:val="0"/>
                      <w:position w:val="0"/>
                      <w:sz w:val="18"/>
                      <w:szCs w:val="18"/>
                      <w:highlight w:val="none"/>
                    </w:rPr>
                    <w:t>产污系数法</w:t>
                  </w:r>
                </w:p>
              </w:tc>
              <w:tc>
                <w:tcPr>
                  <w:tcW w:w="309" w:type="pct"/>
                  <w:noWrap w:val="0"/>
                  <w:vAlign w:val="center"/>
                </w:tcPr>
                <w:p w14:paraId="70DB14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19" w:type="pct"/>
                  <w:noWrap w:val="0"/>
                  <w:vAlign w:val="center"/>
                </w:tcPr>
                <w:p w14:paraId="5551BB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01" w:type="pct"/>
                  <w:noWrap w:val="0"/>
                  <w:vAlign w:val="center"/>
                </w:tcPr>
                <w:p w14:paraId="7DD160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both"/>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0.083</w:t>
                  </w:r>
                </w:p>
              </w:tc>
              <w:tc>
                <w:tcPr>
                  <w:tcW w:w="459" w:type="pct"/>
                  <w:gridSpan w:val="2"/>
                  <w:noWrap w:val="0"/>
                  <w:vAlign w:val="center"/>
                </w:tcPr>
                <w:p w14:paraId="2E075F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rPr>
                  </w:pPr>
                  <w:r>
                    <w:rPr>
                      <w:rFonts w:hint="eastAsia" w:cs="Times New Roman"/>
                      <w:bCs/>
                      <w:color w:val="auto"/>
                      <w:kern w:val="0"/>
                      <w:sz w:val="18"/>
                      <w:szCs w:val="18"/>
                      <w:highlight w:val="none"/>
                      <w:lang w:val="en-US" w:eastAsia="zh-CN"/>
                    </w:rPr>
                    <w:t>0.2</w:t>
                  </w:r>
                </w:p>
              </w:tc>
            </w:tr>
            <w:tr w14:paraId="72C7AF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 w:type="pct"/>
                  <w:vMerge w:val="continue"/>
                  <w:noWrap w:val="0"/>
                  <w:vAlign w:val="center"/>
                </w:tcPr>
                <w:p w14:paraId="465F9E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188" w:type="pct"/>
                  <w:noWrap w:val="0"/>
                  <w:vAlign w:val="center"/>
                </w:tcPr>
                <w:p w14:paraId="0EEE5F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ascii="Times New Roman" w:hAnsi="Times New Roman" w:eastAsia="宋体" w:cs="Times New Roman"/>
                      <w:color w:val="auto"/>
                      <w:spacing w:val="0"/>
                      <w:position w:val="0"/>
                      <w:sz w:val="18"/>
                      <w:szCs w:val="18"/>
                      <w:highlight w:val="none"/>
                    </w:rPr>
                  </w:pPr>
                  <w:r>
                    <w:rPr>
                      <w:rFonts w:hint="eastAsia" w:cs="Times New Roman"/>
                      <w:color w:val="auto"/>
                      <w:sz w:val="18"/>
                      <w:szCs w:val="18"/>
                      <w:highlight w:val="none"/>
                      <w:lang w:val="en-US" w:eastAsia="zh-CN"/>
                    </w:rPr>
                    <w:t>初清</w:t>
                  </w:r>
                  <w:r>
                    <w:rPr>
                      <w:rFonts w:hint="eastAsia" w:ascii="Times New Roman" w:hAnsi="Times New Roman" w:eastAsia="宋体" w:cs="Times New Roman"/>
                      <w:color w:val="auto"/>
                      <w:sz w:val="18"/>
                      <w:szCs w:val="18"/>
                      <w:highlight w:val="none"/>
                      <w:lang w:eastAsia="zh-CN"/>
                    </w:rPr>
                    <w:t>筛分</w:t>
                  </w:r>
                </w:p>
              </w:tc>
              <w:tc>
                <w:tcPr>
                  <w:tcW w:w="212" w:type="pct"/>
                  <w:vMerge w:val="continue"/>
                  <w:noWrap w:val="0"/>
                  <w:vAlign w:val="center"/>
                </w:tcPr>
                <w:p w14:paraId="563719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88" w:type="pct"/>
                  <w:vMerge w:val="continue"/>
                  <w:noWrap w:val="0"/>
                  <w:vAlign w:val="center"/>
                </w:tcPr>
                <w:p w14:paraId="4C3835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p>
              </w:tc>
              <w:tc>
                <w:tcPr>
                  <w:tcW w:w="332" w:type="pct"/>
                  <w:noWrap w:val="0"/>
                  <w:vAlign w:val="center"/>
                </w:tcPr>
                <w:p w14:paraId="7D8050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10" w:type="pct"/>
                  <w:noWrap w:val="0"/>
                  <w:vAlign w:val="center"/>
                </w:tcPr>
                <w:p w14:paraId="0AD482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19" w:type="pct"/>
                  <w:noWrap w:val="0"/>
                  <w:vAlign w:val="center"/>
                </w:tcPr>
                <w:p w14:paraId="790E09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12.499</w:t>
                  </w:r>
                </w:p>
              </w:tc>
              <w:tc>
                <w:tcPr>
                  <w:tcW w:w="405" w:type="pct"/>
                  <w:noWrap w:val="0"/>
                  <w:vAlign w:val="center"/>
                </w:tcPr>
                <w:p w14:paraId="669289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30</w:t>
                  </w:r>
                </w:p>
              </w:tc>
              <w:tc>
                <w:tcPr>
                  <w:tcW w:w="513" w:type="pct"/>
                  <w:noWrap w:val="0"/>
                  <w:vAlign w:val="center"/>
                </w:tcPr>
                <w:p w14:paraId="59A74C5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eastAsia="zh-CN"/>
                    </w:rPr>
                    <w:t>清粮采用全密闭</w:t>
                  </w:r>
                  <w:r>
                    <w:rPr>
                      <w:rFonts w:hint="eastAsia" w:cs="Times New Roman"/>
                      <w:color w:val="auto"/>
                      <w:sz w:val="18"/>
                      <w:szCs w:val="18"/>
                      <w:highlight w:val="none"/>
                      <w:lang w:val="en-US" w:eastAsia="zh-CN"/>
                    </w:rPr>
                    <w:t>筛分机</w:t>
                  </w:r>
                  <w:r>
                    <w:rPr>
                      <w:rFonts w:hint="eastAsia" w:ascii="Times New Roman" w:hAnsi="Times New Roman" w:cs="Times New Roman"/>
                      <w:color w:val="auto"/>
                      <w:sz w:val="18"/>
                      <w:szCs w:val="18"/>
                      <w:highlight w:val="none"/>
                      <w:lang w:eastAsia="zh-CN"/>
                    </w:rPr>
                    <w:t>，产生的粉尘经设备</w:t>
                  </w:r>
                  <w:r>
                    <w:rPr>
                      <w:rFonts w:hint="eastAsia" w:cs="Times New Roman"/>
                      <w:color w:val="auto"/>
                      <w:sz w:val="18"/>
                      <w:szCs w:val="18"/>
                      <w:highlight w:val="none"/>
                      <w:lang w:eastAsia="zh-CN"/>
                    </w:rPr>
                    <w:t>自带滤袋</w:t>
                  </w:r>
                  <w:r>
                    <w:rPr>
                      <w:rFonts w:hint="eastAsia" w:ascii="Times New Roman" w:hAnsi="Times New Roman" w:cs="Times New Roman"/>
                      <w:color w:val="auto"/>
                      <w:sz w:val="18"/>
                      <w:szCs w:val="18"/>
                      <w:highlight w:val="none"/>
                      <w:lang w:eastAsia="zh-CN"/>
                    </w:rPr>
                    <w:t>处理后</w:t>
                  </w:r>
                  <w:r>
                    <w:rPr>
                      <w:rFonts w:hint="eastAsia" w:cs="Times New Roman"/>
                      <w:color w:val="auto"/>
                      <w:sz w:val="18"/>
                      <w:szCs w:val="18"/>
                      <w:highlight w:val="none"/>
                      <w:lang w:eastAsia="zh-CN"/>
                    </w:rPr>
                    <w:t>无组织</w:t>
                  </w:r>
                  <w:r>
                    <w:rPr>
                      <w:rFonts w:hint="eastAsia" w:ascii="Times New Roman" w:hAnsi="Times New Roman" w:cs="Times New Roman"/>
                      <w:color w:val="auto"/>
                      <w:sz w:val="18"/>
                      <w:szCs w:val="18"/>
                      <w:highlight w:val="none"/>
                      <w:lang w:eastAsia="zh-CN"/>
                    </w:rPr>
                    <w:t>排放</w:t>
                  </w:r>
                </w:p>
              </w:tc>
              <w:tc>
                <w:tcPr>
                  <w:tcW w:w="336" w:type="pct"/>
                  <w:noWrap w:val="0"/>
                  <w:vAlign w:val="center"/>
                </w:tcPr>
                <w:p w14:paraId="28D55EA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99</w:t>
                  </w:r>
                </w:p>
              </w:tc>
              <w:tc>
                <w:tcPr>
                  <w:tcW w:w="222" w:type="pct"/>
                  <w:vMerge w:val="continue"/>
                  <w:noWrap w:val="0"/>
                  <w:vAlign w:val="center"/>
                </w:tcPr>
                <w:p w14:paraId="360DA1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9" w:type="pct"/>
                  <w:noWrap w:val="0"/>
                  <w:vAlign w:val="center"/>
                </w:tcPr>
                <w:p w14:paraId="4DBDB1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19" w:type="pct"/>
                  <w:noWrap w:val="0"/>
                  <w:vAlign w:val="center"/>
                </w:tcPr>
                <w:p w14:paraId="039F52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01" w:type="pct"/>
                  <w:noWrap w:val="0"/>
                  <w:vAlign w:val="center"/>
                </w:tcPr>
                <w:p w14:paraId="06E111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0.125</w:t>
                  </w:r>
                </w:p>
              </w:tc>
              <w:tc>
                <w:tcPr>
                  <w:tcW w:w="459" w:type="pct"/>
                  <w:gridSpan w:val="2"/>
                  <w:noWrap w:val="0"/>
                  <w:vAlign w:val="center"/>
                </w:tcPr>
                <w:p w14:paraId="07B5A5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rPr>
                  </w:pPr>
                  <w:r>
                    <w:rPr>
                      <w:rFonts w:hint="eastAsia" w:cs="Times New Roman"/>
                      <w:color w:val="auto"/>
                      <w:sz w:val="18"/>
                      <w:szCs w:val="18"/>
                      <w:highlight w:val="none"/>
                      <w:lang w:val="en-US" w:eastAsia="zh-CN"/>
                    </w:rPr>
                    <w:t>0.3</w:t>
                  </w:r>
                </w:p>
              </w:tc>
            </w:tr>
            <w:tr w14:paraId="4CE4BF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9" w:type="pct"/>
                  <w:vMerge w:val="continue"/>
                  <w:noWrap w:val="0"/>
                  <w:vAlign w:val="center"/>
                </w:tcPr>
                <w:p w14:paraId="3AA82C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188" w:type="pct"/>
                  <w:noWrap w:val="0"/>
                  <w:vAlign w:val="center"/>
                </w:tcPr>
                <w:p w14:paraId="14D87C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z w:val="18"/>
                      <w:szCs w:val="18"/>
                      <w:highlight w:val="none"/>
                      <w:lang w:eastAsia="zh-CN"/>
                    </w:rPr>
                    <w:t>烘干</w:t>
                  </w:r>
                </w:p>
              </w:tc>
              <w:tc>
                <w:tcPr>
                  <w:tcW w:w="212" w:type="pct"/>
                  <w:vMerge w:val="continue"/>
                  <w:noWrap w:val="0"/>
                  <w:vAlign w:val="center"/>
                </w:tcPr>
                <w:p w14:paraId="1435BD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88" w:type="pct"/>
                  <w:vMerge w:val="continue"/>
                  <w:noWrap w:val="0"/>
                  <w:vAlign w:val="center"/>
                </w:tcPr>
                <w:p w14:paraId="7827B6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p>
              </w:tc>
              <w:tc>
                <w:tcPr>
                  <w:tcW w:w="332" w:type="pct"/>
                  <w:noWrap w:val="0"/>
                  <w:vAlign w:val="center"/>
                </w:tcPr>
                <w:p w14:paraId="79EE5E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10" w:type="pct"/>
                  <w:noWrap w:val="0"/>
                  <w:vAlign w:val="center"/>
                </w:tcPr>
                <w:p w14:paraId="68DC43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419" w:type="pct"/>
                  <w:noWrap w:val="0"/>
                  <w:vAlign w:val="center"/>
                </w:tcPr>
                <w:p w14:paraId="38DC86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rPr>
                  </w:pPr>
                  <w:r>
                    <w:rPr>
                      <w:rFonts w:hint="eastAsia" w:cs="Times New Roman"/>
                      <w:bCs/>
                      <w:color w:val="auto"/>
                      <w:kern w:val="0"/>
                      <w:sz w:val="18"/>
                      <w:szCs w:val="18"/>
                      <w:highlight w:val="none"/>
                      <w:lang w:val="en-US" w:eastAsia="zh-CN"/>
                    </w:rPr>
                    <w:t>1.997</w:t>
                  </w:r>
                </w:p>
              </w:tc>
              <w:tc>
                <w:tcPr>
                  <w:tcW w:w="405" w:type="pct"/>
                  <w:noWrap w:val="0"/>
                  <w:vAlign w:val="center"/>
                </w:tcPr>
                <w:p w14:paraId="13064B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0.832</w:t>
                  </w:r>
                </w:p>
              </w:tc>
              <w:tc>
                <w:tcPr>
                  <w:tcW w:w="513" w:type="pct"/>
                  <w:noWrap w:val="0"/>
                  <w:vAlign w:val="center"/>
                </w:tcPr>
                <w:p w14:paraId="439FD6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eastAsia="zh-CN"/>
                    </w:rPr>
                    <w:t>烘干塔内部自带重力沉降室，烘干塔底部四周设置防尘挡板，粉尘受挡板格挡后受重力作用回落到烘干塔底部收尘设施中</w:t>
                  </w:r>
                </w:p>
              </w:tc>
              <w:tc>
                <w:tcPr>
                  <w:tcW w:w="336" w:type="pct"/>
                  <w:noWrap w:val="0"/>
                  <w:vAlign w:val="center"/>
                </w:tcPr>
                <w:p w14:paraId="74B11C0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pacing w:val="0"/>
                      <w:kern w:val="0"/>
                      <w:position w:val="0"/>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w:t>
                  </w:r>
                </w:p>
              </w:tc>
              <w:tc>
                <w:tcPr>
                  <w:tcW w:w="222" w:type="pct"/>
                  <w:vMerge w:val="continue"/>
                  <w:noWrap w:val="0"/>
                  <w:vAlign w:val="center"/>
                </w:tcPr>
                <w:p w14:paraId="316915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9" w:type="pct"/>
                  <w:noWrap w:val="0"/>
                  <w:vAlign w:val="center"/>
                </w:tcPr>
                <w:p w14:paraId="09D874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19" w:type="pct"/>
                  <w:noWrap w:val="0"/>
                  <w:vAlign w:val="center"/>
                </w:tcPr>
                <w:p w14:paraId="2D8075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401" w:type="pct"/>
                  <w:noWrap w:val="0"/>
                  <w:vAlign w:val="center"/>
                </w:tcPr>
                <w:p w14:paraId="3B88D6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both"/>
                    <w:textAlignment w:val="auto"/>
                    <w:rPr>
                      <w:rFonts w:hint="default" w:ascii="Times New Roman" w:hAnsi="Times New Roman" w:eastAsia="宋体" w:cs="Times New Roman"/>
                      <w:color w:val="auto"/>
                      <w:sz w:val="18"/>
                      <w:szCs w:val="18"/>
                      <w:highlight w:val="none"/>
                      <w:lang w:val="en-US"/>
                    </w:rPr>
                  </w:pPr>
                  <w:r>
                    <w:rPr>
                      <w:rFonts w:hint="eastAsia" w:cs="Times New Roman"/>
                      <w:color w:val="auto"/>
                      <w:spacing w:val="0"/>
                      <w:position w:val="0"/>
                      <w:sz w:val="18"/>
                      <w:szCs w:val="18"/>
                      <w:highlight w:val="none"/>
                      <w:lang w:val="en-US" w:eastAsia="zh-CN"/>
                    </w:rPr>
                    <w:t>0.083</w:t>
                  </w:r>
                </w:p>
              </w:tc>
              <w:tc>
                <w:tcPr>
                  <w:tcW w:w="459" w:type="pct"/>
                  <w:gridSpan w:val="2"/>
                  <w:noWrap w:val="0"/>
                  <w:vAlign w:val="center"/>
                </w:tcPr>
                <w:p w14:paraId="04692A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bCs/>
                      <w:color w:val="auto"/>
                      <w:kern w:val="0"/>
                      <w:sz w:val="18"/>
                      <w:szCs w:val="18"/>
                      <w:highlight w:val="none"/>
                      <w:lang w:val="en-US" w:eastAsia="zh-CN"/>
                    </w:rPr>
                    <w:t>0.2</w:t>
                  </w:r>
                </w:p>
              </w:tc>
            </w:tr>
            <w:tr w14:paraId="35FCDF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9" w:type="pct"/>
                  <w:vMerge w:val="continue"/>
                  <w:tcBorders>
                    <w:bottom w:val="single" w:color="auto" w:sz="12" w:space="0"/>
                  </w:tcBorders>
                  <w:noWrap w:val="0"/>
                  <w:vAlign w:val="center"/>
                </w:tcPr>
                <w:p w14:paraId="610241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188" w:type="pct"/>
                  <w:tcBorders>
                    <w:bottom w:val="single" w:color="auto" w:sz="12" w:space="0"/>
                  </w:tcBorders>
                  <w:noWrap w:val="0"/>
                  <w:vAlign w:val="center"/>
                </w:tcPr>
                <w:p w14:paraId="15937B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rPr>
                      <w:rFonts w:hint="default"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成品输送</w:t>
                  </w:r>
                </w:p>
              </w:tc>
              <w:tc>
                <w:tcPr>
                  <w:tcW w:w="212" w:type="pct"/>
                  <w:vMerge w:val="continue"/>
                  <w:tcBorders>
                    <w:bottom w:val="single" w:color="auto" w:sz="12" w:space="0"/>
                  </w:tcBorders>
                  <w:noWrap w:val="0"/>
                  <w:vAlign w:val="center"/>
                </w:tcPr>
                <w:p w14:paraId="59FE35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188" w:type="pct"/>
                  <w:vMerge w:val="continue"/>
                  <w:tcBorders>
                    <w:bottom w:val="single" w:color="auto" w:sz="12" w:space="0"/>
                  </w:tcBorders>
                  <w:noWrap w:val="0"/>
                  <w:vAlign w:val="center"/>
                </w:tcPr>
                <w:p w14:paraId="4AF86D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p>
              </w:tc>
              <w:tc>
                <w:tcPr>
                  <w:tcW w:w="332" w:type="pct"/>
                  <w:tcBorders>
                    <w:bottom w:val="single" w:color="auto" w:sz="12" w:space="0"/>
                  </w:tcBorders>
                  <w:noWrap w:val="0"/>
                  <w:vAlign w:val="center"/>
                </w:tcPr>
                <w:p w14:paraId="25F167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10" w:type="pct"/>
                  <w:tcBorders>
                    <w:bottom w:val="single" w:color="auto" w:sz="12" w:space="0"/>
                  </w:tcBorders>
                  <w:noWrap w:val="0"/>
                  <w:vAlign w:val="center"/>
                </w:tcPr>
                <w:p w14:paraId="14F338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19" w:type="pct"/>
                  <w:tcBorders>
                    <w:bottom w:val="single" w:color="auto" w:sz="12" w:space="0"/>
                  </w:tcBorders>
                  <w:noWrap w:val="0"/>
                  <w:vAlign w:val="center"/>
                </w:tcPr>
                <w:p w14:paraId="3AC788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1.588</w:t>
                  </w:r>
                </w:p>
              </w:tc>
              <w:tc>
                <w:tcPr>
                  <w:tcW w:w="405" w:type="pct"/>
                  <w:tcBorders>
                    <w:bottom w:val="single" w:color="auto" w:sz="12" w:space="0"/>
                  </w:tcBorders>
                  <w:noWrap w:val="0"/>
                  <w:vAlign w:val="center"/>
                </w:tcPr>
                <w:p w14:paraId="229726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0.661</w:t>
                  </w:r>
                </w:p>
              </w:tc>
              <w:tc>
                <w:tcPr>
                  <w:tcW w:w="513" w:type="pct"/>
                  <w:tcBorders>
                    <w:bottom w:val="single" w:color="auto" w:sz="12" w:space="0"/>
                  </w:tcBorders>
                  <w:shd w:val="clear" w:color="auto" w:fill="auto"/>
                  <w:noWrap w:val="0"/>
                  <w:vAlign w:val="center"/>
                </w:tcPr>
                <w:p w14:paraId="39F90FF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eastAsia="zh-CN"/>
                    </w:rPr>
                    <w:t>装卸工段采取粮仓密闭四周设置围挡、减小装卸高度等降尘措施，运输过程中采用封闭输送</w:t>
                  </w:r>
                  <w:r>
                    <w:rPr>
                      <w:rFonts w:hint="eastAsia" w:ascii="Times New Roman" w:hAnsi="Times New Roman" w:eastAsia="宋体" w:cs="Times New Roman"/>
                      <w:color w:val="auto"/>
                      <w:sz w:val="18"/>
                      <w:szCs w:val="18"/>
                      <w:highlight w:val="none"/>
                      <w:lang w:val="en-US" w:eastAsia="zh-CN"/>
                    </w:rPr>
                    <w:t>等</w:t>
                  </w:r>
                </w:p>
              </w:tc>
              <w:tc>
                <w:tcPr>
                  <w:tcW w:w="336" w:type="pct"/>
                  <w:tcBorders>
                    <w:bottom w:val="single" w:color="auto" w:sz="12" w:space="0"/>
                  </w:tcBorders>
                  <w:noWrap w:val="0"/>
                  <w:vAlign w:val="center"/>
                </w:tcPr>
                <w:p w14:paraId="2207161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60</w:t>
                  </w:r>
                </w:p>
              </w:tc>
              <w:tc>
                <w:tcPr>
                  <w:tcW w:w="222" w:type="pct"/>
                  <w:vMerge w:val="continue"/>
                  <w:tcBorders>
                    <w:bottom w:val="single" w:color="auto" w:sz="12" w:space="0"/>
                  </w:tcBorders>
                  <w:noWrap w:val="0"/>
                  <w:vAlign w:val="center"/>
                </w:tcPr>
                <w:p w14:paraId="1D441A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09" w:type="pct"/>
                  <w:tcBorders>
                    <w:bottom w:val="single" w:color="auto" w:sz="12" w:space="0"/>
                  </w:tcBorders>
                  <w:noWrap w:val="0"/>
                  <w:vAlign w:val="center"/>
                </w:tcPr>
                <w:p w14:paraId="7DF8DB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19" w:type="pct"/>
                  <w:tcBorders>
                    <w:bottom w:val="single" w:color="auto" w:sz="12" w:space="0"/>
                  </w:tcBorders>
                  <w:noWrap w:val="0"/>
                  <w:vAlign w:val="center"/>
                </w:tcPr>
                <w:p w14:paraId="4209F5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01" w:type="pct"/>
                  <w:tcBorders>
                    <w:bottom w:val="single" w:color="auto" w:sz="12" w:space="0"/>
                  </w:tcBorders>
                  <w:noWrap w:val="0"/>
                  <w:vAlign w:val="center"/>
                </w:tcPr>
                <w:p w14:paraId="002100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both"/>
                    <w:textAlignment w:val="auto"/>
                    <w:rPr>
                      <w:rFonts w:hint="default"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0.265</w:t>
                  </w:r>
                </w:p>
              </w:tc>
              <w:tc>
                <w:tcPr>
                  <w:tcW w:w="459" w:type="pct"/>
                  <w:gridSpan w:val="2"/>
                  <w:tcBorders>
                    <w:bottom w:val="single" w:color="auto" w:sz="12" w:space="0"/>
                  </w:tcBorders>
                  <w:noWrap w:val="0"/>
                  <w:vAlign w:val="center"/>
                </w:tcPr>
                <w:p w14:paraId="6C740F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0.635</w:t>
                  </w:r>
                </w:p>
              </w:tc>
            </w:tr>
          </w:tbl>
          <w:p w14:paraId="768178F3">
            <w:pPr>
              <w:keepNext w:val="0"/>
              <w:keepLines w:val="0"/>
              <w:suppressLineNumbers w:val="0"/>
              <w:spacing w:before="0" w:beforeAutospacing="0" w:after="0" w:afterAutospacing="0"/>
              <w:ind w:left="0" w:right="0" w:firstLine="420" w:firstLineChars="200"/>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val="en-US" w:eastAsia="zh-CN"/>
              </w:rPr>
              <w:t>1</w:t>
            </w:r>
            <w:r>
              <w:rPr>
                <w:rFonts w:hint="default" w:ascii="Times New Roman" w:hAnsi="Times New Roman" w:eastAsia="宋体" w:cs="Times New Roman"/>
                <w:bCs/>
                <w:color w:val="auto"/>
                <w:kern w:val="0"/>
                <w:sz w:val="21"/>
                <w:szCs w:val="21"/>
                <w:highlight w:val="none"/>
                <w:lang w:eastAsia="zh-CN"/>
              </w:rPr>
              <w:t>）</w:t>
            </w:r>
            <w:r>
              <w:rPr>
                <w:rFonts w:hint="eastAsia" w:ascii="Times New Roman" w:hAnsi="Times New Roman" w:eastAsia="宋体" w:cs="Times New Roman"/>
                <w:bCs/>
                <w:color w:val="auto"/>
                <w:kern w:val="0"/>
                <w:sz w:val="21"/>
                <w:szCs w:val="21"/>
                <w:highlight w:val="none"/>
                <w:lang w:eastAsia="zh-CN"/>
              </w:rPr>
              <w:t>热风炉</w:t>
            </w:r>
            <w:r>
              <w:rPr>
                <w:rFonts w:hint="default" w:ascii="Times New Roman" w:hAnsi="Times New Roman" w:eastAsia="宋体" w:cs="Times New Roman"/>
                <w:bCs/>
                <w:color w:val="auto"/>
                <w:kern w:val="0"/>
                <w:sz w:val="21"/>
                <w:szCs w:val="21"/>
                <w:highlight w:val="none"/>
                <w:lang w:eastAsia="zh-CN"/>
              </w:rPr>
              <w:t>废气</w:t>
            </w:r>
          </w:p>
          <w:p w14:paraId="09E98580">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eastAsia="zh-CN"/>
              </w:rPr>
              <w:t>本项目</w:t>
            </w:r>
            <w:r>
              <w:rPr>
                <w:rFonts w:hint="default" w:ascii="Times New Roman" w:hAnsi="Times New Roman" w:cs="Times New Roman"/>
                <w:color w:val="auto"/>
                <w:sz w:val="21"/>
                <w:szCs w:val="21"/>
                <w:highlight w:val="none"/>
                <w:lang w:val="en-US" w:eastAsia="zh-CN"/>
              </w:rPr>
              <w:t>热风炉烟气</w:t>
            </w:r>
            <w:r>
              <w:rPr>
                <w:rFonts w:hint="eastAsia" w:ascii="Times New Roman" w:hAnsi="Times New Roman" w:cs="Times New Roman"/>
                <w:color w:val="auto"/>
                <w:sz w:val="21"/>
                <w:szCs w:val="21"/>
                <w:highlight w:val="none"/>
                <w:lang w:val="en-US" w:eastAsia="zh-CN"/>
              </w:rPr>
              <w:t>通过</w:t>
            </w:r>
            <w:r>
              <w:rPr>
                <w:rFonts w:hint="default" w:ascii="Times New Roman" w:hAnsi="Times New Roman" w:cs="Times New Roman"/>
                <w:color w:val="auto"/>
                <w:sz w:val="21"/>
                <w:szCs w:val="21"/>
                <w:highlight w:val="none"/>
                <w:lang w:val="en-US" w:eastAsia="zh-CN"/>
              </w:rPr>
              <w:t>布袋除尘器（除尘效率</w:t>
            </w:r>
            <w:r>
              <w:rPr>
                <w:rFonts w:hint="eastAsia" w:cs="Times New Roman"/>
                <w:color w:val="auto"/>
                <w:sz w:val="21"/>
                <w:szCs w:val="21"/>
                <w:highlight w:val="none"/>
                <w:lang w:val="en-US" w:eastAsia="zh-CN"/>
              </w:rPr>
              <w:t>99%</w:t>
            </w:r>
            <w:r>
              <w:rPr>
                <w:rFonts w:hint="default" w:ascii="Times New Roman" w:hAnsi="Times New Roman" w:cs="Times New Roman"/>
                <w:color w:val="auto"/>
                <w:sz w:val="21"/>
                <w:szCs w:val="21"/>
                <w:highlight w:val="none"/>
                <w:lang w:val="en-US" w:eastAsia="zh-CN"/>
              </w:rPr>
              <w:t>）处理后经过</w:t>
            </w:r>
            <w:r>
              <w:rPr>
                <w:rFonts w:hint="eastAsia" w:cs="Times New Roman"/>
                <w:color w:val="auto"/>
                <w:sz w:val="21"/>
                <w:szCs w:val="21"/>
                <w:highlight w:val="none"/>
                <w:lang w:val="en-US" w:eastAsia="zh-CN"/>
              </w:rPr>
              <w:t>15</w:t>
            </w:r>
            <w:r>
              <w:rPr>
                <w:rFonts w:hint="default" w:ascii="Times New Roman" w:hAnsi="Times New Roman" w:cs="Times New Roman"/>
                <w:color w:val="auto"/>
                <w:sz w:val="21"/>
                <w:szCs w:val="21"/>
                <w:highlight w:val="none"/>
                <w:lang w:val="en-US" w:eastAsia="zh-CN"/>
              </w:rPr>
              <w:t>m高</w:t>
            </w:r>
            <w:r>
              <w:rPr>
                <w:rFonts w:hint="eastAsia" w:cs="Times New Roman"/>
                <w:color w:val="auto"/>
                <w:sz w:val="21"/>
                <w:szCs w:val="21"/>
                <w:highlight w:val="none"/>
                <w:lang w:eastAsia="zh-CN"/>
              </w:rPr>
              <w:t>烟囱</w:t>
            </w:r>
            <w:r>
              <w:rPr>
                <w:rFonts w:hint="default" w:ascii="Times New Roman" w:hAnsi="Times New Roman" w:cs="Times New Roman"/>
                <w:color w:val="auto"/>
                <w:sz w:val="21"/>
                <w:szCs w:val="21"/>
                <w:highlight w:val="none"/>
                <w:lang w:val="en-US" w:eastAsia="zh-CN"/>
              </w:rPr>
              <w:t>排放。</w:t>
            </w:r>
            <w:r>
              <w:rPr>
                <w:rFonts w:hint="eastAsia" w:ascii="Times New Roman" w:hAnsi="Times New Roman" w:cs="Times New Roman"/>
                <w:color w:val="auto"/>
                <w:sz w:val="21"/>
                <w:szCs w:val="21"/>
                <w:highlight w:val="none"/>
                <w:lang w:val="en-US" w:eastAsia="zh-CN"/>
              </w:rPr>
              <w:t>生物质</w:t>
            </w:r>
            <w:r>
              <w:rPr>
                <w:rFonts w:hint="default" w:ascii="Times New Roman" w:hAnsi="Times New Roman" w:cs="Times New Roman"/>
                <w:color w:val="auto"/>
                <w:sz w:val="21"/>
                <w:szCs w:val="21"/>
                <w:highlight w:val="none"/>
                <w:lang w:val="en-US" w:eastAsia="zh-CN"/>
              </w:rPr>
              <w:t>燃料热值取</w:t>
            </w:r>
            <w:r>
              <w:rPr>
                <w:rFonts w:hint="eastAsia" w:cs="Times New Roman"/>
                <w:color w:val="auto"/>
                <w:sz w:val="21"/>
                <w:szCs w:val="21"/>
                <w:highlight w:val="none"/>
                <w:lang w:val="en-US" w:eastAsia="zh-CN"/>
              </w:rPr>
              <w:t>9.58</w:t>
            </w:r>
            <w:r>
              <w:rPr>
                <w:rFonts w:hint="default" w:ascii="Times New Roman" w:hAnsi="Times New Roman" w:cs="Times New Roman"/>
                <w:color w:val="auto"/>
                <w:sz w:val="21"/>
                <w:szCs w:val="21"/>
                <w:highlight w:val="none"/>
                <w:lang w:val="en-US" w:eastAsia="zh-CN"/>
              </w:rPr>
              <w:t>MJ/kg，热风炉热效率为</w:t>
            </w:r>
            <w:r>
              <w:rPr>
                <w:rFonts w:hint="eastAsia" w:ascii="Times New Roman" w:hAnsi="Times New Roman" w:cs="Times New Roman"/>
                <w:color w:val="auto"/>
                <w:sz w:val="21"/>
                <w:szCs w:val="21"/>
                <w:highlight w:val="none"/>
                <w:lang w:val="en-US" w:eastAsia="zh-CN"/>
              </w:rPr>
              <w:t>80</w:t>
            </w:r>
            <w:r>
              <w:rPr>
                <w:rFonts w:hint="default" w:ascii="Times New Roman" w:hAnsi="Times New Roman" w:cs="Times New Roman"/>
                <w:color w:val="auto"/>
                <w:sz w:val="21"/>
                <w:szCs w:val="21"/>
                <w:highlight w:val="none"/>
                <w:lang w:val="en-US" w:eastAsia="zh-CN"/>
              </w:rPr>
              <w:t>%，参考尹协镇《粮食烘干过程中不同外部条件对烘干能耗的影响》，每烘干1kg水能耗取5400kJ/kg。</w:t>
            </w:r>
          </w:p>
          <w:p w14:paraId="075CE9E7">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本项目水分蒸发量依据W=G（ω1-ω2）/（100-ω2）进行计算。</w:t>
            </w:r>
          </w:p>
          <w:p w14:paraId="1681AE17">
            <w:pPr>
              <w:pStyle w:val="3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1260" w:firstLineChars="6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W：水分蒸发量</w:t>
            </w:r>
          </w:p>
          <w:p w14:paraId="59373132">
            <w:pPr>
              <w:pStyle w:val="3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1260" w:firstLineChars="6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G：处理量（</w:t>
            </w:r>
            <w:r>
              <w:rPr>
                <w:rFonts w:hint="eastAsia" w:cs="Times New Roman"/>
                <w:color w:val="auto"/>
                <w:sz w:val="21"/>
                <w:szCs w:val="21"/>
                <w:highlight w:val="none"/>
                <w:lang w:val="en-US" w:eastAsia="zh-CN"/>
              </w:rPr>
              <w:t>玉米20000</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lang w:val="en-US" w:eastAsia="zh-CN"/>
              </w:rPr>
              <w:t>）</w:t>
            </w:r>
          </w:p>
          <w:p w14:paraId="335143F8">
            <w:pPr>
              <w:pStyle w:val="3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1260" w:firstLineChars="6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ω1：进料含水量百分数（</w:t>
            </w:r>
            <w:r>
              <w:rPr>
                <w:rFonts w:hint="eastAsia" w:ascii="Times New Roman" w:hAnsi="Times New Roman" w:cs="Times New Roman"/>
                <w:color w:val="auto"/>
                <w:sz w:val="21"/>
                <w:szCs w:val="21"/>
                <w:highlight w:val="none"/>
                <w:lang w:val="en-US" w:eastAsia="zh-CN"/>
              </w:rPr>
              <w:t>取</w:t>
            </w:r>
            <w:r>
              <w:rPr>
                <w:rFonts w:hint="eastAsia" w:cs="Times New Roman"/>
                <w:color w:val="auto"/>
                <w:sz w:val="21"/>
                <w:szCs w:val="21"/>
                <w:highlight w:val="none"/>
                <w:lang w:val="en-US" w:eastAsia="zh-CN"/>
              </w:rPr>
              <w:t>3</w:t>
            </w:r>
            <w:r>
              <w:rPr>
                <w:rFonts w:hint="eastAsia"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w:t>
            </w:r>
          </w:p>
          <w:p w14:paraId="33267B60">
            <w:pPr>
              <w:pStyle w:val="3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1260" w:firstLineChars="6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ω2：出料含水量百分数（</w:t>
            </w:r>
            <w:r>
              <w:rPr>
                <w:rFonts w:hint="eastAsia" w:ascii="Times New Roman" w:hAnsi="Times New Roman" w:cs="Times New Roman"/>
                <w:color w:val="auto"/>
                <w:sz w:val="21"/>
                <w:szCs w:val="21"/>
                <w:highlight w:val="none"/>
                <w:lang w:val="en-US" w:eastAsia="zh-CN"/>
              </w:rPr>
              <w:t>取1</w:t>
            </w:r>
            <w:r>
              <w:rPr>
                <w:rFonts w:hint="eastAsia" w:cs="Times New Roman"/>
                <w:color w:val="auto"/>
                <w:sz w:val="21"/>
                <w:szCs w:val="21"/>
                <w:highlight w:val="none"/>
                <w:lang w:val="en-US" w:eastAsia="zh-CN"/>
              </w:rPr>
              <w:t>2</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w:t>
            </w:r>
          </w:p>
          <w:p w14:paraId="1F0B56FE">
            <w:pPr>
              <w:pStyle w:val="3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w:t>
            </w:r>
            <w:r>
              <w:rPr>
                <w:rFonts w:hint="eastAsia" w:cs="Times New Roman"/>
                <w:color w:val="auto"/>
                <w:sz w:val="21"/>
                <w:szCs w:val="21"/>
                <w:highlight w:val="none"/>
                <w:lang w:val="en-US" w:eastAsia="zh-CN"/>
              </w:rPr>
              <w:t>玉米烘干</w:t>
            </w:r>
            <w:r>
              <w:rPr>
                <w:rFonts w:hint="default" w:ascii="Times New Roman" w:hAnsi="Times New Roman" w:cs="Times New Roman"/>
                <w:color w:val="auto"/>
                <w:sz w:val="21"/>
                <w:szCs w:val="21"/>
                <w:highlight w:val="none"/>
                <w:lang w:val="en-US" w:eastAsia="zh-CN"/>
              </w:rPr>
              <w:t>水分蒸发</w:t>
            </w:r>
            <w:r>
              <w:rPr>
                <w:rFonts w:hint="eastAsia" w:cs="Times New Roman"/>
                <w:color w:val="auto"/>
                <w:sz w:val="21"/>
                <w:szCs w:val="21"/>
                <w:highlight w:val="none"/>
                <w:lang w:val="en-US" w:eastAsia="zh-CN"/>
              </w:rPr>
              <w:t>总</w:t>
            </w:r>
            <w:r>
              <w:rPr>
                <w:rFonts w:hint="default" w:ascii="Times New Roman" w:hAnsi="Times New Roman" w:cs="Times New Roman"/>
                <w:color w:val="auto"/>
                <w:sz w:val="21"/>
                <w:szCs w:val="21"/>
                <w:highlight w:val="none"/>
                <w:lang w:val="en-US" w:eastAsia="zh-CN"/>
              </w:rPr>
              <w:t>量为：W=</w:t>
            </w:r>
            <w:r>
              <w:rPr>
                <w:rFonts w:hint="eastAsia" w:cs="Times New Roman"/>
                <w:color w:val="auto"/>
                <w:sz w:val="21"/>
                <w:szCs w:val="21"/>
                <w:highlight w:val="none"/>
                <w:lang w:val="en-US" w:eastAsia="zh-CN"/>
              </w:rPr>
              <w:t>4090.9</w:t>
            </w:r>
            <w:r>
              <w:rPr>
                <w:rFonts w:hint="default" w:ascii="Times New Roman" w:hAnsi="Times New Roman" w:cs="Times New Roman"/>
                <w:color w:val="auto"/>
                <w:sz w:val="21"/>
                <w:szCs w:val="21"/>
                <w:highlight w:val="none"/>
                <w:lang w:val="en-US" w:eastAsia="zh-CN"/>
              </w:rPr>
              <w:t>t/a</w:t>
            </w:r>
            <w:r>
              <w:rPr>
                <w:rFonts w:hint="eastAsia" w:cs="Times New Roman"/>
                <w:color w:val="auto"/>
                <w:sz w:val="21"/>
                <w:szCs w:val="21"/>
                <w:highlight w:val="none"/>
                <w:lang w:val="en-US" w:eastAsia="zh-CN"/>
              </w:rPr>
              <w:t>.</w:t>
            </w:r>
          </w:p>
          <w:p w14:paraId="69302908">
            <w:pPr>
              <w:pStyle w:val="3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烘干能耗为E=</w:t>
            </w:r>
            <w:r>
              <w:rPr>
                <w:rFonts w:hint="eastAsia" w:ascii="Times New Roman" w:hAnsi="Times New Roman" w:cs="Times New Roman"/>
                <w:color w:val="auto"/>
                <w:sz w:val="21"/>
                <w:szCs w:val="21"/>
                <w:highlight w:val="none"/>
                <w:lang w:val="en-US" w:eastAsia="zh-CN"/>
              </w:rPr>
              <w:t>W</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能耗</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2.2091</w:t>
            </w:r>
            <w:r>
              <w:rPr>
                <w:rFonts w:hint="default" w:ascii="Times New Roman" w:hAnsi="Times New Roman" w:cs="Times New Roman"/>
                <w:color w:val="auto"/>
                <w:sz w:val="21"/>
                <w:szCs w:val="21"/>
                <w:highlight w:val="none"/>
                <w:lang w:val="en-US" w:eastAsia="zh-CN"/>
              </w:rPr>
              <w:t>×10</w:t>
            </w:r>
            <w:r>
              <w:rPr>
                <w:rFonts w:hint="eastAsia" w:cs="Times New Roman"/>
                <w:color w:val="auto"/>
                <w:sz w:val="21"/>
                <w:szCs w:val="21"/>
                <w:highlight w:val="none"/>
                <w:vertAlign w:val="superscript"/>
                <w:lang w:val="en-US" w:eastAsia="zh-CN"/>
              </w:rPr>
              <w:t>10</w:t>
            </w:r>
            <w:r>
              <w:rPr>
                <w:rFonts w:hint="eastAsia" w:ascii="Times New Roman" w:hAnsi="Times New Roman" w:cs="Times New Roman"/>
                <w:color w:val="auto"/>
                <w:sz w:val="21"/>
                <w:szCs w:val="21"/>
                <w:highlight w:val="none"/>
                <w:lang w:val="en-US" w:eastAsia="zh-CN"/>
              </w:rPr>
              <w:t>k</w:t>
            </w:r>
            <w:r>
              <w:rPr>
                <w:rFonts w:hint="default" w:ascii="Times New Roman" w:hAnsi="Times New Roman" w:cs="Times New Roman"/>
                <w:color w:val="auto"/>
                <w:sz w:val="21"/>
                <w:szCs w:val="21"/>
                <w:highlight w:val="none"/>
                <w:lang w:val="en-US" w:eastAsia="zh-CN"/>
              </w:rPr>
              <w:t>J</w:t>
            </w:r>
          </w:p>
          <w:p w14:paraId="6492C85D">
            <w:pPr>
              <w:pStyle w:val="3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燃料消耗量=</w:t>
            </w:r>
            <w:r>
              <w:rPr>
                <w:rFonts w:hint="eastAsia" w:ascii="Times New Roman" w:hAnsi="Times New Roman" w:cs="Times New Roman"/>
                <w:color w:val="auto"/>
                <w:sz w:val="21"/>
                <w:szCs w:val="21"/>
                <w:highlight w:val="none"/>
                <w:lang w:val="en-US" w:eastAsia="zh-CN"/>
              </w:rPr>
              <w:t>E</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热值</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热效率</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2882.4</w:t>
            </w:r>
            <w:r>
              <w:rPr>
                <w:rFonts w:hint="default" w:ascii="Times New Roman" w:hAnsi="Times New Roman" w:cs="Times New Roman"/>
                <w:color w:val="auto"/>
                <w:sz w:val="21"/>
                <w:szCs w:val="21"/>
                <w:highlight w:val="none"/>
                <w:lang w:val="en-US" w:eastAsia="zh-CN"/>
              </w:rPr>
              <w:t>t/a</w:t>
            </w:r>
          </w:p>
          <w:p w14:paraId="4CDC92B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cs="Times New Roman"/>
                <w:bCs/>
                <w:color w:val="auto"/>
                <w:szCs w:val="21"/>
                <w:highlight w:val="none"/>
              </w:rPr>
            </w:pPr>
            <w:r>
              <w:rPr>
                <w:rFonts w:hint="default" w:ascii="Times New Roman" w:hAnsi="Times New Roman" w:eastAsia="宋体" w:cs="Times New Roman"/>
                <w:color w:val="auto"/>
                <w:sz w:val="21"/>
                <w:szCs w:val="21"/>
                <w:highlight w:val="none"/>
              </w:rPr>
              <w:t>综上，本项目</w:t>
            </w:r>
            <w:r>
              <w:rPr>
                <w:rFonts w:hint="eastAsia" w:cs="Times New Roman"/>
                <w:color w:val="auto"/>
                <w:sz w:val="21"/>
                <w:szCs w:val="21"/>
                <w:highlight w:val="none"/>
                <w:lang w:val="en-US" w:eastAsia="zh-CN"/>
              </w:rPr>
              <w:t>生物质</w:t>
            </w:r>
            <w:r>
              <w:rPr>
                <w:rFonts w:hint="default" w:ascii="Times New Roman" w:hAnsi="Times New Roman" w:eastAsia="宋体" w:cs="Times New Roman"/>
                <w:color w:val="auto"/>
                <w:sz w:val="21"/>
                <w:szCs w:val="21"/>
                <w:highlight w:val="none"/>
              </w:rPr>
              <w:t>燃料</w:t>
            </w:r>
            <w:r>
              <w:rPr>
                <w:rFonts w:hint="default" w:ascii="Times New Roman" w:hAnsi="Times New Roman"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rPr>
              <w:t>量为</w:t>
            </w:r>
            <w:r>
              <w:rPr>
                <w:rFonts w:hint="eastAsia" w:cs="Times New Roman"/>
                <w:color w:val="auto"/>
                <w:sz w:val="21"/>
                <w:szCs w:val="21"/>
                <w:highlight w:val="none"/>
                <w:lang w:val="en-US" w:eastAsia="zh-CN"/>
              </w:rPr>
              <w:t>2882.4</w:t>
            </w:r>
            <w:r>
              <w:rPr>
                <w:rFonts w:hint="default" w:ascii="Times New Roman" w:hAnsi="Times New Roman"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p>
          <w:p w14:paraId="01894331">
            <w:pPr>
              <w:pStyle w:val="151"/>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textAlignment w:val="auto"/>
              <w:rPr>
                <w:rFonts w:hint="eastAsia"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生物质燃料</w:t>
            </w:r>
            <w:r>
              <w:rPr>
                <w:rFonts w:hint="default" w:ascii="Times New Roman" w:hAnsi="Times New Roman" w:eastAsia="宋体" w:cs="Times New Roman"/>
                <w:color w:val="000000" w:themeColor="text1"/>
                <w14:textFill>
                  <w14:solidFill>
                    <w14:schemeClr w14:val="tx1"/>
                  </w14:solidFill>
                </w14:textFill>
              </w:rPr>
              <w:t>检测元素成分分析满足《污染源源强核算技术指南 锅炉》（HJ991-2018）</w:t>
            </w:r>
            <w:r>
              <w:rPr>
                <w:rFonts w:hint="eastAsia" w:ascii="宋体" w:hAnsi="宋体" w:eastAsia="宋体" w:cs="宋体"/>
                <w:color w:val="000000" w:themeColor="text1"/>
                <w14:textFill>
                  <w14:solidFill>
                    <w14:schemeClr w14:val="tx1"/>
                  </w14:solidFill>
                </w14:textFill>
              </w:rPr>
              <w:t>“有</w:t>
            </w:r>
            <w:r>
              <w:rPr>
                <w:rFonts w:hint="default" w:ascii="Times New Roman" w:hAnsi="Times New Roman" w:eastAsia="宋体" w:cs="Times New Roman"/>
                <w:color w:val="000000" w:themeColor="text1"/>
                <w14:textFill>
                  <w14:solidFill>
                    <w14:schemeClr w14:val="tx1"/>
                  </w14:solidFill>
                </w14:textFill>
              </w:rPr>
              <w:t>元素成分分析时理论空气量用式（C.2）计算</w:t>
            </w:r>
            <w:r>
              <w:rPr>
                <w:rFonts w:hint="eastAsia" w:ascii="宋体" w:hAnsi="宋体" w:eastAsia="宋体" w:cs="宋体"/>
                <w:color w:val="000000" w:themeColor="text1"/>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的要求，故本项目烟气量根</w:t>
            </w:r>
            <w:r>
              <w:rPr>
                <w:rFonts w:hint="eastAsia" w:ascii="宋体" w:hAnsi="宋体" w:eastAsia="宋体" w:cs="宋体"/>
                <w:color w:val="000000" w:themeColor="text1"/>
                <w14:textFill>
                  <w14:solidFill>
                    <w14:schemeClr w14:val="tx1"/>
                  </w14:solidFill>
                </w14:textFill>
              </w:rPr>
              <w:t>据“</w:t>
            </w:r>
            <w:r>
              <w:rPr>
                <w:rFonts w:hint="default" w:ascii="Times New Roman" w:hAnsi="Times New Roman" w:eastAsia="宋体" w:cs="Times New Roman"/>
                <w:color w:val="000000" w:themeColor="text1"/>
                <w14:textFill>
                  <w14:solidFill>
                    <w14:schemeClr w14:val="tx1"/>
                  </w14:solidFill>
                </w14:textFill>
              </w:rPr>
              <w:t>C.2</w:t>
            </w:r>
            <w:r>
              <w:rPr>
                <w:rFonts w:hint="eastAsia" w:ascii="宋体" w:hAnsi="宋体" w:eastAsia="宋体" w:cs="宋体"/>
                <w:color w:val="000000" w:themeColor="text1"/>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进行核算。</w:t>
            </w:r>
          </w:p>
          <w:p w14:paraId="3EA6E7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outlineLvl w:val="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w:t>
            </w:r>
            <w:r>
              <w:rPr>
                <w:rFonts w:hint="default" w:ascii="Times New Roman" w:hAnsi="Times New Roman" w:eastAsia="宋体" w:cs="Times New Roman"/>
                <w:snapToGrid w:val="0"/>
                <w:color w:val="auto"/>
                <w:sz w:val="21"/>
                <w:szCs w:val="21"/>
                <w:highlight w:val="none"/>
              </w:rPr>
              <w:t>烟气</w:t>
            </w:r>
            <w:r>
              <w:rPr>
                <w:rFonts w:hint="default" w:ascii="Times New Roman" w:hAnsi="Times New Roman" w:eastAsia="宋体" w:cs="Times New Roman"/>
                <w:color w:val="auto"/>
                <w:sz w:val="21"/>
                <w:szCs w:val="21"/>
                <w:highlight w:val="none"/>
              </w:rPr>
              <w:t>排放量</w:t>
            </w:r>
            <w:r>
              <w:rPr>
                <w:rFonts w:hint="default" w:ascii="Times New Roman" w:hAnsi="Times New Roman" w:eastAsia="宋体" w:cs="Times New Roman"/>
                <w:snapToGrid w:val="0"/>
                <w:color w:val="auto"/>
                <w:sz w:val="21"/>
                <w:szCs w:val="21"/>
                <w:highlight w:val="none"/>
              </w:rPr>
              <w:t>：</w:t>
            </w:r>
          </w:p>
          <w:p w14:paraId="056F4FEA">
            <w:pPr>
              <w:pStyle w:val="151"/>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textAlignment w:val="auto"/>
              <w:rPr>
                <w:rFonts w:hint="default" w:ascii="Times New Roman" w:hAnsi="Times New Roman" w:eastAsia="宋体" w:cs="Times New Roman"/>
                <w:color w:val="000000" w:themeColor="text1"/>
                <w:sz w:val="21"/>
                <w:szCs w:val="21"/>
                <w:lang w:val="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根据《污染源源强核算技术指南 锅炉》（HJ991-2018），</w:t>
            </w:r>
            <w:r>
              <w:rPr>
                <w:rFonts w:hint="default" w:ascii="Times New Roman" w:hAnsi="Times New Roman" w:eastAsia="宋体" w:cs="Times New Roman"/>
                <w:color w:val="FF0000"/>
                <w:sz w:val="21"/>
                <w:szCs w:val="21"/>
              </w:rPr>
              <w:t>本项目</w:t>
            </w:r>
            <w:r>
              <w:rPr>
                <w:rFonts w:hint="eastAsia" w:cs="Times New Roman"/>
                <w:color w:val="FF0000"/>
                <w:sz w:val="21"/>
                <w:szCs w:val="21"/>
                <w:lang w:val="en-US" w:eastAsia="zh-CN"/>
              </w:rPr>
              <w:t>热风炉</w:t>
            </w:r>
            <w:r>
              <w:rPr>
                <w:rFonts w:hint="default" w:ascii="Times New Roman" w:hAnsi="Times New Roman" w:eastAsia="宋体" w:cs="Times New Roman"/>
                <w:color w:val="FF0000"/>
                <w:sz w:val="21"/>
                <w:szCs w:val="21"/>
              </w:rPr>
              <w:t>烟气中烟气量采用经验公式法</w:t>
            </w:r>
            <w:r>
              <w:rPr>
                <w:rFonts w:hint="default" w:ascii="Times New Roman" w:hAnsi="Times New Roman" w:eastAsia="宋体" w:cs="Times New Roman"/>
                <w:color w:val="000000" w:themeColor="text1"/>
                <w:sz w:val="21"/>
                <w:szCs w:val="21"/>
                <w14:textFill>
                  <w14:solidFill>
                    <w14:schemeClr w14:val="tx1"/>
                  </w14:solidFill>
                </w14:textFill>
              </w:rPr>
              <w:t>，按照《排污许可证申请与核发技术规范 锅炉》（HJ953-2018）中理论公式计算法</w:t>
            </w:r>
            <w:r>
              <w:rPr>
                <w:rFonts w:hint="default" w:ascii="Times New Roman" w:hAnsi="Times New Roman" w:eastAsia="宋体" w:cs="Times New Roman"/>
                <w:color w:val="000000" w:themeColor="text1"/>
                <w:sz w:val="21"/>
                <w:szCs w:val="21"/>
                <w:lang w:val="zh-CN"/>
                <w14:textFill>
                  <w14:solidFill>
                    <w14:schemeClr w14:val="tx1"/>
                  </w14:solidFill>
                </w14:textFill>
              </w:rPr>
              <w:t>。</w:t>
            </w:r>
          </w:p>
          <w:p w14:paraId="7011E95A">
            <w:pPr>
              <w:pStyle w:val="151"/>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drawing>
                <wp:inline distT="0" distB="0" distL="114300" distR="114300">
                  <wp:extent cx="4529455" cy="916940"/>
                  <wp:effectExtent l="0" t="0" r="4445" b="1651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16"/>
                          <a:stretch>
                            <a:fillRect/>
                          </a:stretch>
                        </pic:blipFill>
                        <pic:spPr>
                          <a:xfrm>
                            <a:off x="0" y="0"/>
                            <a:ext cx="4529455" cy="916940"/>
                          </a:xfrm>
                          <a:prstGeom prst="rect">
                            <a:avLst/>
                          </a:prstGeom>
                          <a:noFill/>
                          <a:ln>
                            <a:noFill/>
                          </a:ln>
                        </pic:spPr>
                      </pic:pic>
                    </a:graphicData>
                  </a:graphic>
                </wp:inline>
              </w:drawing>
            </w:r>
          </w:p>
          <w:p w14:paraId="4DB081D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式中：V</w:t>
            </w:r>
            <w:r>
              <w:rPr>
                <w:rFonts w:hint="default" w:ascii="Times New Roman" w:hAnsi="Times New Roman" w:eastAsia="宋体" w:cs="Times New Roman"/>
                <w:color w:val="000000" w:themeColor="text1"/>
                <w:sz w:val="21"/>
                <w:szCs w:val="21"/>
                <w:vertAlign w:val="subscript"/>
                <w14:textFill>
                  <w14:solidFill>
                    <w14:schemeClr w14:val="tx1"/>
                  </w14:solidFill>
                </w14:textFill>
              </w:rPr>
              <w:t>0</w:t>
            </w:r>
            <w:r>
              <w:rPr>
                <w:rFonts w:hint="default" w:ascii="Times New Roman" w:hAnsi="Times New Roman" w:eastAsia="宋体" w:cs="Times New Roman"/>
                <w:color w:val="000000" w:themeColor="text1"/>
                <w:sz w:val="21"/>
                <w:szCs w:val="21"/>
                <w14:textFill>
                  <w14:solidFill>
                    <w14:schemeClr w14:val="tx1"/>
                  </w14:solidFill>
                </w14:textFill>
              </w:rPr>
              <w:t>——理论空气量，标立方米/千克；；</w:t>
            </w:r>
          </w:p>
          <w:p w14:paraId="4F52ABB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1050" w:firstLineChars="50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V</w:t>
            </w:r>
            <w:r>
              <w:rPr>
                <w:rFonts w:hint="default" w:ascii="Times New Roman" w:hAnsi="Times New Roman" w:eastAsia="宋体" w:cs="Times New Roman"/>
                <w:color w:val="000000" w:themeColor="text1"/>
                <w:sz w:val="21"/>
                <w:szCs w:val="21"/>
                <w:vertAlign w:val="subscript"/>
                <w14:textFill>
                  <w14:solidFill>
                    <w14:schemeClr w14:val="tx1"/>
                  </w14:solidFill>
                </w14:textFill>
              </w:rPr>
              <w:t>gy</w:t>
            </w:r>
            <w:r>
              <w:rPr>
                <w:rFonts w:hint="default" w:ascii="Times New Roman" w:hAnsi="Times New Roman" w:eastAsia="宋体" w:cs="Times New Roman"/>
                <w:color w:val="000000" w:themeColor="text1"/>
                <w:sz w:val="21"/>
                <w:szCs w:val="21"/>
                <w14:textFill>
                  <w14:solidFill>
                    <w14:schemeClr w14:val="tx1"/>
                  </w14:solidFill>
                </w14:textFill>
              </w:rPr>
              <w:t>—基准烟气量，标立方米/千克；</w:t>
            </w:r>
          </w:p>
          <w:p w14:paraId="366B883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1050" w:firstLineChars="50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w:t>
            </w:r>
            <w:r>
              <w:rPr>
                <w:rFonts w:hint="default" w:ascii="Times New Roman" w:hAnsi="Times New Roman" w:eastAsia="宋体" w:cs="Times New Roman"/>
                <w:color w:val="000000" w:themeColor="text1"/>
                <w:sz w:val="21"/>
                <w:szCs w:val="21"/>
                <w:vertAlign w:val="subscript"/>
                <w14:textFill>
                  <w14:solidFill>
                    <w14:schemeClr w14:val="tx1"/>
                  </w14:solidFill>
                </w14:textFill>
              </w:rPr>
              <w:t>ar</w:t>
            </w:r>
            <w:r>
              <w:rPr>
                <w:rFonts w:hint="default" w:ascii="Times New Roman" w:hAnsi="Times New Roman" w:eastAsia="宋体" w:cs="Times New Roman"/>
                <w:color w:val="000000" w:themeColor="text1"/>
                <w:sz w:val="21"/>
                <w:szCs w:val="21"/>
                <w14:textFill>
                  <w14:solidFill>
                    <w14:schemeClr w14:val="tx1"/>
                  </w14:solidFill>
                </w14:textFill>
              </w:rPr>
              <w:t>—收到基碳含量，百分比；</w:t>
            </w:r>
          </w:p>
          <w:p w14:paraId="5669D4D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1050" w:firstLineChars="50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S</w:t>
            </w:r>
            <w:r>
              <w:rPr>
                <w:rFonts w:hint="default" w:ascii="Times New Roman" w:hAnsi="Times New Roman" w:eastAsia="宋体" w:cs="Times New Roman"/>
                <w:color w:val="000000" w:themeColor="text1"/>
                <w:sz w:val="21"/>
                <w:szCs w:val="21"/>
                <w:vertAlign w:val="subscript"/>
                <w14:textFill>
                  <w14:solidFill>
                    <w14:schemeClr w14:val="tx1"/>
                  </w14:solidFill>
                </w14:textFill>
              </w:rPr>
              <w:t>ar</w:t>
            </w:r>
            <w:r>
              <w:rPr>
                <w:rFonts w:hint="default" w:ascii="Times New Roman" w:hAnsi="Times New Roman" w:eastAsia="宋体" w:cs="Times New Roman"/>
                <w:color w:val="000000" w:themeColor="text1"/>
                <w:sz w:val="21"/>
                <w:szCs w:val="21"/>
                <w14:textFill>
                  <w14:solidFill>
                    <w14:schemeClr w14:val="tx1"/>
                  </w14:solidFill>
                </w14:textFill>
              </w:rPr>
              <w:t>—收到基硫含量，百分比；</w:t>
            </w:r>
          </w:p>
          <w:p w14:paraId="3141D2B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1050" w:firstLineChars="50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w:t>
            </w:r>
            <w:r>
              <w:rPr>
                <w:rFonts w:hint="default" w:ascii="Times New Roman" w:hAnsi="Times New Roman" w:eastAsia="宋体" w:cs="Times New Roman"/>
                <w:color w:val="000000" w:themeColor="text1"/>
                <w:sz w:val="21"/>
                <w:szCs w:val="21"/>
                <w:vertAlign w:val="subscript"/>
                <w14:textFill>
                  <w14:solidFill>
                    <w14:schemeClr w14:val="tx1"/>
                  </w14:solidFill>
                </w14:textFill>
              </w:rPr>
              <w:t>ar</w:t>
            </w:r>
            <w:r>
              <w:rPr>
                <w:rFonts w:hint="default" w:ascii="Times New Roman" w:hAnsi="Times New Roman" w:eastAsia="宋体" w:cs="Times New Roman"/>
                <w:color w:val="000000" w:themeColor="text1"/>
                <w:sz w:val="21"/>
                <w:szCs w:val="21"/>
                <w14:textFill>
                  <w14:solidFill>
                    <w14:schemeClr w14:val="tx1"/>
                  </w14:solidFill>
                </w14:textFill>
              </w:rPr>
              <w:t>—收到基氮含量，百分比；</w:t>
            </w:r>
          </w:p>
          <w:p w14:paraId="3D73C7C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1050" w:firstLineChars="50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H</w:t>
            </w:r>
            <w:r>
              <w:rPr>
                <w:rFonts w:hint="default" w:ascii="Times New Roman" w:hAnsi="Times New Roman" w:eastAsia="宋体" w:cs="Times New Roman"/>
                <w:color w:val="000000" w:themeColor="text1"/>
                <w:sz w:val="21"/>
                <w:szCs w:val="21"/>
                <w:vertAlign w:val="subscript"/>
                <w14:textFill>
                  <w14:solidFill>
                    <w14:schemeClr w14:val="tx1"/>
                  </w14:solidFill>
                </w14:textFill>
              </w:rPr>
              <w:t>ar</w:t>
            </w:r>
            <w:r>
              <w:rPr>
                <w:rFonts w:hint="default" w:ascii="Times New Roman" w:hAnsi="Times New Roman" w:eastAsia="宋体" w:cs="Times New Roman"/>
                <w:color w:val="000000" w:themeColor="text1"/>
                <w:sz w:val="21"/>
                <w:szCs w:val="21"/>
                <w14:textFill>
                  <w14:solidFill>
                    <w14:schemeClr w14:val="tx1"/>
                  </w14:solidFill>
                </w14:textFill>
              </w:rPr>
              <w:t>—收到基氢含量，百分比；</w:t>
            </w:r>
          </w:p>
          <w:p w14:paraId="616EA13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1050" w:firstLineChars="50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O</w:t>
            </w:r>
            <w:r>
              <w:rPr>
                <w:rFonts w:hint="default" w:ascii="Times New Roman" w:hAnsi="Times New Roman" w:eastAsia="宋体" w:cs="Times New Roman"/>
                <w:color w:val="000000" w:themeColor="text1"/>
                <w:sz w:val="21"/>
                <w:szCs w:val="21"/>
                <w:vertAlign w:val="subscript"/>
                <w14:textFill>
                  <w14:solidFill>
                    <w14:schemeClr w14:val="tx1"/>
                  </w14:solidFill>
                </w14:textFill>
              </w:rPr>
              <w:t>ar</w:t>
            </w:r>
            <w:r>
              <w:rPr>
                <w:rFonts w:hint="default" w:ascii="Times New Roman" w:hAnsi="Times New Roman" w:eastAsia="宋体" w:cs="Times New Roman"/>
                <w:color w:val="000000" w:themeColor="text1"/>
                <w:sz w:val="21"/>
                <w:szCs w:val="21"/>
                <w14:textFill>
                  <w14:solidFill>
                    <w14:schemeClr w14:val="tx1"/>
                  </w14:solidFill>
                </w14:textFill>
              </w:rPr>
              <w:t>—收到基氧含量，百分比；</w:t>
            </w:r>
          </w:p>
          <w:p w14:paraId="4C355CF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630" w:firstLineChars="30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α—过量空气系数，燃料燃烧时实际空气供给量与理论空气需要量之比值，燃生物质锅炉的过量空气系数为1.75，对应基准氧含量分别为9%。</w:t>
            </w:r>
          </w:p>
          <w:p w14:paraId="025AAAC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经计算，本项目</w:t>
            </w:r>
            <w:r>
              <w:rPr>
                <w:rFonts w:hint="eastAsia" w:cs="Times New Roman"/>
                <w:color w:val="000000" w:themeColor="text1"/>
                <w:sz w:val="21"/>
                <w:szCs w:val="21"/>
                <w:lang w:val="en-US" w:eastAsia="zh-CN"/>
                <w14:textFill>
                  <w14:solidFill>
                    <w14:schemeClr w14:val="tx1"/>
                  </w14:solidFill>
                </w14:textFill>
              </w:rPr>
              <w:t>热风炉</w:t>
            </w:r>
            <w:r>
              <w:rPr>
                <w:rFonts w:hint="default" w:ascii="Times New Roman" w:hAnsi="Times New Roman" w:eastAsia="宋体" w:cs="Times New Roman"/>
                <w:color w:val="000000" w:themeColor="text1"/>
                <w:sz w:val="21"/>
                <w:szCs w:val="21"/>
                <w14:textFill>
                  <w14:solidFill>
                    <w14:schemeClr w14:val="tx1"/>
                  </w14:solidFill>
                </w14:textFill>
              </w:rPr>
              <w:t>燃生物质基准烟气量V</w:t>
            </w:r>
            <w:r>
              <w:rPr>
                <w:rFonts w:hint="default" w:ascii="Times New Roman" w:hAnsi="Times New Roman" w:eastAsia="宋体" w:cs="Times New Roman"/>
                <w:color w:val="000000" w:themeColor="text1"/>
                <w:sz w:val="21"/>
                <w:szCs w:val="21"/>
                <w:vertAlign w:val="subscript"/>
                <w14:textFill>
                  <w14:solidFill>
                    <w14:schemeClr w14:val="tx1"/>
                  </w14:solidFill>
                </w14:textFill>
              </w:rPr>
              <w:t>gy</w:t>
            </w:r>
            <w:r>
              <w:rPr>
                <w:rFonts w:hint="default" w:ascii="Times New Roman" w:hAnsi="Times New Roman" w:eastAsia="宋体" w:cs="Times New Roman"/>
                <w:color w:val="000000" w:themeColor="text1"/>
                <w:sz w:val="21"/>
                <w:szCs w:val="21"/>
                <w14:textFill>
                  <w14:solidFill>
                    <w14:schemeClr w14:val="tx1"/>
                  </w14:solidFill>
                </w14:textFill>
              </w:rPr>
              <w:t>为4.6354m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/kg，</w:t>
            </w:r>
            <w:r>
              <w:rPr>
                <w:rFonts w:hint="eastAsia" w:cs="Times New Roman"/>
                <w:color w:val="000000" w:themeColor="text1"/>
                <w:sz w:val="21"/>
                <w:szCs w:val="21"/>
                <w:lang w:val="en-US" w:eastAsia="zh-CN"/>
                <w14:textFill>
                  <w14:solidFill>
                    <w14:schemeClr w14:val="tx1"/>
                  </w14:solidFill>
                </w14:textFill>
              </w:rPr>
              <w:t>热风炉</w:t>
            </w:r>
            <w:r>
              <w:rPr>
                <w:rFonts w:hint="default" w:ascii="Times New Roman" w:hAnsi="Times New Roman" w:eastAsia="宋体" w:cs="Times New Roman"/>
                <w:color w:val="000000" w:themeColor="text1"/>
                <w:sz w:val="21"/>
                <w:szCs w:val="21"/>
                <w14:textFill>
                  <w14:solidFill>
                    <w14:schemeClr w14:val="tx1"/>
                  </w14:solidFill>
                </w14:textFill>
              </w:rPr>
              <w:t>燃生物质消耗量</w:t>
            </w:r>
            <w:r>
              <w:rPr>
                <w:rStyle w:val="175"/>
                <w:rFonts w:hint="default" w:ascii="Times New Roman" w:hAnsi="Times New Roman" w:eastAsia="宋体" w:cs="Times New Roman"/>
                <w:color w:val="000000" w:themeColor="text1"/>
                <w:sz w:val="21"/>
                <w:szCs w:val="21"/>
                <w14:textFill>
                  <w14:solidFill>
                    <w14:schemeClr w14:val="tx1"/>
                  </w14:solidFill>
                </w14:textFill>
              </w:rPr>
              <w:t>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1201</w:t>
            </w:r>
            <w:r>
              <w:rPr>
                <w:rStyle w:val="175"/>
                <w:rFonts w:hint="default" w:ascii="Times New Roman" w:hAnsi="Times New Roman" w:eastAsia="宋体" w:cs="Times New Roman"/>
                <w:color w:val="000000" w:themeColor="text1"/>
                <w:sz w:val="21"/>
                <w:szCs w:val="21"/>
                <w14:textFill>
                  <w14:solidFill>
                    <w14:schemeClr w14:val="tx1"/>
                  </w14:solidFill>
                </w14:textFill>
              </w:rPr>
              <w:t>kg/h（</w:t>
            </w:r>
            <w:r>
              <w:rPr>
                <w:rStyle w:val="175"/>
                <w:rFonts w:hint="eastAsia" w:ascii="Times New Roman" w:hAnsi="Times New Roman" w:eastAsia="宋体" w:cs="Times New Roman"/>
                <w:color w:val="000000" w:themeColor="text1"/>
                <w:sz w:val="21"/>
                <w:szCs w:val="21"/>
                <w:lang w:val="en-US" w:eastAsia="zh-CN"/>
                <w14:textFill>
                  <w14:solidFill>
                    <w14:schemeClr w14:val="tx1"/>
                  </w14:solidFill>
                </w14:textFill>
              </w:rPr>
              <w:t>2882.4</w:t>
            </w:r>
            <w:r>
              <w:rPr>
                <w:rStyle w:val="175"/>
                <w:rFonts w:hint="default" w:ascii="Times New Roman" w:hAnsi="Times New Roman" w:eastAsia="宋体" w:cs="Times New Roman"/>
                <w:color w:val="000000" w:themeColor="text1"/>
                <w:sz w:val="21"/>
                <w:szCs w:val="21"/>
                <w14:textFill>
                  <w14:solidFill>
                    <w14:schemeClr w14:val="tx1"/>
                  </w14:solidFill>
                </w14:textFill>
              </w:rPr>
              <w:t>t/a），则烟</w:t>
            </w:r>
            <w:r>
              <w:rPr>
                <w:rFonts w:hint="default" w:ascii="Times New Roman" w:hAnsi="Times New Roman" w:eastAsia="宋体" w:cs="Times New Roman"/>
                <w:color w:val="000000" w:themeColor="text1"/>
                <w:sz w:val="21"/>
                <w:szCs w:val="21"/>
                <w14:textFill>
                  <w14:solidFill>
                    <w14:schemeClr w14:val="tx1"/>
                  </w14:solidFill>
                </w14:textFill>
              </w:rPr>
              <w:t>气量为</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5566.958</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/h、</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13360698.529704</w:t>
            </w:r>
            <w:r>
              <w:rPr>
                <w:rFonts w:hint="default" w:ascii="Times New Roman" w:hAnsi="Times New Roman" w:eastAsia="宋体" w:cs="Times New Roman"/>
                <w:color w:val="000000" w:themeColor="text1"/>
                <w:sz w:val="21"/>
                <w:szCs w:val="21"/>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/a。</w:t>
            </w:r>
          </w:p>
          <w:p w14:paraId="12A4A9F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②颗粒物排放量</w:t>
            </w:r>
          </w:p>
          <w:p w14:paraId="5E4C225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56"/>
                <w:sz w:val="21"/>
                <w:szCs w:val="21"/>
                <w:highlight w:val="none"/>
              </w:rPr>
              <w:object>
                <v:shape id="_x0000_i1025" o:spt="75" type="#_x0000_t75" style="height:43.8pt;width:149.25pt;" o:ole="t" filled="f" o:preferrelative="t" stroked="f" coordsize="21600,21600">
                  <v:path/>
                  <v:fill on="f" focussize="0,0"/>
                  <v:stroke on="f"/>
                  <v:imagedata r:id="rId18" o:title=""/>
                  <o:lock v:ext="edit" aspectratio="t"/>
                  <w10:wrap type="none"/>
                  <w10:anchorlock/>
                </v:shape>
                <o:OLEObject Type="Embed" ProgID="Equations" ShapeID="_x0000_i1025" DrawAspect="Content" ObjectID="_1468075725" r:id="rId17">
                  <o:LockedField>false</o:LockedField>
                </o:OLEObject>
              </w:object>
            </w:r>
          </w:p>
          <w:p w14:paraId="6B848A9E">
            <w:pPr>
              <w:pStyle w:val="33"/>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式中：E</w:t>
            </w:r>
            <w:r>
              <w:rPr>
                <w:rFonts w:hint="default" w:ascii="Times New Roman" w:hAnsi="Times New Roman" w:eastAsia="宋体" w:cs="Times New Roman"/>
                <w:color w:val="auto"/>
                <w:sz w:val="21"/>
                <w:szCs w:val="21"/>
                <w:highlight w:val="none"/>
                <w:vertAlign w:val="subscript"/>
              </w:rPr>
              <w:t>A</w:t>
            </w:r>
            <w:r>
              <w:rPr>
                <w:rFonts w:hint="default" w:ascii="Times New Roman" w:hAnsi="Times New Roman" w:eastAsia="宋体" w:cs="Times New Roman"/>
                <w:color w:val="auto"/>
                <w:sz w:val="21"/>
                <w:szCs w:val="21"/>
                <w:highlight w:val="none"/>
              </w:rPr>
              <w:t>----核算时段内颗粒物排放量，t；</w:t>
            </w:r>
          </w:p>
          <w:p w14:paraId="389109B7">
            <w:pPr>
              <w:pStyle w:val="33"/>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R----核算时段内燃料耗量，</w:t>
            </w:r>
            <w:r>
              <w:rPr>
                <w:rFonts w:hint="eastAsia" w:cs="Times New Roman"/>
                <w:color w:val="auto"/>
                <w:sz w:val="21"/>
                <w:szCs w:val="21"/>
                <w:highlight w:val="none"/>
                <w:lang w:val="en-US" w:eastAsia="zh-CN"/>
              </w:rPr>
              <w:t>2882.4</w:t>
            </w:r>
            <w:r>
              <w:rPr>
                <w:rFonts w:hint="default" w:ascii="Times New Roman" w:hAnsi="Times New Roman" w:eastAsia="宋体" w:cs="Times New Roman"/>
                <w:color w:val="auto"/>
                <w:sz w:val="21"/>
                <w:szCs w:val="21"/>
                <w:highlight w:val="none"/>
              </w:rPr>
              <w:t>t/a；</w:t>
            </w:r>
          </w:p>
          <w:p w14:paraId="16BB694F">
            <w:pPr>
              <w:pStyle w:val="33"/>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vertAlign w:val="subscript"/>
              </w:rPr>
              <w:t>ar</w:t>
            </w:r>
            <w:r>
              <w:rPr>
                <w:rFonts w:hint="default" w:ascii="Times New Roman" w:hAnsi="Times New Roman" w:eastAsia="宋体" w:cs="Times New Roman"/>
                <w:color w:val="auto"/>
                <w:sz w:val="21"/>
                <w:szCs w:val="21"/>
                <w:highlight w:val="none"/>
              </w:rPr>
              <w:t>----收到基灰分的质量分数，%；根据生物质成分分析报告取</w:t>
            </w:r>
            <w:r>
              <w:rPr>
                <w:rFonts w:hint="eastAsia" w:cs="Times New Roman"/>
                <w:color w:val="auto"/>
                <w:sz w:val="21"/>
                <w:szCs w:val="21"/>
                <w:highlight w:val="none"/>
                <w:lang w:val="en-US" w:eastAsia="zh-CN"/>
              </w:rPr>
              <w:t>3.06</w:t>
            </w:r>
            <w:r>
              <w:rPr>
                <w:rFonts w:hint="default" w:ascii="Times New Roman" w:hAnsi="Times New Roman" w:eastAsia="宋体" w:cs="Times New Roman"/>
                <w:color w:val="auto"/>
                <w:sz w:val="21"/>
                <w:szCs w:val="21"/>
                <w:highlight w:val="none"/>
              </w:rPr>
              <w:t>%。</w:t>
            </w:r>
          </w:p>
          <w:p w14:paraId="41756F61">
            <w:pPr>
              <w:pStyle w:val="33"/>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vertAlign w:val="subscript"/>
              </w:rPr>
              <w:t>fh</w:t>
            </w:r>
            <w:r>
              <w:rPr>
                <w:rFonts w:hint="default" w:ascii="Times New Roman" w:hAnsi="Times New Roman" w:eastAsia="宋体" w:cs="Times New Roman"/>
                <w:color w:val="auto"/>
                <w:sz w:val="21"/>
                <w:szCs w:val="21"/>
                <w:highlight w:val="none"/>
              </w:rPr>
              <w:t>----烟气带出的灰分份额，%；取50%。（链条炉排炉灰分份额为10%-20%，本项目取</w:t>
            </w:r>
            <w:r>
              <w:rPr>
                <w:rFonts w:hint="eastAsia"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%，燃生物质时飞灰份额加30%，则最终灰分份额取</w:t>
            </w:r>
            <w:r>
              <w:rPr>
                <w:rFonts w:hint="eastAsia" w:cs="Times New Roman"/>
                <w:color w:val="auto"/>
                <w:sz w:val="21"/>
                <w:szCs w:val="21"/>
                <w:highlight w:val="none"/>
                <w:lang w:val="en-US" w:eastAsia="zh-CN"/>
              </w:rPr>
              <w:t>45</w:t>
            </w:r>
            <w:r>
              <w:rPr>
                <w:rFonts w:hint="default" w:ascii="Times New Roman" w:hAnsi="Times New Roman" w:eastAsia="宋体" w:cs="Times New Roman"/>
                <w:color w:val="auto"/>
                <w:sz w:val="21"/>
                <w:szCs w:val="21"/>
                <w:highlight w:val="none"/>
              </w:rPr>
              <w:t>%）；</w:t>
            </w:r>
          </w:p>
          <w:p w14:paraId="0EC11274">
            <w:pPr>
              <w:pStyle w:val="33"/>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ƞ</w:t>
            </w:r>
            <w:r>
              <w:rPr>
                <w:rFonts w:hint="default" w:ascii="Times New Roman" w:hAnsi="Times New Roman" w:eastAsia="宋体" w:cs="Times New Roman"/>
                <w:color w:val="auto"/>
                <w:sz w:val="21"/>
                <w:szCs w:val="21"/>
                <w:highlight w:val="none"/>
                <w:vertAlign w:val="subscript"/>
              </w:rPr>
              <w:t>c</w:t>
            </w:r>
            <w:r>
              <w:rPr>
                <w:rFonts w:hint="default" w:ascii="Times New Roman" w:hAnsi="Times New Roman" w:eastAsia="宋体" w:cs="Times New Roman"/>
                <w:color w:val="auto"/>
                <w:sz w:val="21"/>
                <w:szCs w:val="21"/>
                <w:highlight w:val="none"/>
              </w:rPr>
              <w:t>----综合除尘效率，%；取</w:t>
            </w:r>
            <w:r>
              <w:rPr>
                <w:rFonts w:hint="eastAsia" w:cs="Times New Roman"/>
                <w:color w:val="auto"/>
                <w:sz w:val="21"/>
                <w:szCs w:val="21"/>
                <w:highlight w:val="none"/>
                <w:lang w:eastAsia="zh-CN"/>
              </w:rPr>
              <w:t>99%</w:t>
            </w:r>
            <w:r>
              <w:rPr>
                <w:rFonts w:hint="default" w:ascii="Times New Roman" w:hAnsi="Times New Roman" w:eastAsia="宋体" w:cs="Times New Roman"/>
                <w:color w:val="auto"/>
                <w:sz w:val="21"/>
                <w:szCs w:val="21"/>
                <w:highlight w:val="none"/>
              </w:rPr>
              <w:t>。</w:t>
            </w:r>
          </w:p>
          <w:p w14:paraId="4A357E31">
            <w:pPr>
              <w:pStyle w:val="33"/>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fh</w:t>
            </w:r>
            <w:r>
              <w:rPr>
                <w:rFonts w:hint="default" w:ascii="Times New Roman" w:hAnsi="Times New Roman" w:eastAsia="宋体" w:cs="Times New Roman"/>
                <w:color w:val="auto"/>
                <w:sz w:val="21"/>
                <w:szCs w:val="21"/>
                <w:highlight w:val="none"/>
              </w:rPr>
              <w:t>----飞灰中可燃物含量，%。取1</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%。（项目使用生物质成型燃料，飞灰中可燃物含量类比烟煤II类，根据《工业锅炉经济运行》（GB/T17954-2007），取1</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w:t>
            </w:r>
          </w:p>
          <w:p w14:paraId="55180038">
            <w:pPr>
              <w:pStyle w:val="33"/>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颗粒物</w:t>
            </w:r>
            <w:r>
              <w:rPr>
                <w:rFonts w:hint="eastAsia" w:cs="Times New Roman"/>
                <w:color w:val="auto"/>
                <w:position w:val="0"/>
                <w:sz w:val="21"/>
                <w:szCs w:val="21"/>
                <w:highlight w:val="none"/>
                <w:lang w:val="en-US" w:eastAsia="zh-CN"/>
              </w:rPr>
              <w:t>排</w:t>
            </w:r>
            <w:r>
              <w:rPr>
                <w:rFonts w:hint="default" w:ascii="Times New Roman" w:hAnsi="Times New Roman" w:eastAsia="宋体" w:cs="Times New Roman"/>
                <w:color w:val="auto"/>
                <w:position w:val="0"/>
                <w:sz w:val="21"/>
                <w:szCs w:val="21"/>
                <w:highlight w:val="none"/>
              </w:rPr>
              <w:t>放量为</w:t>
            </w:r>
            <w:r>
              <w:rPr>
                <w:rFonts w:hint="eastAsia" w:cs="Times New Roman"/>
                <w:color w:val="auto"/>
                <w:position w:val="0"/>
                <w:sz w:val="21"/>
                <w:szCs w:val="21"/>
                <w:highlight w:val="none"/>
                <w:lang w:val="en-US" w:eastAsia="zh-CN"/>
              </w:rPr>
              <w:t>0.473t</w:t>
            </w:r>
            <w:r>
              <w:rPr>
                <w:rFonts w:hint="default" w:ascii="Times New Roman" w:hAnsi="Times New Roman" w:eastAsia="宋体" w:cs="Times New Roman"/>
                <w:color w:val="auto"/>
                <w:position w:val="0"/>
                <w:sz w:val="21"/>
                <w:szCs w:val="21"/>
                <w:highlight w:val="none"/>
              </w:rPr>
              <w:t>/a，</w:t>
            </w:r>
            <w:r>
              <w:rPr>
                <w:rFonts w:hint="eastAsia" w:cs="Times New Roman"/>
                <w:color w:val="auto"/>
                <w:position w:val="0"/>
                <w:sz w:val="21"/>
                <w:szCs w:val="21"/>
                <w:highlight w:val="none"/>
                <w:lang w:val="en-US" w:eastAsia="zh-CN"/>
              </w:rPr>
              <w:t>0.197</w:t>
            </w:r>
            <w:r>
              <w:rPr>
                <w:rFonts w:hint="default" w:ascii="Times New Roman" w:hAnsi="Times New Roman" w:eastAsia="宋体" w:cs="Times New Roman"/>
                <w:color w:val="auto"/>
                <w:position w:val="0"/>
                <w:sz w:val="21"/>
                <w:szCs w:val="21"/>
                <w:highlight w:val="none"/>
              </w:rPr>
              <w:t>kg/h。</w:t>
            </w:r>
          </w:p>
          <w:p w14:paraId="1296216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③二氧化硫排放量</w:t>
            </w:r>
          </w:p>
          <w:p w14:paraId="3FBD5D3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object>
                <v:shape id="_x0000_i1026" o:spt="75" type="#_x0000_t75" style="height:33pt;width:204pt;" o:ole="t" filled="f" o:preferrelative="t" stroked="f" coordsize="21600,21600">
                  <v:path/>
                  <v:fill on="f" focussize="0,0"/>
                  <v:stroke on="f"/>
                  <v:imagedata r:id="rId20" o:title=""/>
                  <o:lock v:ext="edit" aspectratio="t"/>
                  <w10:wrap type="none"/>
                  <w10:anchorlock/>
                </v:shape>
                <o:OLEObject Type="Embed" ProgID="Equations" ShapeID="_x0000_i1026" DrawAspect="Content" ObjectID="_1468075726" r:id="rId19">
                  <o:LockedField>false</o:LockedField>
                </o:OLEObject>
              </w:object>
            </w:r>
          </w:p>
          <w:p w14:paraId="281882B4">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式中：E</w:t>
            </w:r>
            <w:r>
              <w:rPr>
                <w:rFonts w:hint="default" w:ascii="Times New Roman" w:hAnsi="Times New Roman" w:eastAsia="宋体" w:cs="Times New Roman"/>
                <w:color w:val="auto"/>
                <w:position w:val="0"/>
                <w:sz w:val="21"/>
                <w:szCs w:val="21"/>
                <w:highlight w:val="none"/>
                <w:vertAlign w:val="subscript"/>
              </w:rPr>
              <w:t>SO2</w:t>
            </w:r>
            <w:r>
              <w:rPr>
                <w:rFonts w:hint="default" w:ascii="Times New Roman" w:hAnsi="Times New Roman" w:eastAsia="宋体" w:cs="Times New Roman"/>
                <w:color w:val="auto"/>
                <w:position w:val="0"/>
                <w:sz w:val="21"/>
                <w:szCs w:val="21"/>
                <w:highlight w:val="none"/>
              </w:rPr>
              <w:t>----核算时段内二氧化硫排放量，t；</w:t>
            </w:r>
          </w:p>
          <w:p w14:paraId="5D6AA536">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R----核算时段内燃料耗量</w:t>
            </w:r>
            <w:r>
              <w:rPr>
                <w:rFonts w:hint="eastAsia" w:cs="Times New Roman"/>
                <w:color w:val="auto"/>
                <w:sz w:val="21"/>
                <w:szCs w:val="21"/>
                <w:highlight w:val="none"/>
                <w:lang w:val="en-US" w:eastAsia="zh-CN"/>
              </w:rPr>
              <w:t>2882.4</w:t>
            </w:r>
            <w:r>
              <w:rPr>
                <w:rFonts w:hint="default" w:ascii="Times New Roman" w:hAnsi="Times New Roman" w:eastAsia="宋体" w:cs="Times New Roman"/>
                <w:color w:val="auto"/>
                <w:position w:val="0"/>
                <w:sz w:val="21"/>
                <w:szCs w:val="21"/>
                <w:highlight w:val="none"/>
              </w:rPr>
              <w:t>t；</w:t>
            </w:r>
          </w:p>
          <w:p w14:paraId="2CB4A287">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eastAsia" w:ascii="Times New Roman" w:hAnsi="Times New Roman" w:eastAsia="宋体" w:cs="Times New Roman"/>
                <w:b/>
                <w:color w:val="auto"/>
                <w:position w:val="0"/>
                <w:sz w:val="21"/>
                <w:szCs w:val="21"/>
                <w:highlight w:val="none"/>
                <w:lang w:eastAsia="zh-CN"/>
              </w:rPr>
            </w:pPr>
            <w:r>
              <w:rPr>
                <w:rFonts w:hint="default" w:ascii="Times New Roman" w:hAnsi="Times New Roman" w:eastAsia="宋体" w:cs="Times New Roman"/>
                <w:color w:val="auto"/>
                <w:position w:val="0"/>
                <w:sz w:val="21"/>
                <w:szCs w:val="21"/>
                <w:highlight w:val="none"/>
              </w:rPr>
              <w:t>S</w:t>
            </w:r>
            <w:r>
              <w:rPr>
                <w:rFonts w:hint="default" w:ascii="Times New Roman" w:hAnsi="Times New Roman" w:eastAsia="宋体" w:cs="Times New Roman"/>
                <w:color w:val="auto"/>
                <w:position w:val="0"/>
                <w:sz w:val="21"/>
                <w:szCs w:val="21"/>
                <w:highlight w:val="none"/>
                <w:vertAlign w:val="subscript"/>
              </w:rPr>
              <w:t>ar</w:t>
            </w:r>
            <w:r>
              <w:rPr>
                <w:rFonts w:hint="default" w:ascii="Times New Roman" w:hAnsi="Times New Roman" w:eastAsia="宋体" w:cs="Times New Roman"/>
                <w:color w:val="auto"/>
                <w:position w:val="0"/>
                <w:sz w:val="21"/>
                <w:szCs w:val="21"/>
                <w:highlight w:val="none"/>
              </w:rPr>
              <w:t>----收到基硫的质量分数，</w:t>
            </w:r>
            <w:r>
              <w:rPr>
                <w:rFonts w:hint="default" w:ascii="Times New Roman" w:hAnsi="Times New Roman" w:eastAsia="宋体" w:cs="Times New Roman"/>
                <w:color w:val="auto"/>
                <w:sz w:val="21"/>
                <w:szCs w:val="21"/>
                <w:highlight w:val="none"/>
              </w:rPr>
              <w:t>根据生物质成分分析报告取</w:t>
            </w:r>
            <w:r>
              <w:rPr>
                <w:rFonts w:hint="default" w:ascii="Times New Roman" w:hAnsi="Times New Roman" w:eastAsia="宋体" w:cs="Times New Roman"/>
                <w:color w:val="auto"/>
                <w:position w:val="0"/>
                <w:sz w:val="21"/>
                <w:szCs w:val="21"/>
                <w:highlight w:val="none"/>
              </w:rPr>
              <w:t>0.0</w:t>
            </w:r>
            <w:r>
              <w:rPr>
                <w:rFonts w:hint="eastAsia" w:cs="Times New Roman"/>
                <w:color w:val="auto"/>
                <w:position w:val="0"/>
                <w:sz w:val="21"/>
                <w:szCs w:val="21"/>
                <w:highlight w:val="none"/>
                <w:lang w:val="en-US" w:eastAsia="zh-CN"/>
              </w:rPr>
              <w:t>4</w:t>
            </w:r>
            <w:r>
              <w:rPr>
                <w:rFonts w:hint="default" w:ascii="Times New Roman" w:hAnsi="Times New Roman" w:eastAsia="宋体" w:cs="Times New Roman"/>
                <w:color w:val="auto"/>
                <w:position w:val="0"/>
                <w:sz w:val="21"/>
                <w:szCs w:val="21"/>
                <w:highlight w:val="none"/>
              </w:rPr>
              <w:t>%</w:t>
            </w:r>
            <w:r>
              <w:rPr>
                <w:rFonts w:hint="eastAsia" w:cs="Times New Roman"/>
                <w:color w:val="auto"/>
                <w:position w:val="0"/>
                <w:sz w:val="21"/>
                <w:szCs w:val="21"/>
                <w:highlight w:val="none"/>
                <w:lang w:eastAsia="zh-CN"/>
              </w:rPr>
              <w:t>。</w:t>
            </w:r>
          </w:p>
          <w:p w14:paraId="603BEBCD">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q</w:t>
            </w:r>
            <w:r>
              <w:rPr>
                <w:rFonts w:hint="default" w:ascii="Times New Roman" w:hAnsi="Times New Roman" w:eastAsia="宋体" w:cs="Times New Roman"/>
                <w:color w:val="auto"/>
                <w:position w:val="0"/>
                <w:sz w:val="21"/>
                <w:szCs w:val="21"/>
                <w:highlight w:val="none"/>
                <w:vertAlign w:val="subscript"/>
              </w:rPr>
              <w:t>4</w:t>
            </w:r>
            <w:r>
              <w:rPr>
                <w:rFonts w:hint="default" w:ascii="Times New Roman" w:hAnsi="Times New Roman" w:eastAsia="宋体" w:cs="Times New Roman"/>
                <w:color w:val="auto"/>
                <w:position w:val="0"/>
                <w:sz w:val="21"/>
                <w:szCs w:val="21"/>
                <w:highlight w:val="none"/>
              </w:rPr>
              <w:t>----机械不完全燃烧热损失，%；取1</w:t>
            </w:r>
            <w:r>
              <w:rPr>
                <w:rFonts w:hint="eastAsia" w:cs="Times New Roman"/>
                <w:color w:val="auto"/>
                <w:position w:val="0"/>
                <w:sz w:val="21"/>
                <w:szCs w:val="21"/>
                <w:highlight w:val="none"/>
                <w:lang w:val="en-US" w:eastAsia="zh-CN"/>
              </w:rPr>
              <w:t>0</w:t>
            </w:r>
            <w:r>
              <w:rPr>
                <w:rFonts w:hint="default" w:ascii="Times New Roman" w:hAnsi="Times New Roman" w:eastAsia="宋体" w:cs="Times New Roman"/>
                <w:color w:val="auto"/>
                <w:position w:val="0"/>
                <w:sz w:val="21"/>
                <w:szCs w:val="21"/>
                <w:highlight w:val="none"/>
              </w:rPr>
              <w:t>%，（链条炉排炉不完全燃烧热损失</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%-1</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w:t>
            </w:r>
          </w:p>
          <w:p w14:paraId="60A756FA">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ƞ</w:t>
            </w:r>
            <w:r>
              <w:rPr>
                <w:rFonts w:hint="default" w:ascii="Times New Roman" w:hAnsi="Times New Roman" w:eastAsia="宋体" w:cs="Times New Roman"/>
                <w:color w:val="auto"/>
                <w:position w:val="0"/>
                <w:sz w:val="21"/>
                <w:szCs w:val="21"/>
                <w:highlight w:val="none"/>
                <w:vertAlign w:val="subscript"/>
              </w:rPr>
              <w:t>s</w:t>
            </w:r>
            <w:r>
              <w:rPr>
                <w:rFonts w:hint="default" w:ascii="Times New Roman" w:hAnsi="Times New Roman" w:eastAsia="宋体" w:cs="Times New Roman"/>
                <w:color w:val="auto"/>
                <w:position w:val="0"/>
                <w:sz w:val="21"/>
                <w:szCs w:val="21"/>
                <w:highlight w:val="none"/>
              </w:rPr>
              <w:t>----脱硫效率，%；</w:t>
            </w:r>
          </w:p>
          <w:p w14:paraId="74FB0C95">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K----燃料中的硫燃烧后氧化成二氧化硫的份额，量纲一的量。取0.50。</w:t>
            </w:r>
          </w:p>
          <w:p w14:paraId="288683E7">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SO</w:t>
            </w:r>
            <w:r>
              <w:rPr>
                <w:rFonts w:hint="default" w:ascii="Times New Roman" w:hAnsi="Times New Roman" w:eastAsia="宋体" w:cs="Times New Roman"/>
                <w:color w:val="auto"/>
                <w:position w:val="0"/>
                <w:sz w:val="21"/>
                <w:szCs w:val="21"/>
                <w:highlight w:val="none"/>
                <w:vertAlign w:val="subscript"/>
              </w:rPr>
              <w:t>2</w:t>
            </w:r>
            <w:r>
              <w:rPr>
                <w:rFonts w:hint="default" w:ascii="Times New Roman" w:hAnsi="Times New Roman" w:eastAsia="宋体" w:cs="Times New Roman"/>
                <w:color w:val="auto"/>
                <w:position w:val="0"/>
                <w:sz w:val="21"/>
                <w:szCs w:val="21"/>
                <w:highlight w:val="none"/>
              </w:rPr>
              <w:t>排放量为</w:t>
            </w:r>
            <w:r>
              <w:rPr>
                <w:rFonts w:hint="eastAsia" w:cs="Times New Roman"/>
                <w:color w:val="auto"/>
                <w:position w:val="0"/>
                <w:sz w:val="21"/>
                <w:szCs w:val="21"/>
                <w:highlight w:val="none"/>
                <w:lang w:val="en-US" w:eastAsia="zh-CN"/>
              </w:rPr>
              <w:t>1.038</w:t>
            </w:r>
            <w:r>
              <w:rPr>
                <w:rFonts w:hint="default" w:ascii="Times New Roman" w:hAnsi="Times New Roman" w:eastAsia="宋体" w:cs="Times New Roman"/>
                <w:color w:val="auto"/>
                <w:position w:val="0"/>
                <w:sz w:val="21"/>
                <w:szCs w:val="21"/>
                <w:highlight w:val="none"/>
              </w:rPr>
              <w:t>t/a，</w:t>
            </w:r>
            <w:r>
              <w:rPr>
                <w:rFonts w:hint="eastAsia" w:cs="Times New Roman"/>
                <w:color w:val="auto"/>
                <w:position w:val="0"/>
                <w:sz w:val="21"/>
                <w:szCs w:val="21"/>
                <w:highlight w:val="none"/>
                <w:lang w:eastAsia="zh-CN"/>
              </w:rPr>
              <w:t>0.</w:t>
            </w:r>
            <w:r>
              <w:rPr>
                <w:rFonts w:hint="eastAsia" w:cs="Times New Roman"/>
                <w:color w:val="auto"/>
                <w:position w:val="0"/>
                <w:sz w:val="21"/>
                <w:szCs w:val="21"/>
                <w:highlight w:val="none"/>
                <w:lang w:val="en-US" w:eastAsia="zh-CN"/>
              </w:rPr>
              <w:t>432</w:t>
            </w:r>
            <w:r>
              <w:rPr>
                <w:rFonts w:hint="default" w:ascii="Times New Roman" w:hAnsi="Times New Roman" w:eastAsia="宋体" w:cs="Times New Roman"/>
                <w:color w:val="auto"/>
                <w:position w:val="0"/>
                <w:sz w:val="21"/>
                <w:szCs w:val="21"/>
                <w:highlight w:val="none"/>
              </w:rPr>
              <w:t>kg/h。</w:t>
            </w:r>
          </w:p>
          <w:p w14:paraId="597F77A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FF0000"/>
                <w:kern w:val="0"/>
                <w:position w:val="0"/>
                <w:sz w:val="21"/>
                <w:szCs w:val="21"/>
                <w:highlight w:val="none"/>
                <w:lang w:val="en-US" w:eastAsia="zh-CN" w:bidi="ar-SA"/>
              </w:rPr>
            </w:pPr>
            <w:r>
              <w:rPr>
                <w:rFonts w:hint="default" w:ascii="Times New Roman" w:hAnsi="Times New Roman" w:eastAsia="宋体" w:cs="Times New Roman"/>
                <w:color w:val="FF0000"/>
                <w:kern w:val="0"/>
                <w:position w:val="0"/>
                <w:sz w:val="21"/>
                <w:szCs w:val="21"/>
                <w:highlight w:val="none"/>
                <w:lang w:val="en-US" w:eastAsia="zh-CN" w:bidi="ar-SA"/>
              </w:rPr>
              <w:t>④氮氧化物排放量</w:t>
            </w:r>
          </w:p>
          <w:p w14:paraId="04F56FD9">
            <w:pPr>
              <w:pStyle w:val="167"/>
              <w:keepNext w:val="0"/>
              <w:keepLines w:val="0"/>
              <w:pageBreakBefore w:val="0"/>
              <w:suppressLineNumbers w:val="0"/>
              <w:kinsoku/>
              <w:wordWrap/>
              <w:overflowPunct/>
              <w:topLinePunct w:val="0"/>
              <w:autoSpaceDE w:val="0"/>
              <w:autoSpaceDN/>
              <w:bidi w:val="0"/>
              <w:adjustRightInd/>
              <w:spacing w:before="0" w:beforeAutospacing="0" w:after="0" w:afterAutospacing="0" w:line="360" w:lineRule="auto"/>
              <w:ind w:left="0" w:right="0" w:firstLine="480"/>
              <w:rPr>
                <w:rFonts w:hint="default" w:ascii="Times New Roman" w:hAnsi="Times New Roman" w:eastAsia="宋体" w:cs="Times New Roman"/>
                <w:color w:val="FF0000"/>
                <w:kern w:val="0"/>
                <w:position w:val="0"/>
                <w:sz w:val="21"/>
                <w:szCs w:val="21"/>
                <w:highlight w:val="none"/>
                <w:lang w:val="en-US" w:eastAsia="zh-CN" w:bidi="ar-SA"/>
              </w:rPr>
            </w:pPr>
            <w:r>
              <w:rPr>
                <w:rFonts w:hint="default" w:ascii="Times New Roman" w:hAnsi="Times New Roman" w:eastAsia="宋体" w:cs="Times New Roman"/>
                <w:color w:val="FF0000"/>
                <w:kern w:val="0"/>
                <w:position w:val="0"/>
                <w:sz w:val="21"/>
                <w:szCs w:val="21"/>
                <w:highlight w:val="none"/>
                <w:lang w:val="en-US" w:eastAsia="zh-CN" w:bidi="ar-SA"/>
              </w:rPr>
              <w:t>氮氧化物排放量按下式计算：</w:t>
            </w:r>
          </w:p>
          <w:p w14:paraId="5500B043">
            <w:pPr>
              <w:pStyle w:val="73"/>
              <w:keepNext w:val="0"/>
              <w:keepLines w:val="0"/>
              <w:pageBreakBefore w:val="0"/>
              <w:suppressLineNumbers w:val="0"/>
              <w:kinsoku/>
              <w:wordWrap/>
              <w:overflowPunct/>
              <w:topLinePunct w:val="0"/>
              <w:autoSpaceDN/>
              <w:bidi w:val="0"/>
              <w:adjustRightInd/>
              <w:spacing w:before="0" w:beforeAutospacing="0" w:after="0" w:afterAutospacing="0" w:line="360" w:lineRule="auto"/>
              <w:ind w:left="0" w:right="0"/>
              <w:rPr>
                <w:rFonts w:hint="default" w:ascii="Times New Roman" w:hAnsi="Times New Roman" w:eastAsia="宋体" w:cs="Times New Roman"/>
                <w:color w:val="FF0000"/>
                <w:kern w:val="0"/>
                <w:position w:val="0"/>
                <w:sz w:val="21"/>
                <w:szCs w:val="21"/>
                <w:highlight w:val="none"/>
                <w:lang w:val="en-US" w:eastAsia="zh-CN" w:bidi="ar-SA"/>
              </w:rPr>
            </w:pPr>
            <w:r>
              <w:rPr>
                <w:rFonts w:hint="default" w:ascii="Times New Roman" w:hAnsi="Times New Roman" w:eastAsia="宋体" w:cs="Times New Roman"/>
                <w:color w:val="FF0000"/>
                <w:kern w:val="0"/>
                <w:position w:val="0"/>
                <w:sz w:val="21"/>
                <w:szCs w:val="21"/>
                <w:highlight w:val="none"/>
                <w:lang w:val="en-US" w:eastAsia="zh-CN" w:bidi="ar-SA"/>
              </w:rPr>
              <w:drawing>
                <wp:inline distT="0" distB="0" distL="0" distR="0">
                  <wp:extent cx="2687320" cy="560705"/>
                  <wp:effectExtent l="0" t="0" r="17780" b="1079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687320" cy="560705"/>
                          </a:xfrm>
                          <a:prstGeom prst="rect">
                            <a:avLst/>
                          </a:prstGeom>
                          <a:noFill/>
                          <a:ln>
                            <a:noFill/>
                          </a:ln>
                        </pic:spPr>
                      </pic:pic>
                    </a:graphicData>
                  </a:graphic>
                </wp:inline>
              </w:drawing>
            </w:r>
            <w:r>
              <w:rPr>
                <w:rFonts w:hint="default" w:ascii="Times New Roman" w:hAnsi="Times New Roman" w:eastAsia="宋体" w:cs="Times New Roman"/>
                <w:color w:val="FF0000"/>
                <w:kern w:val="0"/>
                <w:position w:val="0"/>
                <w:sz w:val="21"/>
                <w:szCs w:val="21"/>
                <w:highlight w:val="none"/>
                <w:lang w:val="en-US" w:eastAsia="zh-CN" w:bidi="ar-SA"/>
              </w:rPr>
              <w:t xml:space="preserve"> </w:t>
            </w:r>
          </w:p>
          <w:p w14:paraId="528B8348">
            <w:pPr>
              <w:pStyle w:val="167"/>
              <w:keepNext w:val="0"/>
              <w:keepLines w:val="0"/>
              <w:pageBreakBefore w:val="0"/>
              <w:suppressLineNumbers w:val="0"/>
              <w:kinsoku/>
              <w:wordWrap/>
              <w:overflowPunct/>
              <w:topLinePunct w:val="0"/>
              <w:autoSpaceDN/>
              <w:bidi w:val="0"/>
              <w:adjustRightInd/>
              <w:spacing w:before="0" w:beforeAutospacing="0" w:after="0" w:afterAutospacing="0" w:line="360" w:lineRule="auto"/>
              <w:ind w:left="0" w:right="0" w:firstLine="480"/>
              <w:rPr>
                <w:rFonts w:hint="default" w:ascii="Times New Roman" w:hAnsi="Times New Roman" w:eastAsia="宋体" w:cs="Times New Roman"/>
                <w:color w:val="FF0000"/>
                <w:kern w:val="0"/>
                <w:position w:val="0"/>
                <w:sz w:val="21"/>
                <w:szCs w:val="21"/>
                <w:highlight w:val="none"/>
                <w:lang w:val="en-US" w:eastAsia="zh-CN" w:bidi="ar-SA"/>
              </w:rPr>
            </w:pPr>
            <w:r>
              <w:rPr>
                <w:rFonts w:hint="default" w:ascii="Times New Roman" w:hAnsi="Times New Roman" w:eastAsia="宋体" w:cs="Times New Roman"/>
                <w:color w:val="FF0000"/>
                <w:kern w:val="0"/>
                <w:position w:val="0"/>
                <w:sz w:val="21"/>
                <w:szCs w:val="21"/>
                <w:highlight w:val="none"/>
                <w:lang w:val="en-US" w:eastAsia="zh-CN" w:bidi="ar-SA"/>
              </w:rPr>
              <w:t>式中：</w:t>
            </w:r>
          </w:p>
          <w:p w14:paraId="0CE3B47D">
            <w:pPr>
              <w:pStyle w:val="167"/>
              <w:keepNext w:val="0"/>
              <w:keepLines w:val="0"/>
              <w:pageBreakBefore w:val="0"/>
              <w:suppressLineNumbers w:val="0"/>
              <w:kinsoku/>
              <w:wordWrap/>
              <w:overflowPunct/>
              <w:topLinePunct w:val="0"/>
              <w:autoSpaceDE w:val="0"/>
              <w:autoSpaceDN/>
              <w:bidi w:val="0"/>
              <w:adjustRightInd/>
              <w:spacing w:before="0" w:beforeAutospacing="0" w:after="0" w:afterAutospacing="0" w:line="360" w:lineRule="auto"/>
              <w:ind w:left="0" w:right="0" w:firstLine="480"/>
              <w:rPr>
                <w:rFonts w:hint="default" w:ascii="Times New Roman" w:hAnsi="Times New Roman" w:eastAsia="宋体" w:cs="Times New Roman"/>
                <w:color w:val="FF0000"/>
                <w:kern w:val="0"/>
                <w:position w:val="0"/>
                <w:sz w:val="21"/>
                <w:szCs w:val="21"/>
                <w:highlight w:val="none"/>
                <w:lang w:val="en-US" w:eastAsia="zh-CN" w:bidi="ar-SA"/>
              </w:rPr>
            </w:pPr>
            <w:r>
              <w:rPr>
                <w:rFonts w:hint="default" w:ascii="Times New Roman" w:hAnsi="Times New Roman" w:eastAsia="宋体" w:cs="Times New Roman"/>
                <w:color w:val="FF0000"/>
                <w:kern w:val="0"/>
                <w:position w:val="0"/>
                <w:sz w:val="21"/>
                <w:szCs w:val="21"/>
                <w:highlight w:val="none"/>
                <w:lang w:val="en-US" w:eastAsia="zh-CN" w:bidi="ar-SA"/>
              </w:rPr>
              <w:t>ENOX——核算时段内氮氧化物排放量，t；</w:t>
            </w:r>
          </w:p>
          <w:p w14:paraId="19473F2E">
            <w:pPr>
              <w:pStyle w:val="167"/>
              <w:keepNext w:val="0"/>
              <w:keepLines w:val="0"/>
              <w:pageBreakBefore w:val="0"/>
              <w:suppressLineNumbers w:val="0"/>
              <w:kinsoku/>
              <w:wordWrap/>
              <w:overflowPunct/>
              <w:topLinePunct w:val="0"/>
              <w:autoSpaceDE w:val="0"/>
              <w:autoSpaceDN/>
              <w:bidi w:val="0"/>
              <w:adjustRightInd/>
              <w:spacing w:before="0" w:beforeAutospacing="0" w:after="0" w:afterAutospacing="0" w:line="360" w:lineRule="auto"/>
              <w:ind w:left="0" w:right="0" w:firstLine="480"/>
              <w:rPr>
                <w:rFonts w:hint="eastAsia" w:ascii="Times New Roman" w:hAnsi="Times New Roman" w:eastAsia="宋体" w:cs="Times New Roman"/>
                <w:color w:val="FF0000"/>
                <w:kern w:val="0"/>
                <w:position w:val="0"/>
                <w:sz w:val="21"/>
                <w:szCs w:val="21"/>
                <w:highlight w:val="none"/>
                <w:lang w:val="en-US" w:eastAsia="zh-CN" w:bidi="ar-SA"/>
              </w:rPr>
            </w:pPr>
            <w:r>
              <w:rPr>
                <w:rFonts w:hint="default" w:ascii="Times New Roman" w:hAnsi="Times New Roman" w:eastAsia="宋体" w:cs="Times New Roman"/>
                <w:color w:val="FF0000"/>
                <w:kern w:val="0"/>
                <w:position w:val="0"/>
                <w:sz w:val="21"/>
                <w:szCs w:val="21"/>
                <w:highlight w:val="none"/>
                <w:lang w:val="en-US" w:eastAsia="zh-CN" w:bidi="ar-SA"/>
              </w:rPr>
              <w:t>ρNOX——锅炉炉膛出口氮氧化物质量浓度，mg/m</w:t>
            </w:r>
            <w:r>
              <w:rPr>
                <w:rFonts w:hint="default" w:ascii="Times New Roman" w:hAnsi="Times New Roman" w:eastAsia="宋体" w:cs="Times New Roman"/>
                <w:color w:val="FF0000"/>
                <w:kern w:val="0"/>
                <w:position w:val="0"/>
                <w:sz w:val="21"/>
                <w:szCs w:val="21"/>
                <w:highlight w:val="none"/>
                <w:vertAlign w:val="superscript"/>
                <w:lang w:val="en-US" w:eastAsia="zh-CN" w:bidi="ar-SA"/>
              </w:rPr>
              <w:t>3</w:t>
            </w:r>
            <w:r>
              <w:rPr>
                <w:rFonts w:hint="default" w:ascii="Times New Roman" w:hAnsi="Times New Roman" w:eastAsia="宋体" w:cs="Times New Roman"/>
                <w:color w:val="FF0000"/>
                <w:kern w:val="0"/>
                <w:position w:val="0"/>
                <w:sz w:val="21"/>
                <w:szCs w:val="21"/>
                <w:highlight w:val="none"/>
                <w:lang w:val="en-US" w:eastAsia="zh-CN" w:bidi="ar-SA"/>
              </w:rPr>
              <w:t>，根据《污染源源强核算技术指南 锅炉》（HJ991-2018）表B.4锅炉炉膛出口NOx浓度范围（100～600mg/m</w:t>
            </w:r>
            <w:r>
              <w:rPr>
                <w:rFonts w:hint="default" w:ascii="Times New Roman" w:hAnsi="Times New Roman" w:eastAsia="宋体" w:cs="Times New Roman"/>
                <w:color w:val="FF0000"/>
                <w:kern w:val="0"/>
                <w:position w:val="0"/>
                <w:sz w:val="21"/>
                <w:szCs w:val="21"/>
                <w:highlight w:val="none"/>
                <w:vertAlign w:val="superscript"/>
                <w:lang w:val="en-US" w:eastAsia="zh-CN" w:bidi="ar-SA"/>
              </w:rPr>
              <w:t>3</w:t>
            </w:r>
            <w:r>
              <w:rPr>
                <w:rFonts w:hint="default" w:ascii="Times New Roman" w:hAnsi="Times New Roman" w:eastAsia="宋体" w:cs="Times New Roman"/>
                <w:color w:val="FF0000"/>
                <w:kern w:val="0"/>
                <w:position w:val="0"/>
                <w:sz w:val="21"/>
                <w:szCs w:val="21"/>
                <w:highlight w:val="none"/>
                <w:lang w:val="en-US" w:eastAsia="zh-CN" w:bidi="ar-SA"/>
              </w:rPr>
              <w:t>）及《排放源统计调查产排污核算方法和系数手册》4430工业锅炉（热力供应）行业系数手册中燃生物质锅炉NOx工业废气量及氮氧化物的产污系数核算的产生浓度（163.5mg/m</w:t>
            </w:r>
            <w:r>
              <w:rPr>
                <w:rFonts w:hint="default" w:ascii="Times New Roman" w:hAnsi="Times New Roman" w:eastAsia="宋体" w:cs="Times New Roman"/>
                <w:color w:val="FF0000"/>
                <w:kern w:val="0"/>
                <w:position w:val="0"/>
                <w:sz w:val="21"/>
                <w:szCs w:val="21"/>
                <w:highlight w:val="none"/>
                <w:vertAlign w:val="superscript"/>
                <w:lang w:val="en-US" w:eastAsia="zh-CN" w:bidi="ar-SA"/>
              </w:rPr>
              <w:t>3</w:t>
            </w:r>
            <w:r>
              <w:rPr>
                <w:rFonts w:hint="default" w:ascii="Times New Roman" w:hAnsi="Times New Roman" w:eastAsia="宋体" w:cs="Times New Roman"/>
                <w:color w:val="FF0000"/>
                <w:kern w:val="0"/>
                <w:position w:val="0"/>
                <w:sz w:val="21"/>
                <w:szCs w:val="21"/>
                <w:highlight w:val="none"/>
                <w:lang w:val="en-US" w:eastAsia="zh-CN" w:bidi="ar-SA"/>
              </w:rPr>
              <w:t>）</w:t>
            </w:r>
            <w:r>
              <w:rPr>
                <w:rFonts w:hint="eastAsia" w:ascii="宋体" w:hAnsi="宋体" w:eastAsia="宋体" w:cs="宋体"/>
                <w:color w:val="FF0000"/>
                <w:sz w:val="24"/>
              </w:rPr>
              <w:t>，</w:t>
            </w:r>
            <w:r>
              <w:rPr>
                <w:rFonts w:hint="eastAsia" w:ascii="Times New Roman" w:hAnsi="Times New Roman" w:eastAsia="宋体" w:cs="Times New Roman"/>
                <w:color w:val="FF0000"/>
                <w:kern w:val="0"/>
                <w:position w:val="0"/>
                <w:sz w:val="21"/>
                <w:szCs w:val="21"/>
                <w:highlight w:val="none"/>
                <w:lang w:val="en-US" w:eastAsia="zh-CN" w:bidi="ar-SA"/>
              </w:rPr>
              <w:t>本次类比《林甸县金兴玉米种植农民专业合作社粮食烘干塔项目竣工环境保护验收》中的相关数据</w:t>
            </w:r>
            <w:r>
              <w:rPr>
                <w:rFonts w:hint="eastAsia" w:cs="Times New Roman"/>
                <w:color w:val="FF0000"/>
                <w:kern w:val="0"/>
                <w:position w:val="0"/>
                <w:sz w:val="21"/>
                <w:szCs w:val="21"/>
                <w:highlight w:val="none"/>
                <w:lang w:val="en-US" w:eastAsia="zh-CN" w:bidi="ar-SA"/>
              </w:rPr>
              <w:t>氮氧化物最大排放浓度为</w:t>
            </w:r>
            <w:r>
              <w:rPr>
                <w:rFonts w:hint="eastAsia" w:ascii="Times New Roman" w:hAnsi="Times New Roman" w:eastAsia="宋体" w:cs="Times New Roman"/>
                <w:color w:val="FF0000"/>
                <w:kern w:val="0"/>
                <w:position w:val="0"/>
                <w:sz w:val="21"/>
                <w:szCs w:val="21"/>
                <w:highlight w:val="none"/>
                <w:lang w:val="en-US" w:eastAsia="zh-CN" w:bidi="ar-SA"/>
              </w:rPr>
              <w:t>180mg/m</w:t>
            </w:r>
            <w:r>
              <w:rPr>
                <w:rFonts w:hint="eastAsia" w:ascii="Times New Roman" w:hAnsi="Times New Roman" w:eastAsia="宋体" w:cs="Times New Roman"/>
                <w:color w:val="FF0000"/>
                <w:kern w:val="0"/>
                <w:position w:val="0"/>
                <w:sz w:val="21"/>
                <w:szCs w:val="21"/>
                <w:highlight w:val="none"/>
                <w:vertAlign w:val="superscript"/>
                <w:lang w:val="en-US" w:eastAsia="zh-CN" w:bidi="ar-SA"/>
              </w:rPr>
              <w:t>3</w:t>
            </w:r>
            <w:r>
              <w:rPr>
                <w:rFonts w:hint="eastAsia" w:ascii="Times New Roman" w:hAnsi="Times New Roman" w:cs="Times New Roman"/>
                <w:color w:val="FF0000"/>
                <w:kern w:val="0"/>
                <w:position w:val="0"/>
                <w:sz w:val="21"/>
                <w:szCs w:val="21"/>
                <w:highlight w:val="none"/>
                <w:vertAlign w:val="baseline"/>
                <w:lang w:val="en-US" w:eastAsia="zh-CN" w:bidi="ar-SA"/>
              </w:rPr>
              <w:t>，</w:t>
            </w:r>
            <w:r>
              <w:rPr>
                <w:rFonts w:hint="eastAsia" w:ascii="Times New Roman" w:hAnsi="Times New Roman" w:eastAsia="宋体" w:cs="Times New Roman"/>
                <w:color w:val="FF0000"/>
                <w:kern w:val="0"/>
                <w:position w:val="0"/>
                <w:sz w:val="21"/>
                <w:szCs w:val="21"/>
                <w:highlight w:val="none"/>
                <w:lang w:val="en-US" w:eastAsia="zh-CN" w:bidi="ar-SA"/>
              </w:rPr>
              <w:t>该类比项目为</w:t>
            </w:r>
            <w:r>
              <w:rPr>
                <w:rFonts w:hint="eastAsia" w:cs="Times New Roman"/>
                <w:color w:val="FF0000"/>
                <w:kern w:val="0"/>
                <w:position w:val="0"/>
                <w:sz w:val="21"/>
                <w:szCs w:val="21"/>
                <w:highlight w:val="none"/>
                <w:lang w:val="en-US" w:eastAsia="zh-CN" w:bidi="ar-SA"/>
              </w:rPr>
              <w:t>4t/h</w:t>
            </w:r>
            <w:r>
              <w:rPr>
                <w:rFonts w:hint="eastAsia" w:ascii="Times New Roman" w:hAnsi="Times New Roman" w:eastAsia="宋体" w:cs="Times New Roman"/>
                <w:color w:val="FF0000"/>
                <w:kern w:val="0"/>
                <w:position w:val="0"/>
                <w:sz w:val="21"/>
                <w:szCs w:val="21"/>
                <w:highlight w:val="none"/>
                <w:lang w:val="en-US" w:eastAsia="zh-CN" w:bidi="ar-SA"/>
              </w:rPr>
              <w:t>生物质热风炉，所用燃料为生物质</w:t>
            </w:r>
            <w:r>
              <w:rPr>
                <w:rFonts w:hint="eastAsia" w:cs="Times New Roman"/>
                <w:color w:val="FF0000"/>
                <w:kern w:val="0"/>
                <w:position w:val="0"/>
                <w:sz w:val="21"/>
                <w:szCs w:val="21"/>
                <w:highlight w:val="none"/>
                <w:lang w:val="en-US" w:eastAsia="zh-CN" w:bidi="ar-SA"/>
              </w:rPr>
              <w:t>颗粒</w:t>
            </w:r>
            <w:r>
              <w:rPr>
                <w:rFonts w:hint="eastAsia" w:ascii="Times New Roman" w:hAnsi="Times New Roman" w:eastAsia="宋体" w:cs="Times New Roman"/>
                <w:color w:val="FF0000"/>
                <w:kern w:val="0"/>
                <w:position w:val="0"/>
                <w:sz w:val="21"/>
                <w:szCs w:val="21"/>
                <w:highlight w:val="none"/>
                <w:lang w:val="en-US" w:eastAsia="zh-CN" w:bidi="ar-SA"/>
              </w:rPr>
              <w:t>燃料，污染防治措施为布袋除尘器，与本项目热风炉吨位</w:t>
            </w:r>
            <w:r>
              <w:rPr>
                <w:rFonts w:hint="eastAsia" w:cs="Times New Roman"/>
                <w:color w:val="FF0000"/>
                <w:kern w:val="0"/>
                <w:position w:val="0"/>
                <w:sz w:val="21"/>
                <w:szCs w:val="21"/>
                <w:highlight w:val="none"/>
                <w:lang w:val="en-US" w:eastAsia="zh-CN" w:bidi="ar-SA"/>
              </w:rPr>
              <w:t>相差不超过30%</w:t>
            </w:r>
            <w:r>
              <w:rPr>
                <w:rFonts w:hint="eastAsia" w:ascii="Times New Roman" w:hAnsi="Times New Roman" w:eastAsia="宋体" w:cs="Times New Roman"/>
                <w:color w:val="FF0000"/>
                <w:kern w:val="0"/>
                <w:position w:val="0"/>
                <w:sz w:val="21"/>
                <w:szCs w:val="21"/>
                <w:highlight w:val="none"/>
                <w:lang w:val="en-US" w:eastAsia="zh-CN" w:bidi="ar-SA"/>
              </w:rPr>
              <w:t>，污染防治措施一致，因此氮氧化物排放数据与本项目具有可比性，本项目采用该项目数据类比可行，则</w:t>
            </w:r>
            <w:r>
              <w:rPr>
                <w:rFonts w:hint="default" w:ascii="Times New Roman" w:hAnsi="Times New Roman" w:eastAsia="宋体" w:cs="Times New Roman"/>
                <w:color w:val="FF0000"/>
                <w:kern w:val="0"/>
                <w:position w:val="0"/>
                <w:sz w:val="21"/>
                <w:szCs w:val="21"/>
                <w:highlight w:val="none"/>
                <w:lang w:val="en-US" w:eastAsia="zh-CN" w:bidi="ar-SA"/>
              </w:rPr>
              <w:t>本次评价取</w:t>
            </w:r>
            <w:r>
              <w:rPr>
                <w:rFonts w:hint="eastAsia" w:ascii="Times New Roman" w:hAnsi="Times New Roman" w:eastAsia="宋体" w:cs="Times New Roman"/>
                <w:color w:val="FF0000"/>
                <w:kern w:val="0"/>
                <w:position w:val="0"/>
                <w:sz w:val="21"/>
                <w:szCs w:val="21"/>
                <w:highlight w:val="none"/>
                <w:lang w:val="en-US" w:eastAsia="zh-CN" w:bidi="ar-SA"/>
              </w:rPr>
              <w:t>平均值180mg/m</w:t>
            </w:r>
            <w:r>
              <w:rPr>
                <w:rFonts w:hint="eastAsia" w:ascii="Times New Roman" w:hAnsi="Times New Roman" w:eastAsia="宋体" w:cs="Times New Roman"/>
                <w:color w:val="FF0000"/>
                <w:kern w:val="0"/>
                <w:position w:val="0"/>
                <w:sz w:val="21"/>
                <w:szCs w:val="21"/>
                <w:highlight w:val="none"/>
                <w:vertAlign w:val="superscript"/>
                <w:lang w:val="en-US" w:eastAsia="zh-CN" w:bidi="ar-SA"/>
              </w:rPr>
              <w:t>3</w:t>
            </w:r>
            <w:r>
              <w:rPr>
                <w:rFonts w:hint="eastAsia" w:ascii="Times New Roman" w:hAnsi="Times New Roman" w:eastAsia="宋体" w:cs="Times New Roman"/>
                <w:color w:val="FF0000"/>
                <w:kern w:val="0"/>
                <w:position w:val="0"/>
                <w:sz w:val="21"/>
                <w:szCs w:val="21"/>
                <w:highlight w:val="none"/>
                <w:lang w:val="en-US" w:eastAsia="zh-CN" w:bidi="ar-SA"/>
              </w:rPr>
              <w:t>。</w:t>
            </w:r>
          </w:p>
          <w:p w14:paraId="64737394">
            <w:pPr>
              <w:pStyle w:val="167"/>
              <w:keepNext w:val="0"/>
              <w:keepLines w:val="0"/>
              <w:pageBreakBefore w:val="0"/>
              <w:suppressLineNumbers w:val="0"/>
              <w:kinsoku/>
              <w:wordWrap/>
              <w:overflowPunct/>
              <w:topLinePunct w:val="0"/>
              <w:autoSpaceDE w:val="0"/>
              <w:autoSpaceDN/>
              <w:bidi w:val="0"/>
              <w:adjustRightInd/>
              <w:spacing w:before="0" w:beforeAutospacing="0" w:after="0" w:afterAutospacing="0" w:line="360" w:lineRule="auto"/>
              <w:ind w:left="0" w:right="0" w:firstLine="480"/>
              <w:rPr>
                <w:rFonts w:hint="default" w:ascii="Times New Roman" w:hAnsi="Times New Roman" w:eastAsia="宋体" w:cs="Times New Roman"/>
                <w:color w:val="auto"/>
                <w:kern w:val="0"/>
                <w:position w:val="0"/>
                <w:sz w:val="21"/>
                <w:szCs w:val="21"/>
                <w:highlight w:val="none"/>
                <w:lang w:val="en-US" w:eastAsia="zh-CN" w:bidi="ar-SA"/>
              </w:rPr>
            </w:pPr>
            <w:r>
              <w:rPr>
                <w:rFonts w:hint="default" w:ascii="Times New Roman" w:hAnsi="Times New Roman" w:eastAsia="宋体" w:cs="Times New Roman"/>
                <w:color w:val="auto"/>
                <w:kern w:val="0"/>
                <w:position w:val="0"/>
                <w:sz w:val="21"/>
                <w:szCs w:val="21"/>
                <w:highlight w:val="none"/>
                <w:lang w:val="en-US" w:eastAsia="zh-CN" w:bidi="ar-SA"/>
              </w:rPr>
              <w:t>ηNOX——脱硝效率，%，为0。</w:t>
            </w:r>
          </w:p>
          <w:p w14:paraId="2D53ED6C">
            <w:pPr>
              <w:pStyle w:val="167"/>
              <w:keepNext w:val="0"/>
              <w:keepLines w:val="0"/>
              <w:pageBreakBefore w:val="0"/>
              <w:suppressLineNumbers w:val="0"/>
              <w:kinsoku/>
              <w:wordWrap/>
              <w:overflowPunct/>
              <w:topLinePunct w:val="0"/>
              <w:autoSpaceDE w:val="0"/>
              <w:autoSpaceDN/>
              <w:bidi w:val="0"/>
              <w:adjustRightInd/>
              <w:spacing w:before="0" w:beforeAutospacing="0" w:after="0" w:afterAutospacing="0" w:line="360" w:lineRule="auto"/>
              <w:ind w:left="0" w:right="0" w:firstLine="480"/>
              <w:rPr>
                <w:rFonts w:hint="default" w:ascii="Times New Roman" w:hAnsi="Times New Roman" w:eastAsia="宋体" w:cs="Times New Roman"/>
                <w:color w:val="auto"/>
                <w:kern w:val="0"/>
                <w:position w:val="0"/>
                <w:sz w:val="21"/>
                <w:szCs w:val="21"/>
                <w:highlight w:val="none"/>
                <w:lang w:val="en-US" w:eastAsia="zh-CN" w:bidi="ar-SA"/>
              </w:rPr>
            </w:pPr>
            <w:r>
              <w:rPr>
                <w:rFonts w:hint="default" w:ascii="Times New Roman" w:hAnsi="Times New Roman" w:eastAsia="宋体" w:cs="Times New Roman"/>
                <w:color w:val="auto"/>
                <w:kern w:val="0"/>
                <w:position w:val="0"/>
                <w:sz w:val="21"/>
                <w:szCs w:val="21"/>
                <w:highlight w:val="none"/>
                <w:lang w:val="en-US" w:eastAsia="zh-CN" w:bidi="ar-SA"/>
              </w:rPr>
              <w:t>Q——核算时段内标态干烟气排放量，m</w:t>
            </w:r>
            <w:r>
              <w:rPr>
                <w:rFonts w:hint="default" w:ascii="Times New Roman" w:hAnsi="Times New Roman" w:eastAsia="宋体" w:cs="Times New Roman"/>
                <w:color w:val="auto"/>
                <w:kern w:val="0"/>
                <w:position w:val="0"/>
                <w:sz w:val="21"/>
                <w:szCs w:val="21"/>
                <w:highlight w:val="none"/>
                <w:vertAlign w:val="superscript"/>
                <w:lang w:val="en-US" w:eastAsia="zh-CN" w:bidi="ar-SA"/>
              </w:rPr>
              <w:t>3</w:t>
            </w:r>
            <w:r>
              <w:rPr>
                <w:rFonts w:hint="default" w:ascii="Times New Roman" w:hAnsi="Times New Roman" w:eastAsia="宋体" w:cs="Times New Roman"/>
                <w:color w:val="auto"/>
                <w:kern w:val="0"/>
                <w:position w:val="0"/>
                <w:sz w:val="21"/>
                <w:szCs w:val="21"/>
                <w:highlight w:val="none"/>
                <w:lang w:val="en-US" w:eastAsia="zh-CN" w:bidi="ar-SA"/>
              </w:rPr>
              <w:t>，</w:t>
            </w:r>
          </w:p>
          <w:p w14:paraId="24E4C247">
            <w:pPr>
              <w:pStyle w:val="167"/>
              <w:keepNext w:val="0"/>
              <w:keepLines w:val="0"/>
              <w:pageBreakBefore w:val="0"/>
              <w:suppressLineNumbers w:val="0"/>
              <w:kinsoku/>
              <w:wordWrap/>
              <w:overflowPunct/>
              <w:topLinePunct w:val="0"/>
              <w:autoSpaceDE w:val="0"/>
              <w:autoSpaceDN/>
              <w:bidi w:val="0"/>
              <w:adjustRightInd/>
              <w:spacing w:before="0" w:beforeAutospacing="0" w:after="0" w:afterAutospacing="0" w:line="360" w:lineRule="auto"/>
              <w:ind w:left="0" w:right="0" w:firstLine="480"/>
              <w:rPr>
                <w:rFonts w:hint="eastAsia" w:ascii="Times New Roman" w:hAnsi="Times New Roman" w:eastAsia="宋体" w:cs="Times New Roman"/>
                <w:color w:val="auto"/>
                <w:kern w:val="0"/>
                <w:position w:val="0"/>
                <w:sz w:val="21"/>
                <w:szCs w:val="21"/>
                <w:highlight w:val="none"/>
                <w:lang w:val="en-US" w:eastAsia="zh-CN" w:bidi="ar-SA"/>
              </w:rPr>
            </w:pPr>
            <w:r>
              <w:rPr>
                <w:rFonts w:hint="default" w:ascii="Times New Roman" w:hAnsi="Times New Roman" w:eastAsia="宋体" w:cs="Times New Roman"/>
                <w:color w:val="auto"/>
                <w:kern w:val="0"/>
                <w:position w:val="0"/>
                <w:sz w:val="21"/>
                <w:szCs w:val="21"/>
                <w:highlight w:val="none"/>
                <w:lang w:val="en-US" w:eastAsia="zh-CN" w:bidi="ar-SA"/>
              </w:rPr>
              <w:t>锅炉烟气氮氧化物排放量为</w:t>
            </w:r>
            <w:r>
              <w:rPr>
                <w:rFonts w:hint="eastAsia" w:cs="Times New Roman"/>
                <w:color w:val="auto"/>
                <w:kern w:val="0"/>
                <w:position w:val="0"/>
                <w:sz w:val="21"/>
                <w:szCs w:val="21"/>
                <w:highlight w:val="none"/>
                <w:lang w:val="en-US" w:eastAsia="zh-CN" w:bidi="ar-SA"/>
              </w:rPr>
              <w:t>2.405</w:t>
            </w:r>
            <w:r>
              <w:rPr>
                <w:rFonts w:hint="default" w:ascii="Times New Roman" w:hAnsi="Times New Roman" w:eastAsia="宋体" w:cs="Times New Roman"/>
                <w:color w:val="auto"/>
                <w:kern w:val="0"/>
                <w:position w:val="0"/>
                <w:sz w:val="21"/>
                <w:szCs w:val="21"/>
                <w:highlight w:val="none"/>
                <w:lang w:val="en-US" w:eastAsia="zh-CN" w:bidi="ar-SA"/>
              </w:rPr>
              <w:t>t/a，</w:t>
            </w:r>
            <w:r>
              <w:rPr>
                <w:rFonts w:hint="eastAsia" w:cs="Times New Roman"/>
                <w:color w:val="auto"/>
                <w:kern w:val="0"/>
                <w:position w:val="0"/>
                <w:sz w:val="21"/>
                <w:szCs w:val="21"/>
                <w:highlight w:val="none"/>
                <w:lang w:val="en-US" w:eastAsia="zh-CN" w:bidi="ar-SA"/>
              </w:rPr>
              <w:t>1.002</w:t>
            </w:r>
            <w:r>
              <w:rPr>
                <w:rFonts w:hint="default" w:ascii="Times New Roman" w:hAnsi="Times New Roman" w:eastAsia="宋体" w:cs="Times New Roman"/>
                <w:color w:val="auto"/>
                <w:kern w:val="0"/>
                <w:position w:val="0"/>
                <w:sz w:val="21"/>
                <w:szCs w:val="21"/>
                <w:highlight w:val="none"/>
                <w:lang w:val="en-US" w:eastAsia="zh-CN" w:bidi="ar-SA"/>
              </w:rPr>
              <w:t>kg/h</w:t>
            </w:r>
            <w:r>
              <w:rPr>
                <w:rFonts w:hint="eastAsia" w:ascii="Times New Roman" w:hAnsi="Times New Roman" w:eastAsia="宋体" w:cs="Times New Roman"/>
                <w:color w:val="auto"/>
                <w:kern w:val="0"/>
                <w:position w:val="0"/>
                <w:sz w:val="21"/>
                <w:szCs w:val="21"/>
                <w:highlight w:val="none"/>
                <w:lang w:val="en-US" w:eastAsia="zh-CN" w:bidi="ar-SA"/>
              </w:rPr>
              <w:t>。</w:t>
            </w:r>
          </w:p>
          <w:p w14:paraId="3449AEDA">
            <w:pPr>
              <w:pStyle w:val="2"/>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auto"/>
              <w:rPr>
                <w:rFonts w:hint="default"/>
                <w:color w:val="FF0000"/>
                <w:sz w:val="21"/>
                <w:szCs w:val="21"/>
                <w:highlight w:val="none"/>
              </w:rPr>
            </w:pPr>
            <w:r>
              <w:rPr>
                <w:rFonts w:hint="eastAsia" w:cs="Times New Roman"/>
                <w:color w:val="FF0000"/>
                <w:kern w:val="0"/>
                <w:position w:val="0"/>
                <w:sz w:val="21"/>
                <w:szCs w:val="21"/>
                <w:highlight w:val="none"/>
                <w:lang w:val="en-US" w:eastAsia="zh-CN" w:bidi="ar-SA"/>
              </w:rPr>
              <w:t>⑤</w:t>
            </w:r>
            <w:r>
              <w:rPr>
                <w:rFonts w:hint="eastAsia"/>
                <w:color w:val="FF0000"/>
                <w:sz w:val="21"/>
                <w:szCs w:val="21"/>
                <w:highlight w:val="none"/>
              </w:rPr>
              <w:t>汞及其化合物</w:t>
            </w:r>
          </w:p>
          <w:p w14:paraId="3E832B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FF0000"/>
                <w:kern w:val="0"/>
                <w:position w:val="0"/>
                <w:sz w:val="21"/>
                <w:szCs w:val="21"/>
                <w:highlight w:val="none"/>
                <w:lang w:val="en-US" w:eastAsia="zh-CN" w:bidi="ar-SA"/>
              </w:rPr>
            </w:pPr>
            <w:r>
              <w:rPr>
                <w:rFonts w:hint="default"/>
                <w:color w:val="FF0000"/>
                <w:sz w:val="21"/>
                <w:szCs w:val="21"/>
                <w:highlight w:val="none"/>
              </w:rPr>
              <w:t>生物质分析报告中未体现汞含量，根据《直接法测定固体生物质燃料中汞的试验研究》（煤质技术，2020年）可知，生物质汞含量为15.47ng/g。故，由于生物质颗粒汞含量低的特点，本项目暂不考虑汞的排放</w:t>
            </w:r>
            <w:r>
              <w:rPr>
                <w:rFonts w:hint="default" w:ascii="Times New Roman" w:hAnsi="Times New Roman" w:cs="Times New Roman"/>
                <w:color w:val="FF0000"/>
                <w:sz w:val="21"/>
                <w:szCs w:val="21"/>
                <w:highlight w:val="none"/>
              </w:rPr>
              <w:t>。</w:t>
            </w:r>
          </w:p>
          <w:p w14:paraId="6FBCAAD5">
            <w:pPr>
              <w:pStyle w:val="15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spacing w:val="0"/>
                <w:sz w:val="21"/>
                <w:szCs w:val="21"/>
                <w:highlight w:val="none"/>
              </w:rPr>
              <w:t>本项目</w:t>
            </w:r>
            <w:r>
              <w:rPr>
                <w:rFonts w:hint="eastAsia" w:ascii="Times New Roman" w:hAnsi="Times New Roman" w:eastAsia="宋体" w:cs="Times New Roman"/>
                <w:bCs/>
                <w:color w:val="auto"/>
                <w:spacing w:val="0"/>
                <w:sz w:val="21"/>
                <w:szCs w:val="21"/>
                <w:highlight w:val="none"/>
                <w:lang w:eastAsia="zh-CN"/>
              </w:rPr>
              <w:t>热风炉</w:t>
            </w:r>
            <w:r>
              <w:rPr>
                <w:rFonts w:hint="default" w:ascii="Times New Roman" w:hAnsi="Times New Roman" w:eastAsia="宋体" w:cs="Times New Roman"/>
                <w:bCs/>
                <w:color w:val="auto"/>
                <w:spacing w:val="0"/>
                <w:sz w:val="21"/>
                <w:szCs w:val="21"/>
                <w:highlight w:val="none"/>
              </w:rPr>
              <w:t>大气污染物</w:t>
            </w:r>
            <w:r>
              <w:rPr>
                <w:rFonts w:hint="eastAsia" w:ascii="Times New Roman" w:hAnsi="Times New Roman" w:eastAsia="宋体" w:cs="Times New Roman"/>
                <w:bCs/>
                <w:color w:val="auto"/>
                <w:spacing w:val="0"/>
                <w:sz w:val="21"/>
                <w:szCs w:val="21"/>
                <w:highlight w:val="none"/>
                <w:lang w:eastAsia="zh-CN"/>
              </w:rPr>
              <w:t>产生</w:t>
            </w:r>
            <w:r>
              <w:rPr>
                <w:rFonts w:hint="default" w:ascii="Times New Roman" w:hAnsi="Times New Roman" w:eastAsia="宋体" w:cs="Times New Roman"/>
                <w:bCs/>
                <w:color w:val="auto"/>
                <w:spacing w:val="0"/>
                <w:sz w:val="21"/>
                <w:szCs w:val="21"/>
                <w:highlight w:val="none"/>
              </w:rPr>
              <w:t>量为：</w:t>
            </w:r>
            <w:r>
              <w:rPr>
                <w:rFonts w:hint="eastAsia" w:cs="Times New Roman"/>
                <w:bCs/>
                <w:color w:val="auto"/>
                <w:spacing w:val="0"/>
                <w:sz w:val="21"/>
                <w:szCs w:val="21"/>
                <w:highlight w:val="none"/>
                <w:lang w:val="en-US" w:eastAsia="zh-CN"/>
              </w:rPr>
              <w:t>颗粒物</w:t>
            </w:r>
            <w:r>
              <w:rPr>
                <w:rFonts w:hint="default" w:ascii="Times New Roman" w:hAnsi="Times New Roman" w:eastAsia="宋体" w:cs="Times New Roman"/>
                <w:bCs/>
                <w:color w:val="auto"/>
                <w:spacing w:val="0"/>
                <w:sz w:val="21"/>
                <w:szCs w:val="21"/>
                <w:highlight w:val="none"/>
              </w:rPr>
              <w:t>：</w:t>
            </w:r>
            <w:r>
              <w:rPr>
                <w:rFonts w:hint="eastAsia" w:cs="Times New Roman"/>
                <w:bCs/>
                <w:color w:val="auto"/>
                <w:spacing w:val="0"/>
                <w:sz w:val="21"/>
                <w:szCs w:val="21"/>
                <w:highlight w:val="none"/>
                <w:lang w:val="en-US" w:eastAsia="zh-CN"/>
              </w:rPr>
              <w:t>41.572</w:t>
            </w:r>
            <w:r>
              <w:rPr>
                <w:rFonts w:hint="default" w:ascii="Times New Roman" w:hAnsi="Times New Roman" w:eastAsia="宋体" w:cs="Times New Roman"/>
                <w:bCs/>
                <w:color w:val="auto"/>
                <w:spacing w:val="0"/>
                <w:sz w:val="21"/>
                <w:szCs w:val="21"/>
                <w:highlight w:val="none"/>
              </w:rPr>
              <w:t>t/a</w:t>
            </w:r>
            <w:r>
              <w:rPr>
                <w:rFonts w:hint="eastAsia" w:ascii="Times New Roman" w:hAnsi="Times New Roman" w:eastAsia="宋体" w:cs="Times New Roman"/>
                <w:bCs/>
                <w:color w:val="auto"/>
                <w:spacing w:val="0"/>
                <w:sz w:val="21"/>
                <w:szCs w:val="21"/>
                <w:highlight w:val="none"/>
                <w:lang w:eastAsia="zh-CN"/>
              </w:rPr>
              <w:t>；</w:t>
            </w:r>
            <w:r>
              <w:rPr>
                <w:rFonts w:hint="default" w:ascii="Times New Roman" w:hAnsi="Times New Roman" w:eastAsia="宋体" w:cs="Times New Roman"/>
                <w:bCs/>
                <w:color w:val="auto"/>
                <w:spacing w:val="0"/>
                <w:sz w:val="21"/>
                <w:szCs w:val="21"/>
                <w:highlight w:val="none"/>
              </w:rPr>
              <w:t>SO</w:t>
            </w:r>
            <w:r>
              <w:rPr>
                <w:rFonts w:hint="default" w:ascii="Times New Roman" w:hAnsi="Times New Roman" w:eastAsia="宋体" w:cs="Times New Roman"/>
                <w:bCs/>
                <w:color w:val="auto"/>
                <w:spacing w:val="0"/>
                <w:sz w:val="21"/>
                <w:szCs w:val="21"/>
                <w:highlight w:val="none"/>
                <w:vertAlign w:val="subscript"/>
              </w:rPr>
              <w:t>2</w:t>
            </w:r>
            <w:r>
              <w:rPr>
                <w:rFonts w:hint="default" w:ascii="Times New Roman" w:hAnsi="Times New Roman" w:eastAsia="宋体" w:cs="Times New Roman"/>
                <w:bCs/>
                <w:color w:val="auto"/>
                <w:spacing w:val="0"/>
                <w:sz w:val="21"/>
                <w:szCs w:val="21"/>
                <w:highlight w:val="none"/>
              </w:rPr>
              <w:t>：</w:t>
            </w:r>
            <w:r>
              <w:rPr>
                <w:rFonts w:hint="eastAsia" w:cs="Times New Roman"/>
                <w:bCs/>
                <w:color w:val="auto"/>
                <w:spacing w:val="0"/>
                <w:sz w:val="21"/>
                <w:szCs w:val="21"/>
                <w:highlight w:val="none"/>
                <w:lang w:val="en-US" w:eastAsia="zh-CN"/>
              </w:rPr>
              <w:t>1.038</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NO</w:t>
            </w:r>
            <w:r>
              <w:rPr>
                <w:rFonts w:hint="default" w:ascii="Times New Roman" w:hAnsi="Times New Roman" w:eastAsia="宋体" w:cs="Times New Roman"/>
                <w:bCs/>
                <w:color w:val="auto"/>
                <w:spacing w:val="0"/>
                <w:sz w:val="21"/>
                <w:szCs w:val="21"/>
                <w:highlight w:val="none"/>
                <w:vertAlign w:val="subscript"/>
                <w:lang w:eastAsia="zh-CN"/>
              </w:rPr>
              <w:t>x</w:t>
            </w:r>
            <w:r>
              <w:rPr>
                <w:rFonts w:hint="eastAsia" w:cs="Times New Roman"/>
                <w:bCs/>
                <w:color w:val="auto"/>
                <w:spacing w:val="0"/>
                <w:sz w:val="21"/>
                <w:szCs w:val="21"/>
                <w:highlight w:val="none"/>
                <w:vertAlign w:val="baseline"/>
                <w:lang w:val="en-US" w:eastAsia="zh-CN"/>
              </w:rPr>
              <w:t>：2.405</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w:t>
            </w:r>
            <w:r>
              <w:rPr>
                <w:rFonts w:hint="default" w:ascii="Times New Roman" w:hAnsi="Times New Roman" w:cs="Times New Roman"/>
                <w:color w:val="auto"/>
                <w:sz w:val="21"/>
                <w:szCs w:val="21"/>
                <w:highlight w:val="none"/>
                <w:lang w:val="en-US" w:eastAsia="zh-CN"/>
              </w:rPr>
              <w:t>热风炉烟气</w:t>
            </w:r>
            <w:r>
              <w:rPr>
                <w:rFonts w:hint="eastAsia" w:ascii="Times New Roman" w:hAnsi="Times New Roman" w:cs="Times New Roman"/>
                <w:color w:val="auto"/>
                <w:sz w:val="21"/>
                <w:szCs w:val="21"/>
                <w:highlight w:val="none"/>
                <w:lang w:val="en-US" w:eastAsia="zh-CN"/>
              </w:rPr>
              <w:t>通过</w:t>
            </w:r>
            <w:r>
              <w:rPr>
                <w:rFonts w:hint="default" w:ascii="Times New Roman" w:hAnsi="Times New Roman" w:cs="Times New Roman"/>
                <w:color w:val="auto"/>
                <w:sz w:val="21"/>
                <w:szCs w:val="21"/>
                <w:highlight w:val="none"/>
                <w:lang w:val="en-US" w:eastAsia="zh-CN"/>
              </w:rPr>
              <w:t>布袋除尘器（除尘效率</w:t>
            </w:r>
            <w:r>
              <w:rPr>
                <w:rFonts w:hint="eastAsia" w:cs="Times New Roman"/>
                <w:color w:val="auto"/>
                <w:sz w:val="21"/>
                <w:szCs w:val="21"/>
                <w:highlight w:val="none"/>
                <w:lang w:val="en-US" w:eastAsia="zh-CN"/>
              </w:rPr>
              <w:t>99%</w:t>
            </w:r>
            <w:r>
              <w:rPr>
                <w:rFonts w:hint="default" w:ascii="Times New Roman" w:hAnsi="Times New Roman" w:cs="Times New Roman"/>
                <w:color w:val="auto"/>
                <w:sz w:val="21"/>
                <w:szCs w:val="21"/>
                <w:highlight w:val="none"/>
                <w:lang w:val="en-US" w:eastAsia="zh-CN"/>
              </w:rPr>
              <w:t>）处理后经过</w:t>
            </w:r>
            <w:r>
              <w:rPr>
                <w:rFonts w:hint="eastAsia" w:cs="Times New Roman"/>
                <w:color w:val="auto"/>
                <w:sz w:val="21"/>
                <w:szCs w:val="21"/>
                <w:highlight w:val="none"/>
                <w:lang w:val="en-US" w:eastAsia="zh-CN"/>
              </w:rPr>
              <w:t>15</w:t>
            </w:r>
            <w:r>
              <w:rPr>
                <w:rFonts w:hint="default" w:ascii="Times New Roman" w:hAnsi="Times New Roman" w:cs="Times New Roman"/>
                <w:color w:val="auto"/>
                <w:sz w:val="21"/>
                <w:szCs w:val="21"/>
                <w:highlight w:val="none"/>
                <w:lang w:val="en-US" w:eastAsia="zh-CN"/>
              </w:rPr>
              <w:t>m高</w:t>
            </w:r>
            <w:r>
              <w:rPr>
                <w:rFonts w:hint="eastAsia" w:cs="Times New Roman"/>
                <w:color w:val="auto"/>
                <w:sz w:val="21"/>
                <w:szCs w:val="21"/>
                <w:highlight w:val="none"/>
                <w:lang w:eastAsia="zh-CN"/>
              </w:rPr>
              <w:t>烟囱</w:t>
            </w:r>
            <w:r>
              <w:rPr>
                <w:rFonts w:hint="default" w:ascii="Times New Roman" w:hAnsi="Times New Roman" w:cs="Times New Roman"/>
                <w:color w:val="auto"/>
                <w:sz w:val="21"/>
                <w:szCs w:val="21"/>
                <w:highlight w:val="none"/>
                <w:lang w:val="en-US" w:eastAsia="zh-CN"/>
              </w:rPr>
              <w:t>排放</w:t>
            </w:r>
            <w:r>
              <w:rPr>
                <w:rFonts w:hint="eastAsia" w:ascii="Times New Roman" w:hAnsi="Times New Roman" w:cs="Times New Roman"/>
                <w:color w:val="auto"/>
                <w:sz w:val="21"/>
                <w:szCs w:val="21"/>
                <w:highlight w:val="none"/>
                <w:lang w:val="en-US" w:eastAsia="zh-CN"/>
              </w:rPr>
              <w:t>。则</w:t>
            </w:r>
            <w:r>
              <w:rPr>
                <w:rFonts w:hint="eastAsia" w:ascii="Times New Roman" w:hAnsi="Times New Roman" w:eastAsia="宋体" w:cs="Times New Roman"/>
                <w:bCs/>
                <w:color w:val="auto"/>
                <w:spacing w:val="0"/>
                <w:sz w:val="21"/>
                <w:szCs w:val="21"/>
                <w:highlight w:val="none"/>
                <w:lang w:eastAsia="zh-CN"/>
              </w:rPr>
              <w:t>热风炉</w:t>
            </w:r>
            <w:r>
              <w:rPr>
                <w:rFonts w:hint="default" w:ascii="Times New Roman" w:hAnsi="Times New Roman" w:eastAsia="宋体" w:cs="Times New Roman"/>
                <w:bCs/>
                <w:color w:val="auto"/>
                <w:spacing w:val="0"/>
                <w:sz w:val="21"/>
                <w:szCs w:val="21"/>
                <w:highlight w:val="none"/>
              </w:rPr>
              <w:t>大气污染物</w:t>
            </w:r>
            <w:r>
              <w:rPr>
                <w:rFonts w:hint="eastAsia" w:ascii="Times New Roman" w:hAnsi="Times New Roman" w:eastAsia="宋体" w:cs="Times New Roman"/>
                <w:bCs/>
                <w:color w:val="auto"/>
                <w:spacing w:val="0"/>
                <w:sz w:val="21"/>
                <w:szCs w:val="21"/>
                <w:highlight w:val="none"/>
                <w:lang w:eastAsia="zh-CN"/>
              </w:rPr>
              <w:t>排放</w:t>
            </w:r>
            <w:r>
              <w:rPr>
                <w:rFonts w:hint="default" w:ascii="Times New Roman" w:hAnsi="Times New Roman" w:eastAsia="宋体" w:cs="Times New Roman"/>
                <w:bCs/>
                <w:color w:val="auto"/>
                <w:spacing w:val="0"/>
                <w:sz w:val="21"/>
                <w:szCs w:val="21"/>
                <w:highlight w:val="none"/>
              </w:rPr>
              <w:t>量为：颗粒物：</w:t>
            </w:r>
            <w:r>
              <w:rPr>
                <w:rFonts w:hint="eastAsia" w:cs="Times New Roman"/>
                <w:bCs/>
                <w:color w:val="auto"/>
                <w:spacing w:val="0"/>
                <w:sz w:val="21"/>
                <w:szCs w:val="21"/>
                <w:highlight w:val="none"/>
                <w:lang w:val="en-US" w:eastAsia="zh-CN"/>
              </w:rPr>
              <w:t>0.473</w:t>
            </w:r>
            <w:r>
              <w:rPr>
                <w:rFonts w:hint="default" w:ascii="Times New Roman" w:hAnsi="Times New Roman" w:eastAsia="宋体" w:cs="Times New Roman"/>
                <w:bCs/>
                <w:color w:val="auto"/>
                <w:spacing w:val="0"/>
                <w:sz w:val="21"/>
                <w:szCs w:val="21"/>
                <w:highlight w:val="none"/>
              </w:rPr>
              <w:t>t/a</w:t>
            </w:r>
            <w:r>
              <w:rPr>
                <w:rFonts w:hint="eastAsia" w:ascii="Times New Roman" w:hAnsi="Times New Roman" w:eastAsia="宋体" w:cs="Times New Roman"/>
                <w:bCs/>
                <w:color w:val="auto"/>
                <w:spacing w:val="0"/>
                <w:sz w:val="21"/>
                <w:szCs w:val="21"/>
                <w:highlight w:val="none"/>
                <w:lang w:eastAsia="zh-CN"/>
              </w:rPr>
              <w:t>；</w:t>
            </w:r>
            <w:r>
              <w:rPr>
                <w:rFonts w:hint="default" w:ascii="Times New Roman" w:hAnsi="Times New Roman" w:eastAsia="宋体" w:cs="Times New Roman"/>
                <w:bCs/>
                <w:color w:val="auto"/>
                <w:spacing w:val="0"/>
                <w:sz w:val="21"/>
                <w:szCs w:val="21"/>
                <w:highlight w:val="none"/>
              </w:rPr>
              <w:t>SO</w:t>
            </w:r>
            <w:r>
              <w:rPr>
                <w:rFonts w:hint="default" w:ascii="Times New Roman" w:hAnsi="Times New Roman" w:eastAsia="宋体" w:cs="Times New Roman"/>
                <w:bCs/>
                <w:color w:val="auto"/>
                <w:spacing w:val="0"/>
                <w:sz w:val="21"/>
                <w:szCs w:val="21"/>
                <w:highlight w:val="none"/>
                <w:vertAlign w:val="subscript"/>
              </w:rPr>
              <w:t>2</w:t>
            </w:r>
            <w:r>
              <w:rPr>
                <w:rFonts w:hint="default" w:ascii="Times New Roman" w:hAnsi="Times New Roman" w:eastAsia="宋体" w:cs="Times New Roman"/>
                <w:bCs/>
                <w:color w:val="auto"/>
                <w:spacing w:val="0"/>
                <w:sz w:val="21"/>
                <w:szCs w:val="21"/>
                <w:highlight w:val="none"/>
              </w:rPr>
              <w:t>：</w:t>
            </w:r>
            <w:r>
              <w:rPr>
                <w:rFonts w:hint="eastAsia" w:cs="Times New Roman"/>
                <w:bCs/>
                <w:color w:val="auto"/>
                <w:spacing w:val="0"/>
                <w:sz w:val="21"/>
                <w:szCs w:val="21"/>
                <w:highlight w:val="none"/>
                <w:lang w:val="en-US" w:eastAsia="zh-CN"/>
              </w:rPr>
              <w:t>1.038</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NO</w:t>
            </w:r>
            <w:r>
              <w:rPr>
                <w:rFonts w:hint="default" w:ascii="Times New Roman" w:hAnsi="Times New Roman" w:eastAsia="宋体" w:cs="Times New Roman"/>
                <w:bCs/>
                <w:color w:val="auto"/>
                <w:spacing w:val="0"/>
                <w:sz w:val="21"/>
                <w:szCs w:val="21"/>
                <w:highlight w:val="none"/>
                <w:vertAlign w:val="subscript"/>
                <w:lang w:eastAsia="zh-CN"/>
              </w:rPr>
              <w:t>x</w:t>
            </w:r>
            <w:r>
              <w:rPr>
                <w:rFonts w:hint="eastAsia" w:cs="Times New Roman"/>
                <w:bCs/>
                <w:color w:val="auto"/>
                <w:spacing w:val="0"/>
                <w:sz w:val="21"/>
                <w:szCs w:val="21"/>
                <w:highlight w:val="none"/>
                <w:vertAlign w:val="baseline"/>
                <w:lang w:val="en-US" w:eastAsia="zh-CN"/>
              </w:rPr>
              <w:t>：2.405</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w:t>
            </w:r>
          </w:p>
          <w:p w14:paraId="0D6F51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FF0000"/>
                <w:kern w:val="0"/>
                <w:sz w:val="21"/>
                <w:szCs w:val="21"/>
                <w:highlight w:val="none"/>
                <w:lang w:eastAsia="zh-CN"/>
              </w:rPr>
            </w:pPr>
            <w:r>
              <w:rPr>
                <w:rFonts w:hint="eastAsia" w:ascii="Times New Roman" w:hAnsi="Times New Roman" w:eastAsia="宋体" w:cs="Times New Roman"/>
                <w:bCs/>
                <w:color w:val="FF0000"/>
                <w:kern w:val="0"/>
                <w:sz w:val="21"/>
                <w:szCs w:val="21"/>
                <w:highlight w:val="none"/>
                <w:lang w:val="en-US" w:eastAsia="zh-CN"/>
              </w:rPr>
              <w:t>2</w:t>
            </w:r>
            <w:r>
              <w:rPr>
                <w:rFonts w:hint="eastAsia" w:ascii="Times New Roman" w:hAnsi="Times New Roman" w:eastAsia="宋体" w:cs="Times New Roman"/>
                <w:bCs/>
                <w:color w:val="FF0000"/>
                <w:kern w:val="0"/>
                <w:sz w:val="21"/>
                <w:szCs w:val="21"/>
                <w:highlight w:val="none"/>
                <w:lang w:eastAsia="zh-CN"/>
              </w:rPr>
              <w:t>）</w:t>
            </w:r>
            <w:r>
              <w:rPr>
                <w:rFonts w:hint="default" w:ascii="Times New Roman" w:hAnsi="Times New Roman" w:eastAsia="宋体" w:cs="Times New Roman"/>
                <w:bCs/>
                <w:color w:val="FF0000"/>
                <w:kern w:val="0"/>
                <w:sz w:val="21"/>
                <w:szCs w:val="21"/>
                <w:highlight w:val="none"/>
                <w:lang w:eastAsia="zh-CN"/>
              </w:rPr>
              <w:t>热风炉灰渣储运扬尘</w:t>
            </w:r>
          </w:p>
          <w:p w14:paraId="7A3527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FF0000"/>
                <w:kern w:val="0"/>
                <w:sz w:val="21"/>
                <w:szCs w:val="21"/>
                <w:highlight w:val="none"/>
                <w:lang w:eastAsia="zh-CN"/>
              </w:rPr>
            </w:pPr>
            <w:r>
              <w:rPr>
                <w:rFonts w:hint="default" w:ascii="Times New Roman" w:hAnsi="Times New Roman" w:eastAsia="宋体" w:cs="Times New Roman"/>
                <w:bCs/>
                <w:color w:val="FF0000"/>
                <w:kern w:val="0"/>
                <w:sz w:val="21"/>
                <w:szCs w:val="21"/>
                <w:highlight w:val="none"/>
                <w:lang w:eastAsia="zh-CN"/>
              </w:rPr>
              <w:t>本项目热风炉灰渣</w:t>
            </w:r>
            <w:r>
              <w:rPr>
                <w:rFonts w:hint="eastAsia" w:cs="Times New Roman"/>
                <w:bCs/>
                <w:color w:val="FF0000"/>
                <w:kern w:val="0"/>
                <w:sz w:val="21"/>
                <w:szCs w:val="21"/>
                <w:highlight w:val="none"/>
                <w:lang w:eastAsia="zh-CN"/>
              </w:rPr>
              <w:t>通过除渣机运送至</w:t>
            </w:r>
            <w:r>
              <w:rPr>
                <w:rFonts w:hint="eastAsia" w:cs="Times New Roman"/>
                <w:bCs/>
                <w:color w:val="FF0000"/>
                <w:kern w:val="0"/>
                <w:sz w:val="21"/>
                <w:szCs w:val="21"/>
                <w:highlight w:val="none"/>
                <w:lang w:val="en-US" w:eastAsia="zh-CN"/>
              </w:rPr>
              <w:t>封闭灰渣间内</w:t>
            </w:r>
            <w:r>
              <w:rPr>
                <w:rFonts w:hint="default" w:ascii="Times New Roman" w:hAnsi="Times New Roman" w:eastAsia="宋体" w:cs="Times New Roman"/>
                <w:bCs/>
                <w:color w:val="FF0000"/>
                <w:kern w:val="0"/>
                <w:sz w:val="21"/>
                <w:szCs w:val="21"/>
                <w:highlight w:val="none"/>
                <w:lang w:eastAsia="zh-CN"/>
              </w:rPr>
              <w:t>，</w:t>
            </w:r>
            <w:r>
              <w:rPr>
                <w:rFonts w:hint="eastAsia" w:cs="Times New Roman"/>
                <w:bCs/>
                <w:color w:val="FF0000"/>
                <w:kern w:val="0"/>
                <w:sz w:val="21"/>
                <w:szCs w:val="21"/>
                <w:highlight w:val="none"/>
                <w:lang w:eastAsia="zh-CN"/>
              </w:rPr>
              <w:t>定期清运</w:t>
            </w:r>
            <w:r>
              <w:rPr>
                <w:rFonts w:hint="default" w:ascii="Times New Roman" w:hAnsi="Times New Roman" w:eastAsia="宋体" w:cs="Times New Roman"/>
                <w:bCs/>
                <w:color w:val="FF0000"/>
                <w:kern w:val="0"/>
                <w:sz w:val="21"/>
                <w:szCs w:val="21"/>
                <w:highlight w:val="none"/>
                <w:lang w:eastAsia="zh-CN"/>
              </w:rPr>
              <w:t>。热风炉灰渣储存及外运过程将产生扬尘，</w:t>
            </w:r>
            <w:r>
              <w:rPr>
                <w:rFonts w:hint="eastAsia" w:cs="Times New Roman"/>
                <w:bCs/>
                <w:color w:val="FF0000"/>
                <w:kern w:val="0"/>
                <w:sz w:val="21"/>
                <w:szCs w:val="21"/>
                <w:highlight w:val="none"/>
                <w:lang w:eastAsia="zh-CN"/>
              </w:rPr>
              <w:t>通过</w:t>
            </w:r>
            <w:r>
              <w:rPr>
                <w:rFonts w:hint="default" w:ascii="Times New Roman" w:hAnsi="Times New Roman" w:eastAsia="宋体" w:cs="Times New Roman"/>
                <w:bCs/>
                <w:color w:val="FF0000"/>
                <w:kern w:val="0"/>
                <w:sz w:val="21"/>
                <w:szCs w:val="21"/>
                <w:highlight w:val="none"/>
                <w:lang w:eastAsia="zh-CN"/>
              </w:rPr>
              <w:t>灰渣</w:t>
            </w:r>
            <w:r>
              <w:rPr>
                <w:rFonts w:hint="eastAsia" w:cs="Times New Roman"/>
                <w:bCs/>
                <w:color w:val="FF0000"/>
                <w:kern w:val="0"/>
                <w:sz w:val="21"/>
                <w:szCs w:val="21"/>
                <w:highlight w:val="none"/>
                <w:lang w:eastAsia="zh-CN"/>
              </w:rPr>
              <w:t>洒水调湿、对</w:t>
            </w:r>
            <w:r>
              <w:rPr>
                <w:rFonts w:hint="default" w:ascii="Times New Roman" w:hAnsi="Times New Roman" w:eastAsia="宋体" w:cs="Times New Roman"/>
                <w:bCs/>
                <w:color w:val="FF0000"/>
                <w:kern w:val="0"/>
                <w:sz w:val="21"/>
                <w:szCs w:val="21"/>
                <w:highlight w:val="none"/>
                <w:lang w:eastAsia="zh-CN"/>
              </w:rPr>
              <w:t>暂存位置、灰渣装运过程采取洒水降尘</w:t>
            </w:r>
            <w:r>
              <w:rPr>
                <w:rFonts w:hint="eastAsia" w:cs="Times New Roman"/>
                <w:bCs/>
                <w:color w:val="FF0000"/>
                <w:kern w:val="0"/>
                <w:sz w:val="21"/>
                <w:szCs w:val="21"/>
                <w:highlight w:val="none"/>
                <w:lang w:eastAsia="zh-CN"/>
              </w:rPr>
              <w:t>以及厂房密闭措施，</w:t>
            </w:r>
            <w:r>
              <w:rPr>
                <w:rFonts w:hint="default" w:ascii="Times New Roman" w:hAnsi="Times New Roman" w:eastAsia="宋体" w:cs="Times New Roman"/>
                <w:bCs/>
                <w:color w:val="FF0000"/>
                <w:kern w:val="0"/>
                <w:sz w:val="21"/>
                <w:szCs w:val="21"/>
                <w:highlight w:val="none"/>
                <w:lang w:eastAsia="zh-CN"/>
              </w:rPr>
              <w:t>可有效</w:t>
            </w:r>
            <w:r>
              <w:rPr>
                <w:rFonts w:hint="eastAsia" w:cs="Times New Roman"/>
                <w:bCs/>
                <w:color w:val="FF0000"/>
                <w:kern w:val="0"/>
                <w:sz w:val="21"/>
                <w:szCs w:val="21"/>
                <w:highlight w:val="none"/>
                <w:lang w:eastAsia="zh-CN"/>
              </w:rPr>
              <w:t>减少无组织</w:t>
            </w:r>
            <w:r>
              <w:rPr>
                <w:rFonts w:hint="default" w:ascii="Times New Roman" w:hAnsi="Times New Roman" w:eastAsia="宋体" w:cs="Times New Roman"/>
                <w:bCs/>
                <w:color w:val="FF0000"/>
                <w:kern w:val="0"/>
                <w:sz w:val="21"/>
                <w:szCs w:val="21"/>
                <w:highlight w:val="none"/>
                <w:lang w:eastAsia="zh-CN"/>
              </w:rPr>
              <w:t>扬尘</w:t>
            </w:r>
            <w:r>
              <w:rPr>
                <w:rFonts w:hint="eastAsia" w:cs="Times New Roman"/>
                <w:bCs/>
                <w:color w:val="FF0000"/>
                <w:kern w:val="0"/>
                <w:sz w:val="21"/>
                <w:szCs w:val="21"/>
                <w:highlight w:val="none"/>
                <w:lang w:eastAsia="zh-CN"/>
              </w:rPr>
              <w:t>排放</w:t>
            </w:r>
            <w:r>
              <w:rPr>
                <w:rFonts w:hint="default" w:ascii="Times New Roman" w:hAnsi="Times New Roman" w:eastAsia="宋体" w:cs="Times New Roman"/>
                <w:bCs/>
                <w:color w:val="FF0000"/>
                <w:kern w:val="0"/>
                <w:sz w:val="21"/>
                <w:szCs w:val="21"/>
                <w:highlight w:val="none"/>
                <w:lang w:eastAsia="zh-CN"/>
              </w:rPr>
              <w:t>。</w:t>
            </w:r>
          </w:p>
          <w:p w14:paraId="3A1556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eastAsia" w:cs="Times New Roman"/>
                <w:bCs/>
                <w:color w:val="auto"/>
                <w:kern w:val="0"/>
                <w:sz w:val="21"/>
                <w:szCs w:val="21"/>
                <w:highlight w:val="none"/>
                <w:lang w:val="en-US" w:eastAsia="zh-CN"/>
              </w:rPr>
              <w:t>3</w:t>
            </w:r>
            <w:r>
              <w:rPr>
                <w:rFonts w:hint="eastAsia" w:ascii="Times New Roman" w:hAnsi="Times New Roman" w:eastAsia="宋体"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初清</w:t>
            </w:r>
            <w:r>
              <w:rPr>
                <w:rFonts w:hint="default" w:ascii="Times New Roman" w:hAnsi="Times New Roman" w:eastAsia="宋体" w:cs="Times New Roman"/>
                <w:bCs/>
                <w:color w:val="auto"/>
                <w:kern w:val="0"/>
                <w:sz w:val="21"/>
                <w:szCs w:val="21"/>
                <w:highlight w:val="none"/>
                <w:lang w:eastAsia="zh-CN"/>
              </w:rPr>
              <w:t>筛分粉尘</w:t>
            </w:r>
          </w:p>
          <w:p w14:paraId="6E7061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eastAsia="zh-CN"/>
              </w:rPr>
              <w:t>本项目粮食进入粮仓之前进行筛分，筛分产生的粉尘根据《逸散性工业粉尘控制技术》中谷物贮仓，筛分和清理系数为1.5kg/t（清理料）</w:t>
            </w:r>
            <w:r>
              <w:rPr>
                <w:rFonts w:hint="eastAsia"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本项目</w:t>
            </w:r>
            <w:r>
              <w:rPr>
                <w:rFonts w:hint="default" w:ascii="Times New Roman" w:hAnsi="Times New Roman" w:eastAsia="宋体" w:cs="Times New Roman"/>
                <w:bCs/>
                <w:color w:val="auto"/>
                <w:kern w:val="0"/>
                <w:sz w:val="21"/>
                <w:szCs w:val="21"/>
                <w:highlight w:val="none"/>
                <w:lang w:eastAsia="zh-CN"/>
              </w:rPr>
              <w:t>筛分量为</w:t>
            </w:r>
            <w:r>
              <w:rPr>
                <w:rFonts w:hint="eastAsia" w:cs="Times New Roman"/>
                <w:bCs/>
                <w:color w:val="auto"/>
                <w:kern w:val="0"/>
                <w:sz w:val="21"/>
                <w:szCs w:val="21"/>
                <w:highlight w:val="none"/>
                <w:lang w:val="en-US" w:eastAsia="zh-CN"/>
              </w:rPr>
              <w:t>19998</w:t>
            </w:r>
            <w:r>
              <w:rPr>
                <w:rFonts w:hint="default" w:ascii="Times New Roman" w:hAnsi="Times New Roman" w:eastAsia="宋体" w:cs="Times New Roman"/>
                <w:bCs/>
                <w:color w:val="auto"/>
                <w:kern w:val="0"/>
                <w:sz w:val="21"/>
                <w:szCs w:val="21"/>
                <w:highlight w:val="none"/>
                <w:lang w:eastAsia="zh-CN"/>
              </w:rPr>
              <w:t>t，粉尘</w:t>
            </w:r>
            <w:r>
              <w:rPr>
                <w:rFonts w:hint="eastAsia" w:ascii="Times New Roman" w:hAnsi="Times New Roman" w:eastAsia="宋体" w:cs="Times New Roman"/>
                <w:bCs/>
                <w:color w:val="auto"/>
                <w:kern w:val="0"/>
                <w:sz w:val="21"/>
                <w:szCs w:val="21"/>
                <w:highlight w:val="none"/>
                <w:lang w:val="en-US" w:eastAsia="zh-CN"/>
              </w:rPr>
              <w:t>产生</w:t>
            </w:r>
            <w:r>
              <w:rPr>
                <w:rFonts w:hint="default" w:ascii="Times New Roman" w:hAnsi="Times New Roman" w:eastAsia="宋体" w:cs="Times New Roman"/>
                <w:bCs/>
                <w:color w:val="auto"/>
                <w:kern w:val="0"/>
                <w:sz w:val="21"/>
                <w:szCs w:val="21"/>
                <w:highlight w:val="none"/>
                <w:lang w:eastAsia="zh-CN"/>
              </w:rPr>
              <w:t>量为</w:t>
            </w:r>
            <w:r>
              <w:rPr>
                <w:rFonts w:hint="eastAsia" w:cs="Times New Roman"/>
                <w:bCs/>
                <w:color w:val="auto"/>
                <w:kern w:val="0"/>
                <w:sz w:val="21"/>
                <w:szCs w:val="21"/>
                <w:highlight w:val="none"/>
                <w:lang w:val="en-US" w:eastAsia="zh-CN"/>
              </w:rPr>
              <w:t>29.997</w:t>
            </w:r>
            <w:r>
              <w:rPr>
                <w:rFonts w:hint="default" w:ascii="Times New Roman" w:hAnsi="Times New Roman" w:eastAsia="宋体" w:cs="Times New Roman"/>
                <w:bCs/>
                <w:color w:val="auto"/>
                <w:kern w:val="0"/>
                <w:sz w:val="21"/>
                <w:szCs w:val="21"/>
                <w:highlight w:val="none"/>
                <w:lang w:eastAsia="zh-CN"/>
              </w:rPr>
              <w:t>t/a，</w:t>
            </w:r>
            <w:r>
              <w:rPr>
                <w:rFonts w:hint="eastAsia" w:ascii="Times New Roman" w:hAnsi="Times New Roman" w:cs="Times New Roman"/>
                <w:color w:val="auto"/>
                <w:sz w:val="21"/>
                <w:szCs w:val="21"/>
                <w:highlight w:val="none"/>
                <w:lang w:eastAsia="zh-CN"/>
              </w:rPr>
              <w:t>清粮采用全密闭</w:t>
            </w:r>
            <w:r>
              <w:rPr>
                <w:rFonts w:hint="eastAsia" w:ascii="Times New Roman" w:hAnsi="Times New Roman" w:cs="Times New Roman"/>
                <w:color w:val="auto"/>
                <w:sz w:val="21"/>
                <w:szCs w:val="21"/>
                <w:highlight w:val="none"/>
                <w:lang w:val="en-US" w:eastAsia="zh-CN"/>
              </w:rPr>
              <w:t>清选</w:t>
            </w:r>
            <w:r>
              <w:rPr>
                <w:rFonts w:hint="eastAsia" w:ascii="Times New Roman" w:hAnsi="Times New Roman" w:cs="Times New Roman"/>
                <w:color w:val="auto"/>
                <w:sz w:val="21"/>
                <w:szCs w:val="21"/>
                <w:highlight w:val="none"/>
                <w:lang w:eastAsia="zh-CN"/>
              </w:rPr>
              <w:t>筛，产生的粉尘经设备</w:t>
            </w:r>
            <w:r>
              <w:rPr>
                <w:rFonts w:hint="eastAsia" w:cs="Times New Roman"/>
                <w:color w:val="auto"/>
                <w:sz w:val="21"/>
                <w:szCs w:val="21"/>
                <w:highlight w:val="none"/>
                <w:lang w:eastAsia="zh-CN"/>
              </w:rPr>
              <w:t>自带滤袋</w:t>
            </w:r>
            <w:r>
              <w:rPr>
                <w:rFonts w:hint="eastAsia" w:ascii="Times New Roman" w:hAnsi="Times New Roman" w:cs="Times New Roman"/>
                <w:color w:val="auto"/>
                <w:sz w:val="21"/>
                <w:szCs w:val="21"/>
                <w:highlight w:val="none"/>
                <w:lang w:eastAsia="zh-CN"/>
              </w:rPr>
              <w:t>处理后</w:t>
            </w:r>
            <w:r>
              <w:rPr>
                <w:rFonts w:hint="eastAsia" w:cs="Times New Roman"/>
                <w:color w:val="auto"/>
                <w:sz w:val="21"/>
                <w:szCs w:val="21"/>
                <w:highlight w:val="none"/>
                <w:lang w:eastAsia="zh-CN"/>
              </w:rPr>
              <w:t>无组织</w:t>
            </w:r>
            <w:r>
              <w:rPr>
                <w:rFonts w:hint="eastAsia" w:ascii="Times New Roman" w:hAnsi="Times New Roman" w:cs="Times New Roman"/>
                <w:color w:val="auto"/>
                <w:sz w:val="21"/>
                <w:szCs w:val="21"/>
                <w:highlight w:val="none"/>
                <w:lang w:eastAsia="zh-CN"/>
              </w:rPr>
              <w:t>排放，</w:t>
            </w:r>
            <w:r>
              <w:rPr>
                <w:rFonts w:hint="default" w:ascii="Times New Roman" w:hAnsi="Times New Roman" w:eastAsia="宋体" w:cs="Times New Roman"/>
                <w:bCs/>
                <w:color w:val="auto"/>
                <w:kern w:val="0"/>
                <w:sz w:val="21"/>
                <w:szCs w:val="21"/>
                <w:highlight w:val="none"/>
                <w:lang w:eastAsia="zh-CN"/>
              </w:rPr>
              <w:t>处理效率为99%，则粉尘排放量为</w:t>
            </w:r>
            <w:r>
              <w:rPr>
                <w:rFonts w:hint="eastAsia" w:cs="Times New Roman"/>
                <w:bCs/>
                <w:color w:val="auto"/>
                <w:kern w:val="0"/>
                <w:sz w:val="21"/>
                <w:szCs w:val="21"/>
                <w:highlight w:val="none"/>
                <w:lang w:val="en-US" w:eastAsia="zh-CN"/>
              </w:rPr>
              <w:t>0.3</w:t>
            </w:r>
            <w:r>
              <w:rPr>
                <w:rFonts w:hint="default" w:ascii="Times New Roman" w:hAnsi="Times New Roman" w:eastAsia="宋体" w:cs="Times New Roman"/>
                <w:bCs/>
                <w:color w:val="auto"/>
                <w:kern w:val="0"/>
                <w:sz w:val="21"/>
                <w:szCs w:val="21"/>
                <w:highlight w:val="none"/>
                <w:lang w:eastAsia="zh-CN"/>
              </w:rPr>
              <w:t>t/a，排放速率为</w:t>
            </w:r>
            <w:r>
              <w:rPr>
                <w:rFonts w:hint="eastAsia" w:cs="Times New Roman"/>
                <w:bCs/>
                <w:color w:val="auto"/>
                <w:kern w:val="0"/>
                <w:sz w:val="21"/>
                <w:szCs w:val="21"/>
                <w:highlight w:val="none"/>
                <w:lang w:val="en-US" w:eastAsia="zh-CN"/>
              </w:rPr>
              <w:t>0.125</w:t>
            </w:r>
            <w:r>
              <w:rPr>
                <w:rFonts w:hint="default" w:ascii="Times New Roman" w:hAnsi="Times New Roman" w:eastAsia="宋体" w:cs="Times New Roman"/>
                <w:bCs/>
                <w:color w:val="auto"/>
                <w:kern w:val="0"/>
                <w:sz w:val="21"/>
                <w:szCs w:val="21"/>
                <w:highlight w:val="none"/>
                <w:lang w:eastAsia="zh-CN"/>
              </w:rPr>
              <w:t>kg/h。</w:t>
            </w:r>
          </w:p>
          <w:p w14:paraId="6410C7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eastAsia" w:cs="Times New Roman"/>
                <w:bCs/>
                <w:color w:val="auto"/>
                <w:kern w:val="0"/>
                <w:sz w:val="21"/>
                <w:szCs w:val="21"/>
                <w:highlight w:val="none"/>
                <w:lang w:val="en-US" w:eastAsia="zh-CN"/>
              </w:rPr>
              <w:t>4</w:t>
            </w:r>
            <w:r>
              <w:rPr>
                <w:rFonts w:hint="eastAsia" w:cs="Times New Roman"/>
                <w:bCs/>
                <w:color w:val="auto"/>
                <w:kern w:val="0"/>
                <w:sz w:val="21"/>
                <w:szCs w:val="21"/>
                <w:highlight w:val="none"/>
                <w:lang w:eastAsia="zh-CN"/>
              </w:rPr>
              <w:t>）</w:t>
            </w:r>
            <w:r>
              <w:rPr>
                <w:rFonts w:hint="eastAsia" w:ascii="Times New Roman" w:hAnsi="Times New Roman" w:eastAsia="宋体" w:cs="Times New Roman"/>
                <w:bCs/>
                <w:color w:val="auto"/>
                <w:kern w:val="0"/>
                <w:sz w:val="21"/>
                <w:szCs w:val="21"/>
                <w:highlight w:val="none"/>
                <w:lang w:eastAsia="zh-CN"/>
              </w:rPr>
              <w:t>原料</w:t>
            </w:r>
            <w:r>
              <w:rPr>
                <w:rFonts w:hint="default" w:ascii="Times New Roman" w:hAnsi="Times New Roman" w:eastAsia="宋体" w:cs="Times New Roman"/>
                <w:bCs/>
                <w:color w:val="auto"/>
                <w:kern w:val="0"/>
                <w:sz w:val="21"/>
                <w:szCs w:val="21"/>
                <w:highlight w:val="none"/>
                <w:lang w:eastAsia="zh-CN"/>
              </w:rPr>
              <w:t>输送装卸粉尘</w:t>
            </w:r>
          </w:p>
          <w:p w14:paraId="597CE7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eastAsia="zh-CN"/>
              </w:rPr>
              <w:t>本项目装卸、运输过程中会产生废气，主要污染物为颗粒物，根据《逸散性工业粉尘控制技术》中谷物贮仓，卡车装卸粉尘系数为0.1kg/t（卸料），本项目装卸</w:t>
            </w:r>
            <w:r>
              <w:rPr>
                <w:rFonts w:hint="eastAsia" w:ascii="Times New Roman" w:hAnsi="Times New Roman" w:eastAsia="宋体" w:cs="Times New Roman"/>
                <w:bCs/>
                <w:color w:val="auto"/>
                <w:kern w:val="0"/>
                <w:sz w:val="21"/>
                <w:szCs w:val="21"/>
                <w:highlight w:val="none"/>
                <w:lang w:eastAsia="zh-CN"/>
              </w:rPr>
              <w:t>原料</w:t>
            </w:r>
            <w:r>
              <w:rPr>
                <w:rFonts w:hint="default" w:ascii="Times New Roman" w:hAnsi="Times New Roman" w:eastAsia="宋体" w:cs="Times New Roman"/>
                <w:bCs/>
                <w:color w:val="auto"/>
                <w:kern w:val="0"/>
                <w:sz w:val="21"/>
                <w:szCs w:val="21"/>
                <w:highlight w:val="none"/>
                <w:lang w:eastAsia="zh-CN"/>
              </w:rPr>
              <w:t>量</w:t>
            </w:r>
            <w:r>
              <w:rPr>
                <w:rFonts w:hint="eastAsia" w:cs="Times New Roman"/>
                <w:bCs/>
                <w:color w:val="auto"/>
                <w:kern w:val="0"/>
                <w:sz w:val="21"/>
                <w:szCs w:val="21"/>
                <w:highlight w:val="none"/>
                <w:lang w:val="en-US" w:eastAsia="zh-CN"/>
              </w:rPr>
              <w:t>20000t</w:t>
            </w:r>
            <w:r>
              <w:rPr>
                <w:rFonts w:hint="default" w:ascii="Times New Roman" w:hAnsi="Times New Roman" w:eastAsia="宋体" w:cs="Times New Roman"/>
                <w:bCs/>
                <w:color w:val="auto"/>
                <w:kern w:val="0"/>
                <w:sz w:val="21"/>
                <w:szCs w:val="21"/>
                <w:highlight w:val="none"/>
                <w:lang w:eastAsia="zh-CN"/>
              </w:rPr>
              <w:t>，粉尘产生量为</w:t>
            </w:r>
            <w:r>
              <w:rPr>
                <w:rFonts w:hint="eastAsia" w:cs="Times New Roman"/>
                <w:bCs/>
                <w:color w:val="auto"/>
                <w:kern w:val="0"/>
                <w:sz w:val="21"/>
                <w:szCs w:val="21"/>
                <w:highlight w:val="none"/>
                <w:lang w:val="en-US" w:eastAsia="zh-CN"/>
              </w:rPr>
              <w:t>2</w:t>
            </w:r>
            <w:r>
              <w:rPr>
                <w:rFonts w:hint="default" w:ascii="Times New Roman" w:hAnsi="Times New Roman" w:eastAsia="宋体" w:cs="Times New Roman"/>
                <w:bCs/>
                <w:color w:val="auto"/>
                <w:kern w:val="0"/>
                <w:sz w:val="21"/>
                <w:szCs w:val="21"/>
                <w:highlight w:val="none"/>
                <w:lang w:eastAsia="zh-CN"/>
              </w:rPr>
              <w:t>t/a，</w:t>
            </w:r>
            <w:r>
              <w:rPr>
                <w:rFonts w:hint="eastAsia" w:ascii="Times New Roman" w:hAnsi="Times New Roman" w:eastAsia="宋体" w:cs="Times New Roman"/>
                <w:bCs/>
                <w:color w:val="auto"/>
                <w:kern w:val="0"/>
                <w:sz w:val="21"/>
                <w:szCs w:val="21"/>
                <w:highlight w:val="none"/>
                <w:lang w:eastAsia="zh-CN"/>
              </w:rPr>
              <w:t>粉</w:t>
            </w:r>
            <w:r>
              <w:rPr>
                <w:rFonts w:hint="default" w:ascii="Times New Roman" w:hAnsi="Times New Roman" w:eastAsia="宋体" w:cs="Times New Roman"/>
                <w:bCs/>
                <w:color w:val="auto"/>
                <w:kern w:val="0"/>
                <w:sz w:val="21"/>
                <w:szCs w:val="21"/>
                <w:highlight w:val="none"/>
                <w:lang w:eastAsia="zh-CN"/>
              </w:rPr>
              <w:t>尘产生速率为</w:t>
            </w:r>
            <w:r>
              <w:rPr>
                <w:rFonts w:hint="eastAsia" w:cs="Times New Roman"/>
                <w:bCs/>
                <w:color w:val="auto"/>
                <w:kern w:val="0"/>
                <w:sz w:val="21"/>
                <w:szCs w:val="21"/>
                <w:highlight w:val="none"/>
                <w:lang w:val="en-US" w:eastAsia="zh-CN"/>
              </w:rPr>
              <w:t>0.833</w:t>
            </w:r>
            <w:r>
              <w:rPr>
                <w:rFonts w:hint="default" w:ascii="Times New Roman" w:hAnsi="Times New Roman" w:eastAsia="宋体" w:cs="Times New Roman"/>
                <w:bCs/>
                <w:color w:val="auto"/>
                <w:kern w:val="0"/>
                <w:sz w:val="21"/>
                <w:szCs w:val="21"/>
                <w:highlight w:val="none"/>
                <w:lang w:eastAsia="zh-CN"/>
              </w:rPr>
              <w:t>kg/h，装卸工段采取粮仓密闭四周设置围挡、减小装卸高度等降尘措施，运输过程中采用封闭输送，粉尘可降低90%，则原粮装卸运输过程无组织排放粉尘为</w:t>
            </w:r>
            <w:r>
              <w:rPr>
                <w:rFonts w:hint="eastAsia" w:cs="Times New Roman"/>
                <w:bCs/>
                <w:color w:val="auto"/>
                <w:kern w:val="0"/>
                <w:sz w:val="21"/>
                <w:szCs w:val="21"/>
                <w:highlight w:val="none"/>
                <w:lang w:val="en-US" w:eastAsia="zh-CN"/>
              </w:rPr>
              <w:t>0.2</w:t>
            </w:r>
            <w:r>
              <w:rPr>
                <w:rFonts w:hint="default" w:ascii="Times New Roman" w:hAnsi="Times New Roman" w:eastAsia="宋体" w:cs="Times New Roman"/>
                <w:bCs/>
                <w:color w:val="auto"/>
                <w:kern w:val="0"/>
                <w:sz w:val="21"/>
                <w:szCs w:val="21"/>
                <w:highlight w:val="none"/>
                <w:lang w:eastAsia="zh-CN"/>
              </w:rPr>
              <w:t>t/a，</w:t>
            </w:r>
            <w:r>
              <w:rPr>
                <w:rFonts w:hint="eastAsia" w:cs="Times New Roman"/>
                <w:bCs/>
                <w:color w:val="auto"/>
                <w:kern w:val="0"/>
                <w:sz w:val="21"/>
                <w:szCs w:val="21"/>
                <w:highlight w:val="none"/>
                <w:lang w:val="en-US" w:eastAsia="zh-CN"/>
              </w:rPr>
              <w:t>0.083</w:t>
            </w:r>
            <w:r>
              <w:rPr>
                <w:rFonts w:hint="default" w:ascii="Times New Roman" w:hAnsi="Times New Roman" w:eastAsia="宋体" w:cs="Times New Roman"/>
                <w:bCs/>
                <w:color w:val="auto"/>
                <w:kern w:val="0"/>
                <w:sz w:val="21"/>
                <w:szCs w:val="21"/>
                <w:highlight w:val="none"/>
                <w:lang w:eastAsia="zh-CN"/>
              </w:rPr>
              <w:t>kg/h。</w:t>
            </w:r>
          </w:p>
          <w:p w14:paraId="70E6EB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FF0000"/>
                <w:kern w:val="0"/>
                <w:sz w:val="21"/>
                <w:szCs w:val="21"/>
                <w:highlight w:val="none"/>
                <w:lang w:eastAsia="zh-CN"/>
              </w:rPr>
            </w:pPr>
            <w:r>
              <w:rPr>
                <w:rFonts w:hint="eastAsia" w:cs="Times New Roman"/>
                <w:bCs/>
                <w:color w:val="FF0000"/>
                <w:kern w:val="0"/>
                <w:sz w:val="21"/>
                <w:szCs w:val="21"/>
                <w:highlight w:val="none"/>
                <w:lang w:val="en-US" w:eastAsia="zh-CN"/>
              </w:rPr>
              <w:t>5</w:t>
            </w:r>
            <w:r>
              <w:rPr>
                <w:rFonts w:hint="eastAsia" w:cs="Times New Roman"/>
                <w:bCs/>
                <w:color w:val="FF0000"/>
                <w:kern w:val="0"/>
                <w:sz w:val="21"/>
                <w:szCs w:val="21"/>
                <w:highlight w:val="none"/>
                <w:lang w:eastAsia="zh-CN"/>
              </w:rPr>
              <w:t>）</w:t>
            </w:r>
            <w:r>
              <w:rPr>
                <w:rFonts w:hint="default" w:ascii="Times New Roman" w:hAnsi="Times New Roman" w:eastAsia="宋体" w:cs="Times New Roman"/>
                <w:bCs/>
                <w:color w:val="FF0000"/>
                <w:kern w:val="0"/>
                <w:sz w:val="21"/>
                <w:szCs w:val="21"/>
                <w:highlight w:val="none"/>
                <w:lang w:eastAsia="zh-CN"/>
              </w:rPr>
              <w:t>烘干粉尘</w:t>
            </w:r>
          </w:p>
          <w:p w14:paraId="063DBD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Cs/>
                <w:color w:val="FF0000"/>
                <w:kern w:val="0"/>
                <w:sz w:val="21"/>
                <w:szCs w:val="21"/>
                <w:highlight w:val="none"/>
                <w:lang w:eastAsia="zh-CN"/>
              </w:rPr>
            </w:pPr>
            <w:r>
              <w:rPr>
                <w:rFonts w:hint="default" w:ascii="Times New Roman" w:hAnsi="Times New Roman" w:eastAsia="宋体" w:cs="Times New Roman"/>
                <w:bCs/>
                <w:color w:val="FF0000"/>
                <w:kern w:val="0"/>
                <w:sz w:val="21"/>
                <w:szCs w:val="21"/>
                <w:highlight w:val="none"/>
                <w:lang w:eastAsia="zh-CN"/>
              </w:rPr>
              <w:t>本项目在粮食初清过程中已将绝大部分杂质清除干净，烘干过程中粉尘产生量根据《逸散性工业粉尘控制技术》第五章谷物仓储中的颗粒特性，干燥工序逸散尘排放因子取0.1kg/t，烘干</w:t>
            </w:r>
            <w:r>
              <w:rPr>
                <w:rFonts w:hint="eastAsia" w:ascii="Times New Roman" w:hAnsi="Times New Roman" w:eastAsia="宋体" w:cs="Times New Roman"/>
                <w:bCs/>
                <w:color w:val="FF0000"/>
                <w:kern w:val="0"/>
                <w:sz w:val="21"/>
                <w:szCs w:val="21"/>
                <w:highlight w:val="none"/>
                <w:lang w:eastAsia="zh-CN"/>
              </w:rPr>
              <w:t>量</w:t>
            </w:r>
            <w:r>
              <w:rPr>
                <w:rFonts w:hint="default" w:ascii="Times New Roman" w:hAnsi="Times New Roman" w:eastAsia="宋体" w:cs="Times New Roman"/>
                <w:bCs/>
                <w:color w:val="FF0000"/>
                <w:kern w:val="0"/>
                <w:sz w:val="21"/>
                <w:szCs w:val="21"/>
                <w:highlight w:val="none"/>
                <w:lang w:eastAsia="zh-CN"/>
              </w:rPr>
              <w:t>为</w:t>
            </w:r>
            <w:r>
              <w:rPr>
                <w:rFonts w:hint="eastAsia" w:cs="Times New Roman"/>
                <w:bCs/>
                <w:color w:val="FF0000"/>
                <w:kern w:val="0"/>
                <w:sz w:val="21"/>
                <w:szCs w:val="21"/>
                <w:highlight w:val="none"/>
                <w:lang w:val="en-US" w:eastAsia="zh-CN"/>
              </w:rPr>
              <w:t>19968t</w:t>
            </w:r>
            <w:r>
              <w:rPr>
                <w:rFonts w:hint="default" w:ascii="Times New Roman" w:hAnsi="Times New Roman" w:eastAsia="宋体" w:cs="Times New Roman"/>
                <w:bCs/>
                <w:color w:val="FF0000"/>
                <w:kern w:val="0"/>
                <w:sz w:val="21"/>
                <w:szCs w:val="21"/>
                <w:highlight w:val="none"/>
                <w:lang w:eastAsia="zh-CN"/>
              </w:rPr>
              <w:t>/a，则</w:t>
            </w:r>
            <w:r>
              <w:rPr>
                <w:rFonts w:hint="eastAsia" w:cs="Times New Roman"/>
                <w:bCs/>
                <w:color w:val="FF0000"/>
                <w:kern w:val="0"/>
                <w:sz w:val="21"/>
                <w:szCs w:val="21"/>
                <w:highlight w:val="none"/>
                <w:lang w:val="en-US" w:eastAsia="zh-CN"/>
              </w:rPr>
              <w:t>粉</w:t>
            </w:r>
            <w:r>
              <w:rPr>
                <w:rFonts w:hint="default" w:ascii="Times New Roman" w:hAnsi="Times New Roman" w:eastAsia="宋体" w:cs="Times New Roman"/>
                <w:bCs/>
                <w:color w:val="FF0000"/>
                <w:kern w:val="0"/>
                <w:sz w:val="21"/>
                <w:szCs w:val="21"/>
                <w:highlight w:val="none"/>
                <w:lang w:eastAsia="zh-CN"/>
              </w:rPr>
              <w:t>尘产生量</w:t>
            </w:r>
            <w:r>
              <w:rPr>
                <w:rFonts w:hint="eastAsia" w:cs="Times New Roman"/>
                <w:bCs/>
                <w:color w:val="FF0000"/>
                <w:kern w:val="0"/>
                <w:sz w:val="21"/>
                <w:szCs w:val="21"/>
                <w:highlight w:val="none"/>
                <w:lang w:val="en-US" w:eastAsia="zh-CN"/>
              </w:rPr>
              <w:t>1.997</w:t>
            </w:r>
            <w:r>
              <w:rPr>
                <w:rFonts w:hint="default" w:ascii="Times New Roman" w:hAnsi="Times New Roman" w:eastAsia="宋体" w:cs="Times New Roman"/>
                <w:bCs/>
                <w:color w:val="FF0000"/>
                <w:kern w:val="0"/>
                <w:sz w:val="21"/>
                <w:szCs w:val="21"/>
                <w:highlight w:val="none"/>
                <w:lang w:eastAsia="zh-CN"/>
              </w:rPr>
              <w:t>t/a，产生速率为</w:t>
            </w:r>
            <w:r>
              <w:rPr>
                <w:rFonts w:hint="eastAsia" w:cs="Times New Roman"/>
                <w:bCs/>
                <w:color w:val="FF0000"/>
                <w:kern w:val="0"/>
                <w:sz w:val="21"/>
                <w:szCs w:val="21"/>
                <w:highlight w:val="none"/>
                <w:lang w:val="en-US" w:eastAsia="zh-CN"/>
              </w:rPr>
              <w:t>0.832</w:t>
            </w:r>
            <w:r>
              <w:rPr>
                <w:rFonts w:hint="default" w:ascii="Times New Roman" w:hAnsi="Times New Roman" w:eastAsia="宋体" w:cs="Times New Roman"/>
                <w:bCs/>
                <w:color w:val="FF0000"/>
                <w:kern w:val="0"/>
                <w:sz w:val="21"/>
                <w:szCs w:val="21"/>
                <w:highlight w:val="none"/>
                <w:lang w:eastAsia="zh-CN"/>
              </w:rPr>
              <w:t>kg/h。烘干过程粉尘随着风力作用从烘干塔四周风口（占90%）及顶部溢出（占10%），最终以无组织形式排放。烘干塔内部自带重力沉降室，烘干塔底部四周设置防尘挡板，粉尘受挡板格挡后受重力作用回落到烘干塔底部收尘设施中，参照《扬尘源颗粒物排放清单编制技术指南》中围挡遮围对TSP的控制效率，本项目抑尘效率按90%计，则项目烘干塔无组织粉尘排放量为</w:t>
            </w:r>
            <w:r>
              <w:rPr>
                <w:rFonts w:hint="eastAsia" w:cs="Times New Roman"/>
                <w:bCs/>
                <w:color w:val="FF0000"/>
                <w:kern w:val="0"/>
                <w:sz w:val="21"/>
                <w:szCs w:val="21"/>
                <w:highlight w:val="none"/>
                <w:lang w:val="en-US" w:eastAsia="zh-CN"/>
              </w:rPr>
              <w:t>0.2</w:t>
            </w:r>
            <w:r>
              <w:rPr>
                <w:rFonts w:hint="default" w:ascii="Times New Roman" w:hAnsi="Times New Roman" w:eastAsia="宋体" w:cs="Times New Roman"/>
                <w:bCs/>
                <w:color w:val="FF0000"/>
                <w:kern w:val="0"/>
                <w:sz w:val="21"/>
                <w:szCs w:val="21"/>
                <w:highlight w:val="none"/>
                <w:lang w:eastAsia="zh-CN"/>
              </w:rPr>
              <w:t>t/a，排放速率为</w:t>
            </w:r>
            <w:r>
              <w:rPr>
                <w:rFonts w:hint="eastAsia" w:cs="Times New Roman"/>
                <w:bCs/>
                <w:color w:val="FF0000"/>
                <w:kern w:val="0"/>
                <w:sz w:val="21"/>
                <w:szCs w:val="21"/>
                <w:highlight w:val="none"/>
                <w:lang w:val="en-US" w:eastAsia="zh-CN"/>
              </w:rPr>
              <w:t>0.083</w:t>
            </w:r>
            <w:r>
              <w:rPr>
                <w:rFonts w:hint="default" w:ascii="Times New Roman" w:hAnsi="Times New Roman" w:eastAsia="宋体" w:cs="Times New Roman"/>
                <w:bCs/>
                <w:color w:val="FF0000"/>
                <w:kern w:val="0"/>
                <w:sz w:val="21"/>
                <w:szCs w:val="21"/>
                <w:highlight w:val="none"/>
                <w:lang w:eastAsia="zh-CN"/>
              </w:rPr>
              <w:t>kg/h。</w:t>
            </w:r>
          </w:p>
          <w:p w14:paraId="632E679C">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both"/>
              <w:textAlignment w:val="auto"/>
              <w:rPr>
                <w:rFonts w:hint="eastAsia" w:cs="Times New Roman"/>
                <w:bCs/>
                <w:color w:val="auto"/>
                <w:kern w:val="0"/>
                <w:sz w:val="21"/>
                <w:szCs w:val="21"/>
                <w:highlight w:val="none"/>
                <w:lang w:val="en-US" w:eastAsia="zh-CN"/>
              </w:rPr>
            </w:pPr>
            <w:r>
              <w:rPr>
                <w:rFonts w:hint="eastAsia" w:cs="Times New Roman"/>
                <w:bCs/>
                <w:color w:val="auto"/>
                <w:kern w:val="0"/>
                <w:sz w:val="21"/>
                <w:szCs w:val="21"/>
                <w:highlight w:val="none"/>
                <w:lang w:val="en-US" w:eastAsia="zh-CN"/>
              </w:rPr>
              <w:t xml:space="preserve">  6）成品输送装卸粉尘（烘后仓成品粮食转入储粮仓房）</w:t>
            </w:r>
          </w:p>
          <w:p w14:paraId="252E6D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lang w:val="en-US" w:eastAsia="zh-CN"/>
              </w:rPr>
            </w:pPr>
            <w:r>
              <w:rPr>
                <w:rFonts w:hint="eastAsia" w:ascii="宋体" w:hAnsi="宋体" w:eastAsia="宋体" w:cs="宋体"/>
                <w:color w:val="auto"/>
                <w:sz w:val="21"/>
                <w:szCs w:val="21"/>
                <w:lang w:val="en-US" w:eastAsia="zh-CN"/>
              </w:rPr>
              <w:t>本项目烘后仓内标准水分的水稻需倒运到指定储粮仓房，</w:t>
            </w:r>
            <w:r>
              <w:rPr>
                <w:rFonts w:hint="eastAsia" w:cs="Times New Roman"/>
                <w:bCs/>
                <w:color w:val="auto"/>
                <w:kern w:val="0"/>
                <w:sz w:val="21"/>
                <w:szCs w:val="21"/>
                <w:highlight w:val="none"/>
                <w:lang w:val="en-US" w:eastAsia="zh-CN"/>
              </w:rPr>
              <w:t>此过程</w:t>
            </w:r>
            <w:r>
              <w:rPr>
                <w:rFonts w:hint="default" w:ascii="Times New Roman" w:hAnsi="Times New Roman" w:eastAsia="宋体" w:cs="Times New Roman"/>
                <w:bCs/>
                <w:color w:val="auto"/>
                <w:kern w:val="0"/>
                <w:sz w:val="21"/>
                <w:szCs w:val="21"/>
                <w:highlight w:val="none"/>
                <w:lang w:eastAsia="zh-CN"/>
              </w:rPr>
              <w:t>装卸、运输过程中会产生废气，主要污染物为颗粒物，根据《逸散性工业粉尘控制技术》中谷物贮仓，卡车装卸粉尘系数为0.1kg/t（卸料），</w:t>
            </w:r>
            <w:r>
              <w:rPr>
                <w:rFonts w:hint="eastAsia" w:cs="Times New Roman"/>
                <w:bCs/>
                <w:color w:val="auto"/>
                <w:kern w:val="0"/>
                <w:sz w:val="21"/>
                <w:szCs w:val="21"/>
                <w:highlight w:val="none"/>
                <w:lang w:val="en-US" w:eastAsia="zh-CN"/>
              </w:rPr>
              <w:t>此过程</w:t>
            </w:r>
            <w:r>
              <w:rPr>
                <w:rFonts w:hint="default" w:ascii="Times New Roman" w:hAnsi="Times New Roman" w:eastAsia="宋体" w:cs="Times New Roman"/>
                <w:bCs/>
                <w:color w:val="auto"/>
                <w:kern w:val="0"/>
                <w:sz w:val="21"/>
                <w:szCs w:val="21"/>
                <w:highlight w:val="none"/>
                <w:lang w:eastAsia="zh-CN"/>
              </w:rPr>
              <w:t>装卸量</w:t>
            </w:r>
            <w:r>
              <w:rPr>
                <w:rFonts w:hint="eastAsia" w:cs="Times New Roman"/>
                <w:bCs/>
                <w:color w:val="auto"/>
                <w:sz w:val="21"/>
                <w:szCs w:val="21"/>
                <w:highlight w:val="none"/>
                <w:lang w:val="en-US" w:eastAsia="zh-CN"/>
              </w:rPr>
              <w:t>15875.097</w:t>
            </w:r>
            <w:r>
              <w:rPr>
                <w:rFonts w:hint="default" w:ascii="Times New Roman" w:hAnsi="Times New Roman" w:eastAsia="宋体" w:cs="Times New Roman"/>
                <w:bCs/>
                <w:color w:val="auto"/>
                <w:kern w:val="0"/>
                <w:sz w:val="21"/>
                <w:szCs w:val="21"/>
                <w:highlight w:val="none"/>
                <w:lang w:eastAsia="zh-CN"/>
              </w:rPr>
              <w:t>t，粉尘产生量为</w:t>
            </w:r>
            <w:r>
              <w:rPr>
                <w:rFonts w:hint="eastAsia" w:cs="Times New Roman"/>
                <w:bCs/>
                <w:color w:val="auto"/>
                <w:kern w:val="0"/>
                <w:sz w:val="21"/>
                <w:szCs w:val="21"/>
                <w:highlight w:val="none"/>
                <w:lang w:val="en-US" w:eastAsia="zh-CN"/>
              </w:rPr>
              <w:t>1.588</w:t>
            </w:r>
            <w:r>
              <w:rPr>
                <w:rFonts w:hint="default" w:ascii="Times New Roman" w:hAnsi="Times New Roman" w:eastAsia="宋体" w:cs="Times New Roman"/>
                <w:bCs/>
                <w:color w:val="auto"/>
                <w:kern w:val="0"/>
                <w:sz w:val="21"/>
                <w:szCs w:val="21"/>
                <w:highlight w:val="none"/>
                <w:lang w:eastAsia="zh-CN"/>
              </w:rPr>
              <w:t>t/a，</w:t>
            </w:r>
            <w:r>
              <w:rPr>
                <w:rFonts w:hint="eastAsia" w:ascii="Times New Roman" w:hAnsi="Times New Roman" w:eastAsia="宋体" w:cs="Times New Roman"/>
                <w:bCs/>
                <w:color w:val="auto"/>
                <w:kern w:val="0"/>
                <w:sz w:val="21"/>
                <w:szCs w:val="21"/>
                <w:highlight w:val="none"/>
                <w:lang w:eastAsia="zh-CN"/>
              </w:rPr>
              <w:t>粉</w:t>
            </w:r>
            <w:r>
              <w:rPr>
                <w:rFonts w:hint="default" w:ascii="Times New Roman" w:hAnsi="Times New Roman" w:eastAsia="宋体" w:cs="Times New Roman"/>
                <w:bCs/>
                <w:color w:val="auto"/>
                <w:kern w:val="0"/>
                <w:sz w:val="21"/>
                <w:szCs w:val="21"/>
                <w:highlight w:val="none"/>
                <w:lang w:eastAsia="zh-CN"/>
              </w:rPr>
              <w:t>尘产生速率为</w:t>
            </w:r>
            <w:r>
              <w:rPr>
                <w:rFonts w:hint="eastAsia" w:cs="Times New Roman"/>
                <w:bCs/>
                <w:color w:val="auto"/>
                <w:kern w:val="0"/>
                <w:sz w:val="21"/>
                <w:szCs w:val="21"/>
                <w:highlight w:val="none"/>
                <w:lang w:val="en-US" w:eastAsia="zh-CN"/>
              </w:rPr>
              <w:t>0.662</w:t>
            </w:r>
            <w:r>
              <w:rPr>
                <w:rFonts w:hint="default" w:ascii="Times New Roman" w:hAnsi="Times New Roman" w:eastAsia="宋体" w:cs="Times New Roman"/>
                <w:bCs/>
                <w:color w:val="auto"/>
                <w:kern w:val="0"/>
                <w:sz w:val="21"/>
                <w:szCs w:val="21"/>
                <w:highlight w:val="none"/>
                <w:lang w:eastAsia="zh-CN"/>
              </w:rPr>
              <w:t>kg/h，装卸工段采取粮仓密闭四周设置围挡、减小装卸高度等降尘措施，运输过程中采用封闭输送</w:t>
            </w:r>
            <w:r>
              <w:rPr>
                <w:rFonts w:hint="eastAsia" w:cs="Times New Roman"/>
                <w:bCs/>
                <w:color w:val="auto"/>
                <w:kern w:val="0"/>
                <w:sz w:val="21"/>
                <w:szCs w:val="21"/>
                <w:highlight w:val="none"/>
                <w:lang w:val="en-US" w:eastAsia="zh-CN"/>
              </w:rPr>
              <w:t>等，</w:t>
            </w:r>
            <w:r>
              <w:rPr>
                <w:rFonts w:hint="default" w:ascii="Times New Roman" w:hAnsi="Times New Roman" w:eastAsia="宋体" w:cs="Times New Roman"/>
                <w:bCs/>
                <w:color w:val="auto"/>
                <w:kern w:val="0"/>
                <w:sz w:val="21"/>
                <w:szCs w:val="21"/>
                <w:highlight w:val="none"/>
                <w:lang w:eastAsia="zh-CN"/>
              </w:rPr>
              <w:t>粉尘可降低</w:t>
            </w:r>
            <w:r>
              <w:rPr>
                <w:rFonts w:hint="eastAsia" w:cs="Times New Roman"/>
                <w:bCs/>
                <w:color w:val="auto"/>
                <w:kern w:val="0"/>
                <w:sz w:val="21"/>
                <w:szCs w:val="21"/>
                <w:highlight w:val="none"/>
                <w:lang w:val="en-US" w:eastAsia="zh-CN"/>
              </w:rPr>
              <w:t>6</w:t>
            </w:r>
            <w:r>
              <w:rPr>
                <w:rFonts w:hint="default" w:ascii="Times New Roman" w:hAnsi="Times New Roman" w:eastAsia="宋体" w:cs="Times New Roman"/>
                <w:bCs/>
                <w:color w:val="auto"/>
                <w:kern w:val="0"/>
                <w:sz w:val="21"/>
                <w:szCs w:val="21"/>
                <w:highlight w:val="none"/>
                <w:lang w:eastAsia="zh-CN"/>
              </w:rPr>
              <w:t>0%</w:t>
            </w:r>
            <w:r>
              <w:rPr>
                <w:rFonts w:hint="eastAsia"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根据</w:t>
            </w:r>
            <w:r>
              <w:rPr>
                <w:rFonts w:hint="default" w:ascii="Times New Roman" w:hAnsi="Times New Roman" w:eastAsia="宋体" w:cs="Times New Roman"/>
                <w:bCs/>
                <w:color w:val="auto"/>
                <w:kern w:val="0"/>
                <w:sz w:val="21"/>
                <w:szCs w:val="21"/>
                <w:highlight w:val="none"/>
                <w:lang w:eastAsia="zh-CN"/>
              </w:rPr>
              <w:t>《逸散性工业粉尘控制技术》</w:t>
            </w:r>
            <w:r>
              <w:rPr>
                <w:rFonts w:hint="eastAsia" w:ascii="Times New Roman" w:hAnsi="Times New Roman" w:eastAsia="宋体" w:cs="Times New Roman"/>
                <w:bCs/>
                <w:color w:val="auto"/>
                <w:kern w:val="0"/>
                <w:sz w:val="21"/>
                <w:szCs w:val="21"/>
                <w:highlight w:val="none"/>
                <w:lang w:val="en-US" w:eastAsia="zh-CN"/>
              </w:rPr>
              <w:t>中表6-3中，装卸采取封闭（三边），控制效率为60%</w:t>
            </w:r>
            <w:r>
              <w:rPr>
                <w:rFonts w:hint="eastAsia" w:cs="Times New Roman"/>
                <w:bCs/>
                <w:color w:val="auto"/>
                <w:kern w:val="0"/>
                <w:sz w:val="21"/>
                <w:szCs w:val="21"/>
                <w:highlight w:val="none"/>
                <w:lang w:eastAsia="zh-CN"/>
              </w:rPr>
              <w:t>）</w:t>
            </w:r>
            <w:r>
              <w:rPr>
                <w:rFonts w:hint="default" w:ascii="Times New Roman" w:hAnsi="Times New Roman" w:eastAsia="宋体" w:cs="Times New Roman"/>
                <w:bCs/>
                <w:color w:val="auto"/>
                <w:kern w:val="0"/>
                <w:sz w:val="21"/>
                <w:szCs w:val="21"/>
                <w:highlight w:val="none"/>
                <w:lang w:eastAsia="zh-CN"/>
              </w:rPr>
              <w:t>，则</w:t>
            </w:r>
            <w:r>
              <w:rPr>
                <w:rFonts w:hint="eastAsia" w:cs="Times New Roman"/>
                <w:bCs/>
                <w:color w:val="auto"/>
                <w:kern w:val="0"/>
                <w:sz w:val="21"/>
                <w:szCs w:val="21"/>
                <w:highlight w:val="none"/>
                <w:lang w:val="en-US" w:eastAsia="zh-CN"/>
              </w:rPr>
              <w:t>烘后仓水稻转入储粮仓房</w:t>
            </w:r>
            <w:r>
              <w:rPr>
                <w:rFonts w:hint="default" w:ascii="Times New Roman" w:hAnsi="Times New Roman" w:eastAsia="宋体" w:cs="Times New Roman"/>
                <w:bCs/>
                <w:color w:val="auto"/>
                <w:kern w:val="0"/>
                <w:sz w:val="21"/>
                <w:szCs w:val="21"/>
                <w:highlight w:val="none"/>
                <w:lang w:eastAsia="zh-CN"/>
              </w:rPr>
              <w:t>装卸运输过程无组织排放粉尘为</w:t>
            </w:r>
            <w:r>
              <w:rPr>
                <w:rFonts w:hint="eastAsia" w:ascii="Times New Roman" w:hAnsi="Times New Roman" w:cs="Times New Roman"/>
                <w:bCs/>
                <w:color w:val="auto"/>
                <w:kern w:val="0"/>
                <w:sz w:val="21"/>
                <w:szCs w:val="21"/>
                <w:highlight w:val="none"/>
                <w:lang w:val="en-US" w:eastAsia="zh-CN"/>
              </w:rPr>
              <w:t>0.</w:t>
            </w:r>
            <w:r>
              <w:rPr>
                <w:rFonts w:hint="eastAsia" w:cs="Times New Roman"/>
                <w:bCs/>
                <w:color w:val="auto"/>
                <w:kern w:val="0"/>
                <w:sz w:val="21"/>
                <w:szCs w:val="21"/>
                <w:highlight w:val="none"/>
                <w:lang w:val="en-US" w:eastAsia="zh-CN"/>
              </w:rPr>
              <w:t>635</w:t>
            </w:r>
            <w:r>
              <w:rPr>
                <w:rFonts w:hint="default" w:ascii="Times New Roman" w:hAnsi="Times New Roman" w:eastAsia="宋体" w:cs="Times New Roman"/>
                <w:bCs/>
                <w:color w:val="auto"/>
                <w:kern w:val="0"/>
                <w:sz w:val="21"/>
                <w:szCs w:val="21"/>
                <w:highlight w:val="none"/>
                <w:lang w:eastAsia="zh-CN"/>
              </w:rPr>
              <w:t>t/a，</w:t>
            </w:r>
            <w:r>
              <w:rPr>
                <w:rFonts w:hint="eastAsia" w:cs="Times New Roman"/>
                <w:bCs/>
                <w:color w:val="auto"/>
                <w:kern w:val="0"/>
                <w:sz w:val="21"/>
                <w:szCs w:val="21"/>
                <w:highlight w:val="none"/>
                <w:lang w:val="en-US" w:eastAsia="zh-CN"/>
              </w:rPr>
              <w:t>0.265</w:t>
            </w:r>
            <w:r>
              <w:rPr>
                <w:rFonts w:hint="default" w:ascii="Times New Roman" w:hAnsi="Times New Roman" w:eastAsia="宋体" w:cs="Times New Roman"/>
                <w:bCs/>
                <w:color w:val="auto"/>
                <w:kern w:val="0"/>
                <w:sz w:val="21"/>
                <w:szCs w:val="21"/>
                <w:highlight w:val="none"/>
                <w:lang w:eastAsia="zh-CN"/>
              </w:rPr>
              <w:t>kg/h。</w:t>
            </w:r>
          </w:p>
          <w:p w14:paraId="6674D967">
            <w:pPr>
              <w:keepNext w:val="0"/>
              <w:keepLines w:val="0"/>
              <w:suppressLineNumbers w:val="0"/>
              <w:adjustRightInd w:val="0"/>
              <w:snapToGrid w:val="0"/>
              <w:spacing w:before="0" w:beforeAutospacing="0" w:after="0" w:afterAutospacing="0" w:line="360" w:lineRule="auto"/>
              <w:ind w:left="0" w:right="0" w:firstLine="420" w:firstLineChars="200"/>
              <w:jc w:val="both"/>
              <w:rPr>
                <w:rFonts w:hint="default"/>
                <w:bCs/>
                <w:color w:val="auto"/>
                <w:szCs w:val="21"/>
                <w:highlight w:val="none"/>
              </w:rPr>
            </w:pPr>
            <w:r>
              <w:rPr>
                <w:rFonts w:hint="default"/>
                <w:bCs/>
                <w:color w:val="auto"/>
                <w:szCs w:val="21"/>
                <w:highlight w:val="none"/>
              </w:rPr>
              <w:t>（</w:t>
            </w:r>
            <w:r>
              <w:rPr>
                <w:rFonts w:hint="eastAsia"/>
                <w:bCs/>
                <w:color w:val="auto"/>
                <w:szCs w:val="21"/>
                <w:highlight w:val="none"/>
                <w:lang w:val="en-US" w:eastAsia="zh-CN"/>
              </w:rPr>
              <w:t>2</w:t>
            </w:r>
            <w:r>
              <w:rPr>
                <w:rFonts w:hint="default"/>
                <w:bCs/>
                <w:color w:val="auto"/>
                <w:szCs w:val="21"/>
                <w:highlight w:val="none"/>
              </w:rPr>
              <w:t>）排放口基本情况</w:t>
            </w:r>
          </w:p>
          <w:p w14:paraId="4EC3899A">
            <w:pPr>
              <w:pStyle w:val="143"/>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表4</w:t>
            </w:r>
            <w:r>
              <w:rPr>
                <w:rFonts w:hint="eastAsia" w:ascii="Times New Roman" w:hAnsi="Times New Roman" w:eastAsia="宋体" w:cs="Times New Roman"/>
                <w:b/>
                <w:color w:val="auto"/>
                <w:sz w:val="21"/>
                <w:szCs w:val="21"/>
                <w:highlight w:val="none"/>
                <w:lang w:val="en-US" w:eastAsia="zh-CN"/>
              </w:rPr>
              <w:t xml:space="preserve">-2 </w:t>
            </w:r>
            <w:r>
              <w:rPr>
                <w:rFonts w:hint="default" w:ascii="Times New Roman" w:hAnsi="Times New Roman" w:eastAsia="宋体" w:cs="Times New Roman"/>
                <w:b/>
                <w:color w:val="auto"/>
                <w:sz w:val="21"/>
                <w:szCs w:val="21"/>
                <w:highlight w:val="none"/>
              </w:rPr>
              <w:t>废气排放口基本情况一览表</w:t>
            </w:r>
          </w:p>
          <w:tbl>
            <w:tblPr>
              <w:tblStyle w:val="36"/>
              <w:tblW w:w="5000" w:type="pct"/>
              <w:jc w:val="center"/>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7"/>
              <w:gridCol w:w="1493"/>
              <w:gridCol w:w="859"/>
              <w:gridCol w:w="859"/>
              <w:gridCol w:w="966"/>
              <w:gridCol w:w="1237"/>
              <w:gridCol w:w="1904"/>
            </w:tblGrid>
            <w:tr w14:paraId="5FD9035D">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op w:val="single" w:color="auto" w:sz="12" w:space="0"/>
                    <w:left w:val="nil"/>
                    <w:bottom w:val="single" w:color="auto" w:sz="4" w:space="0"/>
                    <w:right w:val="single" w:color="auto" w:sz="4" w:space="0"/>
                  </w:tcBorders>
                  <w:noWrap w:val="0"/>
                  <w:vAlign w:val="center"/>
                </w:tcPr>
                <w:p w14:paraId="21659235">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编号</w:t>
                  </w:r>
                </w:p>
              </w:tc>
              <w:tc>
                <w:tcPr>
                  <w:tcW w:w="923" w:type="pct"/>
                  <w:tcBorders>
                    <w:top w:val="single" w:color="auto" w:sz="12" w:space="0"/>
                    <w:left w:val="single" w:color="auto" w:sz="4" w:space="0"/>
                    <w:bottom w:val="single" w:color="auto" w:sz="4" w:space="0"/>
                    <w:right w:val="single" w:color="auto" w:sz="4" w:space="0"/>
                  </w:tcBorders>
                  <w:noWrap w:val="0"/>
                  <w:vAlign w:val="center"/>
                </w:tcPr>
                <w:p w14:paraId="2F25B665">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排放口名称</w:t>
                  </w:r>
                </w:p>
              </w:tc>
              <w:tc>
                <w:tcPr>
                  <w:tcW w:w="531" w:type="pct"/>
                  <w:tcBorders>
                    <w:top w:val="single" w:color="auto" w:sz="12" w:space="0"/>
                    <w:left w:val="single" w:color="auto" w:sz="4" w:space="0"/>
                    <w:bottom w:val="single" w:color="auto" w:sz="4" w:space="0"/>
                    <w:right w:val="single" w:color="auto" w:sz="4" w:space="0"/>
                  </w:tcBorders>
                  <w:noWrap w:val="0"/>
                  <w:vAlign w:val="center"/>
                </w:tcPr>
                <w:p w14:paraId="0E02018C">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高度/m</w:t>
                  </w:r>
                </w:p>
              </w:tc>
              <w:tc>
                <w:tcPr>
                  <w:tcW w:w="531" w:type="pct"/>
                  <w:tcBorders>
                    <w:top w:val="single" w:color="auto" w:sz="12" w:space="0"/>
                    <w:left w:val="single" w:color="auto" w:sz="4" w:space="0"/>
                    <w:bottom w:val="single" w:color="auto" w:sz="4" w:space="0"/>
                    <w:right w:val="single" w:color="auto" w:sz="4" w:space="0"/>
                  </w:tcBorders>
                  <w:noWrap w:val="0"/>
                  <w:vAlign w:val="center"/>
                </w:tcPr>
                <w:p w14:paraId="0D64D61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内径/m</w:t>
                  </w:r>
                </w:p>
              </w:tc>
              <w:tc>
                <w:tcPr>
                  <w:tcW w:w="597" w:type="pct"/>
                  <w:tcBorders>
                    <w:top w:val="single" w:color="auto" w:sz="12" w:space="0"/>
                    <w:left w:val="single" w:color="auto" w:sz="4" w:space="0"/>
                    <w:bottom w:val="single" w:color="auto" w:sz="4" w:space="0"/>
                    <w:right w:val="single" w:color="auto" w:sz="4" w:space="0"/>
                  </w:tcBorders>
                  <w:noWrap w:val="0"/>
                  <w:vAlign w:val="center"/>
                </w:tcPr>
                <w:p w14:paraId="6D2CD66B">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温度/℃</w:t>
                  </w:r>
                </w:p>
              </w:tc>
              <w:tc>
                <w:tcPr>
                  <w:tcW w:w="765" w:type="pct"/>
                  <w:tcBorders>
                    <w:top w:val="single" w:color="auto" w:sz="12" w:space="0"/>
                    <w:left w:val="single" w:color="auto" w:sz="4" w:space="0"/>
                    <w:bottom w:val="single" w:color="auto" w:sz="4" w:space="0"/>
                    <w:right w:val="single" w:color="auto" w:sz="4" w:space="0"/>
                  </w:tcBorders>
                  <w:noWrap w:val="0"/>
                  <w:vAlign w:val="center"/>
                </w:tcPr>
                <w:p w14:paraId="4306B6DF">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类型</w:t>
                  </w:r>
                </w:p>
              </w:tc>
              <w:tc>
                <w:tcPr>
                  <w:tcW w:w="1176" w:type="pct"/>
                  <w:tcBorders>
                    <w:top w:val="single" w:color="auto" w:sz="12" w:space="0"/>
                    <w:left w:val="single" w:color="auto" w:sz="4" w:space="0"/>
                    <w:bottom w:val="single" w:color="auto" w:sz="4" w:space="0"/>
                    <w:right w:val="nil"/>
                  </w:tcBorders>
                  <w:noWrap w:val="0"/>
                  <w:vAlign w:val="center"/>
                </w:tcPr>
                <w:p w14:paraId="01ED52E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地理坐标</w:t>
                  </w:r>
                </w:p>
              </w:tc>
            </w:tr>
            <w:tr w14:paraId="6C821315">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op w:val="single" w:color="auto" w:sz="4" w:space="0"/>
                    <w:left w:val="nil"/>
                    <w:bottom w:val="single" w:color="auto" w:sz="12" w:space="0"/>
                    <w:right w:val="single" w:color="auto" w:sz="4" w:space="0"/>
                  </w:tcBorders>
                  <w:shd w:val="clear" w:color="auto" w:fill="auto"/>
                  <w:noWrap w:val="0"/>
                  <w:vAlign w:val="center"/>
                </w:tcPr>
                <w:p w14:paraId="0AAD0B07">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DA00</w:t>
                  </w:r>
                  <w:r>
                    <w:rPr>
                      <w:rFonts w:hint="eastAsia" w:cs="Times New Roman"/>
                      <w:color w:val="auto"/>
                      <w:sz w:val="18"/>
                      <w:szCs w:val="18"/>
                      <w:highlight w:val="none"/>
                      <w:lang w:val="en-US" w:eastAsia="zh-CN"/>
                    </w:rPr>
                    <w:t>1</w:t>
                  </w:r>
                </w:p>
              </w:tc>
              <w:tc>
                <w:tcPr>
                  <w:tcW w:w="923" w:type="pct"/>
                  <w:tcBorders>
                    <w:top w:val="single" w:color="auto" w:sz="4" w:space="0"/>
                    <w:left w:val="single" w:color="auto" w:sz="4" w:space="0"/>
                    <w:bottom w:val="single" w:color="auto" w:sz="12" w:space="0"/>
                    <w:right w:val="single" w:color="auto" w:sz="4" w:space="0"/>
                  </w:tcBorders>
                  <w:shd w:val="clear" w:color="auto" w:fill="auto"/>
                  <w:noWrap w:val="0"/>
                  <w:vAlign w:val="center"/>
                </w:tcPr>
                <w:p w14:paraId="23F0371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5t/h生物质</w:t>
                  </w:r>
                  <w:r>
                    <w:rPr>
                      <w:rFonts w:hint="eastAsia"/>
                      <w:color w:val="auto"/>
                      <w:sz w:val="18"/>
                      <w:szCs w:val="18"/>
                      <w:highlight w:val="none"/>
                      <w:lang w:eastAsia="zh-CN"/>
                    </w:rPr>
                    <w:t>热风炉</w:t>
                  </w:r>
                  <w:r>
                    <w:rPr>
                      <w:rFonts w:hint="eastAsia" w:cs="Times New Roman"/>
                      <w:color w:val="auto"/>
                      <w:sz w:val="18"/>
                      <w:szCs w:val="18"/>
                      <w:highlight w:val="none"/>
                      <w:lang w:eastAsia="zh-CN"/>
                    </w:rPr>
                    <w:t>烟囱</w:t>
                  </w:r>
                </w:p>
              </w:tc>
              <w:tc>
                <w:tcPr>
                  <w:tcW w:w="531" w:type="pct"/>
                  <w:tcBorders>
                    <w:top w:val="single" w:color="auto" w:sz="4" w:space="0"/>
                    <w:left w:val="single" w:color="auto" w:sz="4" w:space="0"/>
                    <w:bottom w:val="single" w:color="auto" w:sz="12" w:space="0"/>
                    <w:right w:val="single" w:color="auto" w:sz="4" w:space="0"/>
                  </w:tcBorders>
                  <w:shd w:val="clear" w:color="auto" w:fill="auto"/>
                  <w:noWrap w:val="0"/>
                  <w:vAlign w:val="center"/>
                </w:tcPr>
                <w:p w14:paraId="76D3F6F2">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531" w:type="pct"/>
                  <w:tcBorders>
                    <w:top w:val="single" w:color="auto" w:sz="4" w:space="0"/>
                    <w:left w:val="single" w:color="auto" w:sz="4" w:space="0"/>
                    <w:bottom w:val="single" w:color="auto" w:sz="12" w:space="0"/>
                    <w:right w:val="single" w:color="auto" w:sz="4" w:space="0"/>
                  </w:tcBorders>
                  <w:shd w:val="clear" w:color="auto" w:fill="auto"/>
                  <w:noWrap w:val="0"/>
                  <w:vAlign w:val="center"/>
                </w:tcPr>
                <w:p w14:paraId="09A635A9">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0.</w:t>
                  </w:r>
                  <w:r>
                    <w:rPr>
                      <w:rFonts w:hint="eastAsia"/>
                      <w:color w:val="auto"/>
                      <w:sz w:val="18"/>
                      <w:szCs w:val="18"/>
                      <w:highlight w:val="none"/>
                      <w:lang w:val="en-US" w:eastAsia="zh-CN"/>
                    </w:rPr>
                    <w:t>6</w:t>
                  </w:r>
                </w:p>
              </w:tc>
              <w:tc>
                <w:tcPr>
                  <w:tcW w:w="597" w:type="pct"/>
                  <w:tcBorders>
                    <w:top w:val="single" w:color="auto" w:sz="4" w:space="0"/>
                    <w:left w:val="single" w:color="auto" w:sz="4" w:space="0"/>
                    <w:bottom w:val="single" w:color="auto" w:sz="12" w:space="0"/>
                    <w:right w:val="single" w:color="auto" w:sz="4" w:space="0"/>
                  </w:tcBorders>
                  <w:shd w:val="clear" w:color="auto" w:fill="auto"/>
                  <w:noWrap w:val="0"/>
                  <w:vAlign w:val="center"/>
                </w:tcPr>
                <w:p w14:paraId="42EE929C">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eastAsia="宋体"/>
                      <w:color w:val="auto"/>
                      <w:sz w:val="18"/>
                      <w:szCs w:val="18"/>
                      <w:highlight w:val="none"/>
                      <w:lang w:val="en-US" w:eastAsia="zh-CN"/>
                    </w:rPr>
                    <w:t>1</w:t>
                  </w:r>
                  <w:r>
                    <w:rPr>
                      <w:rFonts w:hint="eastAsia"/>
                      <w:color w:val="auto"/>
                      <w:sz w:val="18"/>
                      <w:szCs w:val="18"/>
                      <w:highlight w:val="none"/>
                      <w:lang w:val="en-US" w:eastAsia="zh-CN"/>
                    </w:rPr>
                    <w:t>40</w:t>
                  </w:r>
                </w:p>
              </w:tc>
              <w:tc>
                <w:tcPr>
                  <w:tcW w:w="765" w:type="pct"/>
                  <w:tcBorders>
                    <w:top w:val="single" w:color="auto" w:sz="4" w:space="0"/>
                    <w:left w:val="single" w:color="auto" w:sz="4" w:space="0"/>
                    <w:bottom w:val="single" w:color="auto" w:sz="12" w:space="0"/>
                    <w:right w:val="single" w:color="auto" w:sz="4" w:space="0"/>
                  </w:tcBorders>
                  <w:shd w:val="clear" w:color="auto" w:fill="auto"/>
                  <w:noWrap w:val="0"/>
                  <w:vAlign w:val="center"/>
                </w:tcPr>
                <w:p w14:paraId="0CF8079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一般排放口</w:t>
                  </w:r>
                </w:p>
              </w:tc>
              <w:tc>
                <w:tcPr>
                  <w:tcW w:w="1176" w:type="pct"/>
                  <w:tcBorders>
                    <w:top w:val="single" w:color="auto" w:sz="4" w:space="0"/>
                    <w:left w:val="single" w:color="auto" w:sz="4" w:space="0"/>
                    <w:bottom w:val="single" w:color="auto" w:sz="12" w:space="0"/>
                    <w:right w:val="nil"/>
                  </w:tcBorders>
                  <w:shd w:val="clear" w:color="auto" w:fill="auto"/>
                  <w:noWrap w:val="0"/>
                  <w:vAlign w:val="center"/>
                </w:tcPr>
                <w:p w14:paraId="5606EFA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bCs/>
                      <w:color w:val="auto"/>
                      <w:sz w:val="18"/>
                      <w:szCs w:val="18"/>
                      <w:highlight w:val="none"/>
                    </w:rPr>
                  </w:pPr>
                  <w:r>
                    <w:rPr>
                      <w:rFonts w:hint="default" w:ascii="Times New Roman" w:hAnsi="Times New Roman" w:cs="Times New Roman"/>
                      <w:color w:val="auto"/>
                      <w:sz w:val="18"/>
                      <w:szCs w:val="18"/>
                      <w:highlight w:val="none"/>
                    </w:rPr>
                    <w:t>经度：</w:t>
                  </w:r>
                  <w:r>
                    <w:rPr>
                      <w:rFonts w:hint="default"/>
                      <w:bCs/>
                      <w:color w:val="auto"/>
                      <w:sz w:val="18"/>
                      <w:szCs w:val="18"/>
                      <w:highlight w:val="none"/>
                    </w:rPr>
                    <w:t>131.300117</w:t>
                  </w:r>
                </w:p>
                <w:p w14:paraId="29F59444">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纬度：</w:t>
                  </w:r>
                  <w:r>
                    <w:rPr>
                      <w:rFonts w:hint="default"/>
                      <w:bCs/>
                      <w:color w:val="auto"/>
                      <w:sz w:val="18"/>
                      <w:szCs w:val="18"/>
                      <w:highlight w:val="none"/>
                    </w:rPr>
                    <w:t>45.311586</w:t>
                  </w:r>
                </w:p>
              </w:tc>
            </w:tr>
          </w:tbl>
          <w:p w14:paraId="71E161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）本项目非正常排放</w:t>
            </w:r>
          </w:p>
          <w:p w14:paraId="194644CC">
            <w:pPr>
              <w:pStyle w:val="7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eastAsia="宋体"/>
                <w:color w:val="auto"/>
                <w:sz w:val="24"/>
                <w:highlight w:val="none"/>
                <w:lang w:eastAsia="zh-CN"/>
              </w:rPr>
            </w:pPr>
            <w:r>
              <w:rPr>
                <w:rFonts w:hint="default"/>
                <w:color w:val="auto"/>
                <w:sz w:val="21"/>
                <w:szCs w:val="21"/>
                <w:highlight w:val="none"/>
              </w:rPr>
              <w:t>废气治理措施发生故障，废气未经</w:t>
            </w:r>
            <w:r>
              <w:rPr>
                <w:rFonts w:hint="eastAsia"/>
                <w:color w:val="auto"/>
                <w:sz w:val="21"/>
                <w:szCs w:val="21"/>
                <w:highlight w:val="none"/>
                <w:lang w:val="en-US" w:eastAsia="zh-CN"/>
              </w:rPr>
              <w:t>有效的</w:t>
            </w:r>
            <w:r>
              <w:rPr>
                <w:rFonts w:hint="default"/>
                <w:color w:val="auto"/>
                <w:sz w:val="21"/>
                <w:szCs w:val="21"/>
                <w:highlight w:val="none"/>
              </w:rPr>
              <w:t>处理直接排放</w:t>
            </w:r>
            <w:r>
              <w:rPr>
                <w:rFonts w:hint="eastAsia"/>
                <w:color w:val="auto"/>
                <w:sz w:val="21"/>
                <w:szCs w:val="21"/>
                <w:highlight w:val="none"/>
                <w:lang w:eastAsia="zh-CN"/>
              </w:rPr>
              <w:t>。</w:t>
            </w:r>
          </w:p>
          <w:p w14:paraId="27D88BE8">
            <w:pPr>
              <w:pStyle w:val="75"/>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 xml:space="preserve">3 </w:t>
            </w:r>
            <w:r>
              <w:rPr>
                <w:rFonts w:hint="default" w:ascii="Times New Roman" w:hAnsi="Times New Roman" w:cs="Times New Roman"/>
                <w:b/>
                <w:color w:val="auto"/>
                <w:sz w:val="21"/>
                <w:szCs w:val="21"/>
                <w:highlight w:val="none"/>
              </w:rPr>
              <w:t>非正常排放参数表</w:t>
            </w:r>
          </w:p>
          <w:tbl>
            <w:tblPr>
              <w:tblStyle w:val="36"/>
              <w:tblW w:w="5000" w:type="pct"/>
              <w:jc w:val="center"/>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28"/>
              <w:gridCol w:w="1403"/>
              <w:gridCol w:w="796"/>
              <w:gridCol w:w="1061"/>
              <w:gridCol w:w="1061"/>
              <w:gridCol w:w="833"/>
              <w:gridCol w:w="890"/>
              <w:gridCol w:w="915"/>
            </w:tblGrid>
            <w:tr w14:paraId="0ACFFB72">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97" w:type="pct"/>
                  <w:tcBorders>
                    <w:top w:val="single" w:color="auto" w:sz="12" w:space="0"/>
                    <w:left w:val="nil"/>
                    <w:bottom w:val="single" w:color="000000" w:sz="4" w:space="0"/>
                    <w:right w:val="single" w:color="auto" w:sz="4" w:space="0"/>
                  </w:tcBorders>
                  <w:noWrap w:val="0"/>
                  <w:vAlign w:val="center"/>
                </w:tcPr>
                <w:p w14:paraId="7FC41A7E">
                  <w:pPr>
                    <w:pStyle w:val="75"/>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非正常排放源</w:t>
                  </w:r>
                </w:p>
              </w:tc>
              <w:tc>
                <w:tcPr>
                  <w:tcW w:w="867" w:type="pct"/>
                  <w:tcBorders>
                    <w:top w:val="single" w:color="auto" w:sz="12" w:space="0"/>
                    <w:left w:val="single" w:color="auto" w:sz="4" w:space="0"/>
                    <w:bottom w:val="single" w:color="000000" w:sz="4" w:space="0"/>
                    <w:right w:val="single" w:color="auto" w:sz="4" w:space="0"/>
                  </w:tcBorders>
                  <w:noWrap w:val="0"/>
                  <w:vAlign w:val="center"/>
                </w:tcPr>
                <w:p w14:paraId="39D47D1A">
                  <w:pPr>
                    <w:pStyle w:val="75"/>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非正常</w:t>
                  </w:r>
                </w:p>
                <w:p w14:paraId="4094263F">
                  <w:pPr>
                    <w:pStyle w:val="75"/>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排放原因</w:t>
                  </w:r>
                </w:p>
              </w:tc>
              <w:tc>
                <w:tcPr>
                  <w:tcW w:w="492" w:type="pct"/>
                  <w:tcBorders>
                    <w:top w:val="single" w:color="auto" w:sz="12" w:space="0"/>
                    <w:left w:val="single" w:color="auto" w:sz="4" w:space="0"/>
                    <w:bottom w:val="single" w:color="000000" w:sz="4" w:space="0"/>
                    <w:right w:val="single" w:color="auto" w:sz="4" w:space="0"/>
                  </w:tcBorders>
                  <w:noWrap w:val="0"/>
                  <w:vAlign w:val="center"/>
                </w:tcPr>
                <w:p w14:paraId="4C6F703C">
                  <w:pPr>
                    <w:pStyle w:val="75"/>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655" w:type="pct"/>
                  <w:tcBorders>
                    <w:top w:val="single" w:color="auto" w:sz="12" w:space="0"/>
                    <w:left w:val="single" w:color="auto" w:sz="4" w:space="0"/>
                    <w:bottom w:val="single" w:color="000000" w:sz="4" w:space="0"/>
                    <w:right w:val="single" w:color="auto" w:sz="4" w:space="0"/>
                  </w:tcBorders>
                  <w:noWrap w:val="0"/>
                  <w:vAlign w:val="center"/>
                </w:tcPr>
                <w:p w14:paraId="25337621">
                  <w:pPr>
                    <w:pStyle w:val="75"/>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18"/>
                      <w:szCs w:val="18"/>
                      <w:highlight w:val="none"/>
                    </w:rPr>
                  </w:pPr>
                  <w:r>
                    <w:rPr>
                      <w:rFonts w:hint="default"/>
                      <w:bCs/>
                      <w:color w:val="auto"/>
                      <w:spacing w:val="0"/>
                      <w:position w:val="0"/>
                      <w:sz w:val="18"/>
                      <w:szCs w:val="18"/>
                      <w:highlight w:val="none"/>
                    </w:rPr>
                    <w:t>排放浓度mg/m</w:t>
                  </w:r>
                  <w:r>
                    <w:rPr>
                      <w:rFonts w:hint="default"/>
                      <w:bCs/>
                      <w:color w:val="auto"/>
                      <w:spacing w:val="0"/>
                      <w:position w:val="0"/>
                      <w:sz w:val="18"/>
                      <w:szCs w:val="18"/>
                      <w:highlight w:val="none"/>
                      <w:vertAlign w:val="superscript"/>
                    </w:rPr>
                    <w:t>3</w:t>
                  </w:r>
                </w:p>
              </w:tc>
              <w:tc>
                <w:tcPr>
                  <w:tcW w:w="655" w:type="pct"/>
                  <w:tcBorders>
                    <w:top w:val="single" w:color="auto" w:sz="12" w:space="0"/>
                    <w:left w:val="single" w:color="auto" w:sz="4" w:space="0"/>
                    <w:bottom w:val="single" w:color="000000" w:sz="4" w:space="0"/>
                    <w:right w:val="single" w:color="auto" w:sz="4" w:space="0"/>
                  </w:tcBorders>
                  <w:noWrap w:val="0"/>
                  <w:vAlign w:val="center"/>
                </w:tcPr>
                <w:p w14:paraId="6C05C733">
                  <w:pPr>
                    <w:pStyle w:val="75"/>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FF0000"/>
                      <w:sz w:val="18"/>
                      <w:szCs w:val="18"/>
                      <w:highlight w:val="none"/>
                    </w:rPr>
                  </w:pPr>
                  <w:r>
                    <w:rPr>
                      <w:rFonts w:hint="default" w:ascii="Times New Roman" w:hAnsi="Times New Roman" w:eastAsia="宋体" w:cs="Times New Roman"/>
                      <w:color w:val="FF0000"/>
                      <w:sz w:val="18"/>
                      <w:szCs w:val="18"/>
                      <w:highlight w:val="none"/>
                    </w:rPr>
                    <w:t>非正常排放</w:t>
                  </w:r>
                  <w:r>
                    <w:rPr>
                      <w:rFonts w:hint="default" w:ascii="Times New Roman" w:hAnsi="Times New Roman" w:eastAsia="宋体" w:cs="Times New Roman"/>
                      <w:bCs/>
                      <w:color w:val="FF0000"/>
                      <w:sz w:val="18"/>
                      <w:szCs w:val="18"/>
                      <w:highlight w:val="none"/>
                    </w:rPr>
                    <w:t>速率kg/h</w:t>
                  </w:r>
                </w:p>
              </w:tc>
              <w:tc>
                <w:tcPr>
                  <w:tcW w:w="514" w:type="pct"/>
                  <w:tcBorders>
                    <w:top w:val="single" w:color="auto" w:sz="12" w:space="0"/>
                    <w:left w:val="single" w:color="auto" w:sz="4" w:space="0"/>
                    <w:bottom w:val="single" w:color="000000" w:sz="4" w:space="0"/>
                    <w:right w:val="single" w:color="auto" w:sz="4" w:space="0"/>
                  </w:tcBorders>
                  <w:noWrap w:val="0"/>
                  <w:vAlign w:val="center"/>
                </w:tcPr>
                <w:p w14:paraId="3ED8BEEF">
                  <w:pPr>
                    <w:pStyle w:val="75"/>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单次持续时间/h</w:t>
                  </w:r>
                </w:p>
              </w:tc>
              <w:tc>
                <w:tcPr>
                  <w:tcW w:w="550" w:type="pct"/>
                  <w:tcBorders>
                    <w:top w:val="single" w:color="auto" w:sz="12" w:space="0"/>
                    <w:left w:val="single" w:color="auto" w:sz="4" w:space="0"/>
                    <w:bottom w:val="single" w:color="000000" w:sz="4" w:space="0"/>
                    <w:right w:val="single" w:color="auto" w:sz="4" w:space="0"/>
                  </w:tcBorders>
                  <w:noWrap w:val="0"/>
                  <w:vAlign w:val="center"/>
                </w:tcPr>
                <w:p w14:paraId="3321604C">
                  <w:pPr>
                    <w:pStyle w:val="75"/>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年发生频次/次</w:t>
                  </w:r>
                </w:p>
              </w:tc>
              <w:tc>
                <w:tcPr>
                  <w:tcW w:w="565" w:type="pct"/>
                  <w:tcBorders>
                    <w:top w:val="single" w:color="auto" w:sz="12" w:space="0"/>
                    <w:left w:val="single" w:color="auto" w:sz="4" w:space="0"/>
                    <w:bottom w:val="single" w:color="000000" w:sz="4" w:space="0"/>
                    <w:right w:val="nil"/>
                  </w:tcBorders>
                  <w:noWrap w:val="0"/>
                  <w:vAlign w:val="center"/>
                </w:tcPr>
                <w:p w14:paraId="64C768E4">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应对措施</w:t>
                  </w:r>
                </w:p>
              </w:tc>
            </w:tr>
            <w:tr w14:paraId="274D4389">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97" w:type="pct"/>
                  <w:tcBorders>
                    <w:top w:val="single" w:color="000000" w:sz="4" w:space="0"/>
                    <w:left w:val="nil"/>
                    <w:bottom w:val="single" w:color="auto" w:sz="12" w:space="0"/>
                    <w:right w:val="single" w:color="auto" w:sz="4" w:space="0"/>
                  </w:tcBorders>
                  <w:noWrap w:val="0"/>
                  <w:vAlign w:val="center"/>
                </w:tcPr>
                <w:p w14:paraId="09B70866">
                  <w:pPr>
                    <w:keepNext w:val="0"/>
                    <w:keepLines w:val="0"/>
                    <w:suppressLineNumbers w:val="0"/>
                    <w:spacing w:before="0" w:beforeAutospacing="0" w:after="0" w:afterAutospacing="0"/>
                    <w:ind w:left="0" w:right="0"/>
                    <w:jc w:val="center"/>
                    <w:rPr>
                      <w:rFonts w:hint="eastAsia"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DA00</w:t>
                  </w:r>
                  <w:r>
                    <w:rPr>
                      <w:rFonts w:hint="eastAsia" w:cs="Times New Roman"/>
                      <w:color w:val="auto"/>
                      <w:sz w:val="18"/>
                      <w:szCs w:val="18"/>
                      <w:highlight w:val="none"/>
                      <w:lang w:val="en-US" w:eastAsia="zh-CN"/>
                    </w:rPr>
                    <w:t>1</w:t>
                  </w:r>
                </w:p>
              </w:tc>
              <w:tc>
                <w:tcPr>
                  <w:tcW w:w="867" w:type="pct"/>
                  <w:tcBorders>
                    <w:top w:val="single" w:color="000000" w:sz="4" w:space="0"/>
                    <w:left w:val="single" w:color="auto" w:sz="4" w:space="0"/>
                    <w:bottom w:val="single" w:color="auto" w:sz="12" w:space="0"/>
                    <w:right w:val="single" w:color="auto" w:sz="4" w:space="0"/>
                  </w:tcBorders>
                  <w:noWrap w:val="0"/>
                  <w:vAlign w:val="center"/>
                </w:tcPr>
                <w:p w14:paraId="777CCFB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sz w:val="18"/>
                      <w:szCs w:val="18"/>
                      <w:highlight w:val="none"/>
                    </w:rPr>
                  </w:pPr>
                  <w:r>
                    <w:rPr>
                      <w:rFonts w:hint="eastAsia" w:ascii="Times New Roman" w:hAnsi="Times New Roman" w:eastAsia="宋体" w:cs="Times New Roman"/>
                      <w:color w:val="FF0000"/>
                      <w:sz w:val="18"/>
                      <w:szCs w:val="18"/>
                      <w:highlight w:val="none"/>
                      <w:lang w:val="en-US" w:eastAsia="zh-CN"/>
                    </w:rPr>
                    <w:t>布袋</w:t>
                  </w:r>
                  <w:r>
                    <w:rPr>
                      <w:rFonts w:hint="default" w:ascii="Times New Roman" w:hAnsi="Times New Roman" w:eastAsia="宋体" w:cs="Times New Roman"/>
                      <w:color w:val="FF0000"/>
                      <w:sz w:val="18"/>
                      <w:szCs w:val="18"/>
                      <w:highlight w:val="none"/>
                    </w:rPr>
                    <w:t>除尘器发生故障，处理效率降低为</w:t>
                  </w:r>
                  <w:r>
                    <w:rPr>
                      <w:rFonts w:hint="eastAsia" w:cs="Times New Roman"/>
                      <w:color w:val="FF0000"/>
                      <w:sz w:val="18"/>
                      <w:szCs w:val="18"/>
                      <w:highlight w:val="none"/>
                      <w:lang w:val="en-US" w:eastAsia="zh-CN"/>
                    </w:rPr>
                    <w:t>90</w:t>
                  </w:r>
                  <w:r>
                    <w:rPr>
                      <w:rFonts w:hint="default" w:ascii="Times New Roman" w:hAnsi="Times New Roman" w:eastAsia="宋体" w:cs="Times New Roman"/>
                      <w:color w:val="FF0000"/>
                      <w:sz w:val="18"/>
                      <w:szCs w:val="18"/>
                      <w:highlight w:val="none"/>
                    </w:rPr>
                    <w:t>%</w:t>
                  </w:r>
                </w:p>
              </w:tc>
              <w:tc>
                <w:tcPr>
                  <w:tcW w:w="492" w:type="pct"/>
                  <w:tcBorders>
                    <w:top w:val="single" w:color="000000" w:sz="4" w:space="0"/>
                    <w:left w:val="single" w:color="auto" w:sz="4" w:space="0"/>
                    <w:bottom w:val="single" w:color="auto" w:sz="12" w:space="0"/>
                    <w:right w:val="single" w:color="auto" w:sz="4" w:space="0"/>
                  </w:tcBorders>
                  <w:noWrap w:val="0"/>
                  <w:vAlign w:val="center"/>
                </w:tcPr>
                <w:p w14:paraId="53A697E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颗粒物</w:t>
                  </w:r>
                </w:p>
              </w:tc>
              <w:tc>
                <w:tcPr>
                  <w:tcW w:w="655" w:type="pct"/>
                  <w:tcBorders>
                    <w:top w:val="single" w:color="000000" w:sz="4" w:space="0"/>
                    <w:left w:val="single" w:color="auto" w:sz="4" w:space="0"/>
                    <w:bottom w:val="single" w:color="auto" w:sz="12" w:space="0"/>
                    <w:right w:val="single" w:color="auto" w:sz="4" w:space="0"/>
                  </w:tcBorders>
                  <w:noWrap w:val="0"/>
                  <w:vAlign w:val="center"/>
                </w:tcPr>
                <w:p w14:paraId="1BDCB7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rPr>
                    <w:t>353.655</w:t>
                  </w:r>
                </w:p>
              </w:tc>
              <w:tc>
                <w:tcPr>
                  <w:tcW w:w="655" w:type="pct"/>
                  <w:tcBorders>
                    <w:top w:val="single" w:color="000000" w:sz="4" w:space="0"/>
                    <w:left w:val="single" w:color="auto" w:sz="4" w:space="0"/>
                    <w:bottom w:val="single" w:color="auto" w:sz="12" w:space="0"/>
                    <w:right w:val="single" w:color="auto" w:sz="4" w:space="0"/>
                  </w:tcBorders>
                  <w:noWrap w:val="0"/>
                  <w:vAlign w:val="center"/>
                </w:tcPr>
                <w:p w14:paraId="57684C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FF0000"/>
                      <w:spacing w:val="0"/>
                      <w:kern w:val="0"/>
                      <w:position w:val="0"/>
                      <w:sz w:val="18"/>
                      <w:szCs w:val="18"/>
                      <w:highlight w:val="none"/>
                      <w:lang w:val="en-US" w:eastAsia="zh-CN" w:bidi="ar-SA"/>
                    </w:rPr>
                  </w:pPr>
                  <w:r>
                    <w:rPr>
                      <w:rFonts w:hint="eastAsia" w:cs="Times New Roman"/>
                      <w:color w:val="FF0000"/>
                      <w:spacing w:val="0"/>
                      <w:kern w:val="0"/>
                      <w:position w:val="0"/>
                      <w:sz w:val="18"/>
                      <w:szCs w:val="18"/>
                      <w:highlight w:val="none"/>
                      <w:lang w:val="en-US" w:eastAsia="zh-CN" w:bidi="ar-SA"/>
                    </w:rPr>
                    <w:t>1.969</w:t>
                  </w:r>
                </w:p>
              </w:tc>
              <w:tc>
                <w:tcPr>
                  <w:tcW w:w="514" w:type="pct"/>
                  <w:tcBorders>
                    <w:top w:val="single" w:color="000000" w:sz="4" w:space="0"/>
                    <w:left w:val="single" w:color="auto" w:sz="4" w:space="0"/>
                    <w:bottom w:val="single" w:color="auto" w:sz="12" w:space="0"/>
                    <w:right w:val="single" w:color="auto" w:sz="4" w:space="0"/>
                  </w:tcBorders>
                  <w:noWrap w:val="0"/>
                  <w:vAlign w:val="center"/>
                </w:tcPr>
                <w:p w14:paraId="7044226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550" w:type="pct"/>
                  <w:tcBorders>
                    <w:top w:val="single" w:color="000000" w:sz="4" w:space="0"/>
                    <w:left w:val="single" w:color="auto" w:sz="4" w:space="0"/>
                    <w:bottom w:val="single" w:color="auto" w:sz="12" w:space="0"/>
                    <w:right w:val="single" w:color="auto" w:sz="4" w:space="0"/>
                  </w:tcBorders>
                  <w:noWrap w:val="0"/>
                  <w:vAlign w:val="center"/>
                </w:tcPr>
                <w:p w14:paraId="2C06BFD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565" w:type="pct"/>
                  <w:tcBorders>
                    <w:top w:val="single" w:color="000000" w:sz="4" w:space="0"/>
                    <w:left w:val="single" w:color="auto" w:sz="4" w:space="0"/>
                    <w:bottom w:val="single" w:color="auto" w:sz="12" w:space="0"/>
                    <w:right w:val="nil"/>
                  </w:tcBorders>
                  <w:noWrap w:val="0"/>
                  <w:vAlign w:val="center"/>
                </w:tcPr>
                <w:p w14:paraId="6EE1BC8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rPr>
                    <w:t>设备停止运行，进行检修维护</w:t>
                  </w:r>
                </w:p>
              </w:tc>
            </w:tr>
          </w:tbl>
          <w:p w14:paraId="59151A4F">
            <w:pPr>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cs="Times New Roman"/>
                <w:b/>
                <w:bCs/>
                <w:color w:val="auto"/>
                <w:szCs w:val="21"/>
                <w:highlight w:val="none"/>
              </w:rPr>
            </w:pPr>
            <w:r>
              <w:rPr>
                <w:rFonts w:hint="eastAsia" w:cs="Times New Roman"/>
                <w:b w:val="0"/>
                <w:bCs w:val="0"/>
                <w:color w:val="auto"/>
                <w:szCs w:val="21"/>
                <w:highlight w:val="none"/>
                <w:lang w:eastAsia="zh-CN"/>
              </w:rPr>
              <w:t>（</w:t>
            </w:r>
            <w:r>
              <w:rPr>
                <w:rFonts w:hint="eastAsia" w:cs="Times New Roman"/>
                <w:b w:val="0"/>
                <w:bCs w:val="0"/>
                <w:color w:val="auto"/>
                <w:szCs w:val="21"/>
                <w:highlight w:val="none"/>
                <w:lang w:val="en-US" w:eastAsia="zh-CN"/>
              </w:rPr>
              <w:t>4</w:t>
            </w:r>
            <w:r>
              <w:rPr>
                <w:rFonts w:hint="eastAsia" w:cs="Times New Roman"/>
                <w:b w:val="0"/>
                <w:bCs w:val="0"/>
                <w:color w:val="auto"/>
                <w:szCs w:val="21"/>
                <w:highlight w:val="none"/>
                <w:lang w:eastAsia="zh-CN"/>
              </w:rPr>
              <w:t>）</w:t>
            </w:r>
            <w:r>
              <w:rPr>
                <w:rFonts w:hint="default" w:ascii="Times New Roman" w:hAnsi="Times New Roman" w:cs="Times New Roman"/>
                <w:b w:val="0"/>
                <w:bCs w:val="0"/>
                <w:color w:val="auto"/>
                <w:szCs w:val="21"/>
                <w:highlight w:val="none"/>
              </w:rPr>
              <w:t>废气监测计划</w:t>
            </w:r>
          </w:p>
          <w:p w14:paraId="244CA4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highlight w:val="none"/>
              </w:rPr>
            </w:pPr>
            <w:r>
              <w:rPr>
                <w:rFonts w:hint="default"/>
                <w:color w:val="auto"/>
                <w:sz w:val="21"/>
                <w:szCs w:val="21"/>
                <w:highlight w:val="none"/>
              </w:rPr>
              <w:t>根据</w:t>
            </w:r>
            <w:r>
              <w:rPr>
                <w:rFonts w:hint="default" w:ascii="Times New Roman" w:hAnsi="Times New Roman" w:cs="Times New Roman"/>
                <w:color w:val="auto"/>
                <w:sz w:val="21"/>
                <w:szCs w:val="21"/>
                <w:highlight w:val="none"/>
              </w:rPr>
              <w:t>《排污许可证申请与核发技术规范 工业炉窑》（HJ1121-2020）</w:t>
            </w:r>
            <w:r>
              <w:rPr>
                <w:rFonts w:hint="default"/>
                <w:color w:val="auto"/>
                <w:sz w:val="21"/>
                <w:szCs w:val="21"/>
                <w:highlight w:val="none"/>
              </w:rPr>
              <w:t>和</w:t>
            </w:r>
            <w:r>
              <w:rPr>
                <w:rFonts w:hint="default" w:ascii="Times New Roman" w:hAnsi="Times New Roman" w:cs="Times New Roman"/>
                <w:color w:val="auto"/>
                <w:sz w:val="21"/>
                <w:szCs w:val="21"/>
                <w:highlight w:val="none"/>
              </w:rPr>
              <w:t>《排污单位自行监测技术指南</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总则》（HJ819-2017）</w:t>
            </w:r>
            <w:r>
              <w:rPr>
                <w:rFonts w:hint="eastAsia"/>
                <w:color w:val="auto"/>
                <w:sz w:val="21"/>
                <w:szCs w:val="21"/>
                <w:highlight w:val="none"/>
                <w:lang w:eastAsia="zh-CN"/>
              </w:rPr>
              <w:t>，</w:t>
            </w:r>
            <w:r>
              <w:rPr>
                <w:rFonts w:hint="default" w:ascii="Times New Roman" w:hAnsi="Times New Roman" w:cs="Times New Roman"/>
                <w:color w:val="auto"/>
                <w:sz w:val="21"/>
                <w:szCs w:val="21"/>
                <w:highlight w:val="none"/>
              </w:rPr>
              <w:t>制定本项目废气监测计划如下。</w:t>
            </w:r>
          </w:p>
          <w:p w14:paraId="3D0E859F">
            <w:pPr>
              <w:keepNext w:val="0"/>
              <w:keepLines w:val="0"/>
              <w:suppressLineNumbers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4 </w:t>
            </w:r>
            <w:r>
              <w:rPr>
                <w:rFonts w:hint="default" w:ascii="Times New Roman" w:hAnsi="Times New Roman" w:cs="Times New Roman"/>
                <w:b/>
                <w:color w:val="auto"/>
                <w:szCs w:val="21"/>
                <w:highlight w:val="none"/>
              </w:rPr>
              <w:t>废气监测方案</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7"/>
              <w:gridCol w:w="1050"/>
              <w:gridCol w:w="1895"/>
              <w:gridCol w:w="940"/>
              <w:gridCol w:w="1116"/>
              <w:gridCol w:w="2207"/>
            </w:tblGrid>
            <w:tr w14:paraId="4648D0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874" w:type="dxa"/>
                  <w:tcBorders>
                    <w:top w:val="single" w:color="auto" w:sz="12" w:space="0"/>
                    <w:left w:val="nil"/>
                    <w:bottom w:val="single" w:color="auto" w:sz="4" w:space="0"/>
                    <w:right w:val="single" w:color="auto" w:sz="4" w:space="0"/>
                  </w:tcBorders>
                  <w:noWrap w:val="0"/>
                  <w:vAlign w:val="center"/>
                </w:tcPr>
                <w:p w14:paraId="7E8A6A44">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编号</w:t>
                  </w:r>
                </w:p>
              </w:tc>
              <w:tc>
                <w:tcPr>
                  <w:tcW w:w="1046" w:type="dxa"/>
                  <w:tcBorders>
                    <w:top w:val="single" w:color="auto" w:sz="12" w:space="0"/>
                    <w:left w:val="single" w:color="auto" w:sz="4" w:space="0"/>
                    <w:bottom w:val="single" w:color="auto" w:sz="4" w:space="0"/>
                    <w:right w:val="single" w:color="auto" w:sz="4" w:space="0"/>
                  </w:tcBorders>
                  <w:noWrap w:val="0"/>
                  <w:vAlign w:val="center"/>
                </w:tcPr>
                <w:p w14:paraId="1D787845">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排放口名称</w:t>
                  </w:r>
                </w:p>
              </w:tc>
              <w:tc>
                <w:tcPr>
                  <w:tcW w:w="1888" w:type="dxa"/>
                  <w:tcBorders>
                    <w:top w:val="single" w:color="auto" w:sz="12" w:space="0"/>
                    <w:left w:val="single" w:color="auto" w:sz="4" w:space="0"/>
                    <w:bottom w:val="single" w:color="auto" w:sz="4" w:space="0"/>
                    <w:right w:val="single" w:color="auto" w:sz="4" w:space="0"/>
                  </w:tcBorders>
                  <w:noWrap w:val="0"/>
                  <w:vAlign w:val="center"/>
                </w:tcPr>
                <w:p w14:paraId="05E539F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监测</w:t>
                  </w:r>
                  <w:r>
                    <w:rPr>
                      <w:rFonts w:hint="default" w:ascii="Times New Roman" w:hAnsi="Times New Roman" w:eastAsia="宋体" w:cs="Times New Roman"/>
                      <w:bCs/>
                      <w:color w:val="auto"/>
                      <w:sz w:val="18"/>
                      <w:szCs w:val="18"/>
                      <w:highlight w:val="none"/>
                    </w:rPr>
                    <w:t>因子</w:t>
                  </w:r>
                </w:p>
              </w:tc>
              <w:tc>
                <w:tcPr>
                  <w:tcW w:w="937" w:type="dxa"/>
                  <w:tcBorders>
                    <w:top w:val="single" w:color="auto" w:sz="12" w:space="0"/>
                    <w:left w:val="single" w:color="auto" w:sz="4" w:space="0"/>
                    <w:bottom w:val="single" w:color="auto" w:sz="4" w:space="0"/>
                    <w:right w:val="single" w:color="auto" w:sz="4" w:space="0"/>
                  </w:tcBorders>
                  <w:noWrap w:val="0"/>
                  <w:vAlign w:val="center"/>
                </w:tcPr>
                <w:p w14:paraId="1518938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监测频次</w:t>
                  </w:r>
                </w:p>
              </w:tc>
              <w:tc>
                <w:tcPr>
                  <w:tcW w:w="1112" w:type="dxa"/>
                  <w:tcBorders>
                    <w:top w:val="single" w:color="auto" w:sz="12" w:space="0"/>
                    <w:left w:val="single" w:color="auto" w:sz="4" w:space="0"/>
                    <w:bottom w:val="single" w:color="auto" w:sz="4" w:space="0"/>
                    <w:right w:val="single" w:color="auto" w:sz="4" w:space="0"/>
                  </w:tcBorders>
                  <w:noWrap w:val="0"/>
                  <w:vAlign w:val="center"/>
                </w:tcPr>
                <w:p w14:paraId="17136A10">
                  <w:pPr>
                    <w:keepNext w:val="0"/>
                    <w:keepLines w:val="0"/>
                    <w:pageBreakBefore w:val="0"/>
                    <w:suppressLineNumbers w:val="0"/>
                    <w:tabs>
                      <w:tab w:val="left" w:pos="351"/>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监测时间</w:t>
                  </w:r>
                </w:p>
              </w:tc>
              <w:tc>
                <w:tcPr>
                  <w:tcW w:w="2197" w:type="dxa"/>
                  <w:tcBorders>
                    <w:top w:val="single" w:color="auto" w:sz="12" w:space="0"/>
                    <w:left w:val="single" w:color="auto" w:sz="4" w:space="0"/>
                    <w:bottom w:val="single" w:color="auto" w:sz="4" w:space="0"/>
                    <w:right w:val="nil"/>
                  </w:tcBorders>
                  <w:noWrap w:val="0"/>
                  <w:vAlign w:val="center"/>
                </w:tcPr>
                <w:p w14:paraId="6126628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执行排放标准</w:t>
                  </w:r>
                </w:p>
              </w:tc>
            </w:tr>
            <w:tr w14:paraId="15A89E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874" w:type="dxa"/>
                  <w:vMerge w:val="restart"/>
                  <w:tcBorders>
                    <w:top w:val="single" w:color="auto" w:sz="4" w:space="0"/>
                    <w:left w:val="nil"/>
                    <w:right w:val="single" w:color="auto" w:sz="4" w:space="0"/>
                  </w:tcBorders>
                  <w:noWrap w:val="0"/>
                  <w:vAlign w:val="center"/>
                </w:tcPr>
                <w:p w14:paraId="3D92BE7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DA00</w:t>
                  </w:r>
                  <w:r>
                    <w:rPr>
                      <w:rFonts w:hint="eastAsia" w:cs="Times New Roman"/>
                      <w:color w:val="auto"/>
                      <w:sz w:val="18"/>
                      <w:szCs w:val="18"/>
                      <w:highlight w:val="none"/>
                      <w:lang w:val="en-US" w:eastAsia="zh-CN"/>
                    </w:rPr>
                    <w:t>1</w:t>
                  </w:r>
                </w:p>
              </w:tc>
              <w:tc>
                <w:tcPr>
                  <w:tcW w:w="1046" w:type="dxa"/>
                  <w:vMerge w:val="restart"/>
                  <w:tcBorders>
                    <w:top w:val="single" w:color="auto" w:sz="4" w:space="0"/>
                    <w:left w:val="single" w:color="auto" w:sz="4" w:space="0"/>
                    <w:right w:val="single" w:color="auto" w:sz="4" w:space="0"/>
                  </w:tcBorders>
                  <w:noWrap w:val="0"/>
                  <w:vAlign w:val="center"/>
                </w:tcPr>
                <w:p w14:paraId="6062C9F0">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eastAsia="zh-CN"/>
                    </w:rPr>
                  </w:pPr>
                  <w:r>
                    <w:rPr>
                      <w:rFonts w:hint="eastAsia"/>
                      <w:color w:val="auto"/>
                      <w:sz w:val="18"/>
                      <w:szCs w:val="18"/>
                      <w:highlight w:val="none"/>
                      <w:lang w:eastAsia="zh-CN"/>
                    </w:rPr>
                    <w:t>热风炉</w:t>
                  </w:r>
                  <w:r>
                    <w:rPr>
                      <w:rFonts w:hint="eastAsia" w:cs="Times New Roman"/>
                      <w:color w:val="auto"/>
                      <w:sz w:val="18"/>
                      <w:szCs w:val="18"/>
                      <w:highlight w:val="none"/>
                      <w:lang w:eastAsia="zh-CN"/>
                    </w:rPr>
                    <w:t>烟囱</w:t>
                  </w:r>
                </w:p>
              </w:tc>
              <w:tc>
                <w:tcPr>
                  <w:tcW w:w="1888" w:type="dxa"/>
                  <w:tcBorders>
                    <w:top w:val="single" w:color="auto" w:sz="4" w:space="0"/>
                    <w:left w:val="single" w:color="auto" w:sz="4" w:space="0"/>
                    <w:bottom w:val="single" w:color="auto" w:sz="4" w:space="0"/>
                    <w:right w:val="single" w:color="auto" w:sz="4" w:space="0"/>
                  </w:tcBorders>
                  <w:noWrap w:val="0"/>
                  <w:vAlign w:val="center"/>
                </w:tcPr>
                <w:p w14:paraId="404EEA9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val="en-US" w:eastAsia="zh-CN"/>
                    </w:rPr>
                    <w:t>颗粒物</w:t>
                  </w:r>
                  <w:r>
                    <w:rPr>
                      <w:rFonts w:hint="eastAsia"/>
                      <w:color w:val="auto"/>
                      <w:sz w:val="18"/>
                      <w:szCs w:val="18"/>
                      <w:highlight w:val="none"/>
                      <w:lang w:eastAsia="zh-CN"/>
                    </w:rPr>
                    <w:t>、烟气黑度</w:t>
                  </w:r>
                  <w:r>
                    <w:rPr>
                      <w:rFonts w:hint="default"/>
                      <w:color w:val="auto"/>
                      <w:sz w:val="18"/>
                      <w:szCs w:val="18"/>
                      <w:highlight w:val="none"/>
                    </w:rPr>
                    <w:t>、SO</w:t>
                  </w:r>
                  <w:r>
                    <w:rPr>
                      <w:rFonts w:hint="default"/>
                      <w:color w:val="auto"/>
                      <w:sz w:val="18"/>
                      <w:szCs w:val="18"/>
                      <w:highlight w:val="none"/>
                      <w:vertAlign w:val="subscript"/>
                    </w:rPr>
                    <w:t>2</w:t>
                  </w:r>
                </w:p>
              </w:tc>
              <w:tc>
                <w:tcPr>
                  <w:tcW w:w="937" w:type="dxa"/>
                  <w:tcBorders>
                    <w:top w:val="single" w:color="auto" w:sz="4" w:space="0"/>
                    <w:left w:val="single" w:color="auto" w:sz="4" w:space="0"/>
                    <w:right w:val="single" w:color="auto" w:sz="4" w:space="0"/>
                  </w:tcBorders>
                  <w:noWrap w:val="0"/>
                  <w:vAlign w:val="center"/>
                </w:tcPr>
                <w:p w14:paraId="0203ABDB">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次/</w:t>
                  </w:r>
                  <w:r>
                    <w:rPr>
                      <w:rFonts w:hint="eastAsia" w:cs="Times New Roman"/>
                      <w:color w:val="auto"/>
                      <w:sz w:val="18"/>
                      <w:szCs w:val="18"/>
                      <w:highlight w:val="none"/>
                      <w:lang w:val="en-US" w:eastAsia="zh-CN"/>
                    </w:rPr>
                    <w:t>年</w:t>
                  </w:r>
                </w:p>
              </w:tc>
              <w:tc>
                <w:tcPr>
                  <w:tcW w:w="1112" w:type="dxa"/>
                  <w:vMerge w:val="restart"/>
                  <w:tcBorders>
                    <w:top w:val="single" w:color="auto" w:sz="4" w:space="0"/>
                    <w:left w:val="single" w:color="auto" w:sz="4" w:space="0"/>
                    <w:right w:val="single" w:color="auto" w:sz="4" w:space="0"/>
                  </w:tcBorders>
                  <w:noWrap w:val="0"/>
                  <w:vAlign w:val="center"/>
                </w:tcPr>
                <w:p w14:paraId="016A5C9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FF0000"/>
                      <w:sz w:val="18"/>
                      <w:szCs w:val="18"/>
                      <w:highlight w:val="none"/>
                      <w:lang w:val="en-US" w:eastAsia="zh-CN"/>
                    </w:rPr>
                  </w:pPr>
                  <w:r>
                    <w:rPr>
                      <w:rFonts w:hint="eastAsia" w:cs="Times New Roman"/>
                      <w:color w:val="FF0000"/>
                      <w:sz w:val="18"/>
                      <w:szCs w:val="18"/>
                      <w:highlight w:val="none"/>
                      <w:lang w:val="en-US" w:eastAsia="zh-CN"/>
                    </w:rPr>
                    <w:t>10月-</w:t>
                  </w:r>
                  <w:r>
                    <w:rPr>
                      <w:rFonts w:hint="eastAsia"/>
                      <w:color w:val="FF0000"/>
                      <w:sz w:val="18"/>
                      <w:szCs w:val="18"/>
                      <w:highlight w:val="none"/>
                      <w:lang w:val="en-US" w:eastAsia="zh-CN"/>
                    </w:rPr>
                    <w:t>次年</w:t>
                  </w:r>
                  <w:r>
                    <w:rPr>
                      <w:rFonts w:hint="eastAsia" w:cs="Times New Roman"/>
                      <w:color w:val="FF0000"/>
                      <w:sz w:val="18"/>
                      <w:szCs w:val="18"/>
                      <w:highlight w:val="none"/>
                      <w:lang w:val="en-US" w:eastAsia="zh-CN"/>
                    </w:rPr>
                    <w:t>3月</w:t>
                  </w:r>
                </w:p>
              </w:tc>
              <w:tc>
                <w:tcPr>
                  <w:tcW w:w="2197" w:type="dxa"/>
                  <w:vMerge w:val="restart"/>
                  <w:tcBorders>
                    <w:top w:val="single" w:color="auto" w:sz="4" w:space="0"/>
                    <w:left w:val="single" w:color="auto" w:sz="4" w:space="0"/>
                    <w:right w:val="nil"/>
                  </w:tcBorders>
                  <w:noWrap w:val="0"/>
                  <w:vAlign w:val="center"/>
                </w:tcPr>
                <w:p w14:paraId="10895F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rPr>
                  </w:pPr>
                  <w:r>
                    <w:rPr>
                      <w:rFonts w:hint="eastAsia" w:ascii="Times New Roman" w:hAnsi="Times New Roman" w:eastAsia="宋体" w:cs="Times New Roman"/>
                      <w:b w:val="0"/>
                      <w:bCs w:val="0"/>
                      <w:color w:val="auto"/>
                      <w:sz w:val="18"/>
                      <w:szCs w:val="18"/>
                      <w:highlight w:val="none"/>
                      <w:lang w:val="en-US" w:eastAsia="zh-CN"/>
                    </w:rPr>
                    <w:t>《工业炉窑大气污染物排放标准》（GB9078-1996）</w:t>
                  </w:r>
                </w:p>
              </w:tc>
            </w:tr>
            <w:tr w14:paraId="78FB9A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74" w:type="dxa"/>
                  <w:vMerge w:val="continue"/>
                  <w:tcBorders>
                    <w:left w:val="nil"/>
                    <w:bottom w:val="single" w:color="auto" w:sz="12" w:space="0"/>
                    <w:right w:val="single" w:color="auto" w:sz="4" w:space="0"/>
                  </w:tcBorders>
                  <w:noWrap w:val="0"/>
                  <w:vAlign w:val="center"/>
                </w:tcPr>
                <w:p w14:paraId="16579B8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1046" w:type="dxa"/>
                  <w:vMerge w:val="continue"/>
                  <w:tcBorders>
                    <w:left w:val="single" w:color="auto" w:sz="4" w:space="0"/>
                    <w:bottom w:val="single" w:color="auto" w:sz="12" w:space="0"/>
                    <w:right w:val="single" w:color="auto" w:sz="4" w:space="0"/>
                  </w:tcBorders>
                  <w:noWrap w:val="0"/>
                  <w:vAlign w:val="center"/>
                </w:tcPr>
                <w:p w14:paraId="388563D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1888" w:type="dxa"/>
                  <w:tcBorders>
                    <w:top w:val="single" w:color="auto" w:sz="4" w:space="0"/>
                    <w:left w:val="single" w:color="auto" w:sz="4" w:space="0"/>
                    <w:bottom w:val="single" w:color="auto" w:sz="12" w:space="0"/>
                    <w:right w:val="single" w:color="auto" w:sz="4" w:space="0"/>
                  </w:tcBorders>
                  <w:noWrap w:val="0"/>
                  <w:vAlign w:val="center"/>
                </w:tcPr>
                <w:p w14:paraId="2DDB6F6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r>
                    <w:rPr>
                      <w:rFonts w:hint="default"/>
                      <w:color w:val="auto"/>
                      <w:sz w:val="18"/>
                      <w:szCs w:val="18"/>
                      <w:highlight w:val="none"/>
                    </w:rPr>
                    <w:t>NO</w:t>
                  </w:r>
                  <w:r>
                    <w:rPr>
                      <w:rFonts w:hint="default"/>
                      <w:color w:val="auto"/>
                      <w:sz w:val="18"/>
                      <w:szCs w:val="18"/>
                      <w:highlight w:val="none"/>
                      <w:vertAlign w:val="subscript"/>
                    </w:rPr>
                    <w:t>X</w:t>
                  </w:r>
                </w:p>
              </w:tc>
              <w:tc>
                <w:tcPr>
                  <w:tcW w:w="937" w:type="dxa"/>
                  <w:tcBorders>
                    <w:left w:val="single" w:color="auto" w:sz="4" w:space="0"/>
                    <w:bottom w:val="single" w:color="auto" w:sz="12" w:space="0"/>
                    <w:right w:val="single" w:color="auto" w:sz="4" w:space="0"/>
                  </w:tcBorders>
                  <w:noWrap w:val="0"/>
                  <w:vAlign w:val="center"/>
                </w:tcPr>
                <w:p w14:paraId="29E264AD">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次/</w:t>
                  </w:r>
                  <w:r>
                    <w:rPr>
                      <w:rFonts w:hint="eastAsia" w:cs="Times New Roman"/>
                      <w:color w:val="auto"/>
                      <w:sz w:val="18"/>
                      <w:szCs w:val="18"/>
                      <w:highlight w:val="none"/>
                      <w:lang w:val="en-US" w:eastAsia="zh-CN"/>
                    </w:rPr>
                    <w:t>月</w:t>
                  </w:r>
                </w:p>
              </w:tc>
              <w:tc>
                <w:tcPr>
                  <w:tcW w:w="1112" w:type="dxa"/>
                  <w:vMerge w:val="continue"/>
                  <w:tcBorders>
                    <w:left w:val="single" w:color="auto" w:sz="4" w:space="0"/>
                    <w:bottom w:val="single" w:color="auto" w:sz="12" w:space="0"/>
                    <w:right w:val="single" w:color="auto" w:sz="4" w:space="0"/>
                  </w:tcBorders>
                  <w:noWrap w:val="0"/>
                  <w:vAlign w:val="center"/>
                </w:tcPr>
                <w:p w14:paraId="55F42C1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18"/>
                      <w:szCs w:val="18"/>
                      <w:highlight w:val="none"/>
                      <w:lang w:val="en-US" w:eastAsia="zh-CN"/>
                    </w:rPr>
                  </w:pPr>
                </w:p>
              </w:tc>
              <w:tc>
                <w:tcPr>
                  <w:tcW w:w="2197" w:type="dxa"/>
                  <w:vMerge w:val="continue"/>
                  <w:tcBorders>
                    <w:left w:val="single" w:color="auto" w:sz="4" w:space="0"/>
                    <w:bottom w:val="single" w:color="auto" w:sz="12" w:space="0"/>
                    <w:right w:val="nil"/>
                  </w:tcBorders>
                  <w:noWrap w:val="0"/>
                  <w:vAlign w:val="center"/>
                </w:tcPr>
                <w:p w14:paraId="4D745EA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p>
              </w:tc>
            </w:tr>
          </w:tbl>
          <w:p w14:paraId="1A3D33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highlight w:val="none"/>
              </w:rPr>
            </w:pPr>
            <w:r>
              <w:rPr>
                <w:rFonts w:hint="default"/>
                <w:b/>
                <w:bCs/>
                <w:color w:val="auto"/>
                <w:highlight w:val="none"/>
              </w:rPr>
              <w:t>表4-</w:t>
            </w:r>
            <w:r>
              <w:rPr>
                <w:rFonts w:hint="eastAsia"/>
                <w:b/>
                <w:bCs/>
                <w:color w:val="auto"/>
                <w:highlight w:val="none"/>
                <w:lang w:val="en-US" w:eastAsia="zh-CN"/>
              </w:rPr>
              <w:t>5</w:t>
            </w:r>
            <w:r>
              <w:rPr>
                <w:rFonts w:hint="default"/>
                <w:b/>
                <w:bCs/>
                <w:color w:val="auto"/>
                <w:highlight w:val="none"/>
              </w:rPr>
              <w:t xml:space="preserve"> 无组织废气监测要求</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5"/>
              <w:gridCol w:w="2116"/>
              <w:gridCol w:w="2117"/>
              <w:gridCol w:w="2117"/>
            </w:tblGrid>
            <w:tr w14:paraId="069588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dxa"/>
                  <w:tcBorders>
                    <w:top w:val="single" w:color="auto" w:sz="12" w:space="0"/>
                  </w:tcBorders>
                  <w:noWrap w:val="0"/>
                  <w:vAlign w:val="center"/>
                </w:tcPr>
                <w:p w14:paraId="0E86B5FB">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监测点位</w:t>
                  </w:r>
                </w:p>
              </w:tc>
              <w:tc>
                <w:tcPr>
                  <w:tcW w:w="2108" w:type="dxa"/>
                  <w:tcBorders>
                    <w:top w:val="single" w:color="auto" w:sz="12" w:space="0"/>
                  </w:tcBorders>
                  <w:noWrap w:val="0"/>
                  <w:vAlign w:val="center"/>
                </w:tcPr>
                <w:p w14:paraId="4EFB8315">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监测因子</w:t>
                  </w:r>
                </w:p>
              </w:tc>
              <w:tc>
                <w:tcPr>
                  <w:tcW w:w="2109" w:type="dxa"/>
                  <w:tcBorders>
                    <w:top w:val="single" w:color="auto" w:sz="12" w:space="0"/>
                  </w:tcBorders>
                  <w:noWrap w:val="0"/>
                  <w:vAlign w:val="center"/>
                </w:tcPr>
                <w:p w14:paraId="7D241DEC">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监测频次</w:t>
                  </w:r>
                </w:p>
              </w:tc>
              <w:tc>
                <w:tcPr>
                  <w:tcW w:w="2109" w:type="dxa"/>
                  <w:tcBorders>
                    <w:top w:val="single" w:color="auto" w:sz="12" w:space="0"/>
                  </w:tcBorders>
                  <w:noWrap w:val="0"/>
                  <w:vAlign w:val="center"/>
                </w:tcPr>
                <w:p w14:paraId="51681B4B">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监测时间</w:t>
                  </w:r>
                </w:p>
              </w:tc>
            </w:tr>
            <w:tr w14:paraId="0F09BB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dxa"/>
                  <w:noWrap w:val="0"/>
                  <w:vAlign w:val="center"/>
                </w:tcPr>
                <w:p w14:paraId="222B387B">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厂界</w:t>
                  </w:r>
                </w:p>
              </w:tc>
              <w:tc>
                <w:tcPr>
                  <w:tcW w:w="2108" w:type="dxa"/>
                  <w:noWrap w:val="0"/>
                  <w:vAlign w:val="center"/>
                </w:tcPr>
                <w:p w14:paraId="255E6A5C">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val="en-US" w:eastAsia="zh-CN"/>
                    </w:rPr>
                    <w:t>颗粒物</w:t>
                  </w:r>
                </w:p>
              </w:tc>
              <w:tc>
                <w:tcPr>
                  <w:tcW w:w="2109" w:type="dxa"/>
                  <w:noWrap w:val="0"/>
                  <w:vAlign w:val="center"/>
                </w:tcPr>
                <w:p w14:paraId="0392910C">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val="en-US" w:eastAsia="zh-CN"/>
                    </w:rPr>
                  </w:pPr>
                  <w:r>
                    <w:rPr>
                      <w:rFonts w:hint="default"/>
                      <w:color w:val="auto"/>
                      <w:sz w:val="18"/>
                      <w:szCs w:val="18"/>
                      <w:highlight w:val="none"/>
                    </w:rPr>
                    <w:t>1次/</w:t>
                  </w:r>
                  <w:r>
                    <w:rPr>
                      <w:rFonts w:hint="eastAsia"/>
                      <w:color w:val="auto"/>
                      <w:sz w:val="18"/>
                      <w:szCs w:val="18"/>
                      <w:highlight w:val="none"/>
                      <w:lang w:val="en-US" w:eastAsia="zh-CN"/>
                    </w:rPr>
                    <w:t>季度</w:t>
                  </w:r>
                </w:p>
              </w:tc>
              <w:tc>
                <w:tcPr>
                  <w:tcW w:w="2109" w:type="dxa"/>
                  <w:noWrap w:val="0"/>
                  <w:vAlign w:val="center"/>
                </w:tcPr>
                <w:p w14:paraId="3F1D9B64">
                  <w:pPr>
                    <w:keepNext w:val="0"/>
                    <w:keepLines w:val="0"/>
                    <w:suppressLineNumbers w:val="0"/>
                    <w:adjustRightInd w:val="0"/>
                    <w:snapToGrid w:val="0"/>
                    <w:spacing w:before="0" w:beforeAutospacing="0" w:after="0" w:afterAutospacing="0"/>
                    <w:ind w:left="0" w:right="0"/>
                    <w:jc w:val="center"/>
                    <w:rPr>
                      <w:rFonts w:hint="default" w:eastAsia="宋体"/>
                      <w:color w:val="FF0000"/>
                      <w:sz w:val="18"/>
                      <w:szCs w:val="18"/>
                      <w:highlight w:val="none"/>
                      <w:lang w:val="en-US" w:eastAsia="zh-CN"/>
                    </w:rPr>
                  </w:pPr>
                  <w:r>
                    <w:rPr>
                      <w:rFonts w:hint="eastAsia"/>
                      <w:color w:val="FF0000"/>
                      <w:sz w:val="18"/>
                      <w:szCs w:val="18"/>
                      <w:highlight w:val="none"/>
                      <w:lang w:val="en-US" w:eastAsia="zh-CN"/>
                    </w:rPr>
                    <w:t>10月-次年3月</w:t>
                  </w:r>
                </w:p>
              </w:tc>
            </w:tr>
            <w:tr w14:paraId="5EFACF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dxa"/>
                  <w:tcBorders>
                    <w:bottom w:val="single" w:color="auto" w:sz="12" w:space="0"/>
                  </w:tcBorders>
                  <w:noWrap w:val="0"/>
                  <w:vAlign w:val="center"/>
                </w:tcPr>
                <w:p w14:paraId="4908874F">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工业炉窑周边</w:t>
                  </w:r>
                </w:p>
              </w:tc>
              <w:tc>
                <w:tcPr>
                  <w:tcW w:w="2108" w:type="dxa"/>
                  <w:tcBorders>
                    <w:bottom w:val="single" w:color="auto" w:sz="12" w:space="0"/>
                  </w:tcBorders>
                  <w:noWrap w:val="0"/>
                  <w:vAlign w:val="center"/>
                </w:tcPr>
                <w:p w14:paraId="4AB8A38D">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颗粒物</w:t>
                  </w:r>
                </w:p>
              </w:tc>
              <w:tc>
                <w:tcPr>
                  <w:tcW w:w="2109" w:type="dxa"/>
                  <w:tcBorders>
                    <w:bottom w:val="single" w:color="auto" w:sz="12" w:space="0"/>
                  </w:tcBorders>
                  <w:noWrap w:val="0"/>
                  <w:vAlign w:val="center"/>
                </w:tcPr>
                <w:p w14:paraId="28678967">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1次/年</w:t>
                  </w:r>
                </w:p>
              </w:tc>
              <w:tc>
                <w:tcPr>
                  <w:tcW w:w="2109" w:type="dxa"/>
                  <w:tcBorders>
                    <w:bottom w:val="single" w:color="auto" w:sz="12" w:space="0"/>
                  </w:tcBorders>
                  <w:shd w:val="clear" w:color="auto" w:fill="auto"/>
                  <w:noWrap w:val="0"/>
                  <w:vAlign w:val="center"/>
                </w:tcPr>
                <w:p w14:paraId="39CDC6C8">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FF0000"/>
                      <w:kern w:val="2"/>
                      <w:sz w:val="18"/>
                      <w:szCs w:val="18"/>
                      <w:highlight w:val="none"/>
                      <w:lang w:val="en-US" w:eastAsia="zh-CN" w:bidi="ar-SA"/>
                    </w:rPr>
                  </w:pPr>
                  <w:r>
                    <w:rPr>
                      <w:rFonts w:hint="eastAsia" w:cs="Times New Roman"/>
                      <w:color w:val="FF0000"/>
                      <w:sz w:val="18"/>
                      <w:szCs w:val="18"/>
                      <w:highlight w:val="none"/>
                      <w:lang w:val="en-US" w:eastAsia="zh-CN"/>
                    </w:rPr>
                    <w:t>10月-</w:t>
                  </w:r>
                  <w:r>
                    <w:rPr>
                      <w:rFonts w:hint="eastAsia"/>
                      <w:color w:val="FF0000"/>
                      <w:sz w:val="18"/>
                      <w:szCs w:val="18"/>
                      <w:highlight w:val="none"/>
                      <w:lang w:val="en-US" w:eastAsia="zh-CN"/>
                    </w:rPr>
                    <w:t>次年</w:t>
                  </w:r>
                  <w:r>
                    <w:rPr>
                      <w:rFonts w:hint="eastAsia" w:cs="Times New Roman"/>
                      <w:color w:val="FF0000"/>
                      <w:sz w:val="18"/>
                      <w:szCs w:val="18"/>
                      <w:highlight w:val="none"/>
                      <w:lang w:val="en-US" w:eastAsia="zh-CN"/>
                    </w:rPr>
                    <w:t>3月</w:t>
                  </w:r>
                </w:p>
              </w:tc>
            </w:tr>
          </w:tbl>
          <w:p w14:paraId="594506A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s="Times New Roman"/>
                <w:bCs/>
                <w:color w:val="FF0000"/>
                <w:szCs w:val="21"/>
                <w:highlight w:val="none"/>
                <w:lang w:eastAsia="zh-CN"/>
              </w:rPr>
            </w:pPr>
            <w:r>
              <w:rPr>
                <w:rFonts w:hint="eastAsia" w:cs="Times New Roman"/>
                <w:bCs/>
                <w:color w:val="FF0000"/>
                <w:szCs w:val="21"/>
                <w:highlight w:val="none"/>
                <w:lang w:eastAsia="zh-CN"/>
              </w:rPr>
              <w:t>（</w:t>
            </w:r>
            <w:r>
              <w:rPr>
                <w:rFonts w:hint="eastAsia" w:cs="Times New Roman"/>
                <w:bCs/>
                <w:color w:val="FF0000"/>
                <w:szCs w:val="21"/>
                <w:highlight w:val="none"/>
                <w:lang w:val="en-US" w:eastAsia="zh-CN"/>
              </w:rPr>
              <w:t>5）废气处理技术</w:t>
            </w:r>
            <w:r>
              <w:rPr>
                <w:rFonts w:hint="eastAsia" w:cs="Times New Roman"/>
                <w:bCs/>
                <w:color w:val="FF0000"/>
                <w:szCs w:val="21"/>
                <w:highlight w:val="none"/>
                <w:lang w:eastAsia="zh-CN"/>
              </w:rPr>
              <w:t>可行性分析</w:t>
            </w:r>
          </w:p>
          <w:p w14:paraId="41ADE27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color w:val="FF0000"/>
                <w:sz w:val="21"/>
                <w:szCs w:val="21"/>
                <w:highlight w:val="none"/>
              </w:rPr>
            </w:pPr>
            <w:r>
              <w:rPr>
                <w:rFonts w:hint="eastAsia" w:ascii="Times New Roman" w:hAnsi="Times New Roman" w:cs="Times New Roman"/>
                <w:color w:val="FF0000"/>
                <w:sz w:val="21"/>
                <w:szCs w:val="21"/>
                <w:highlight w:val="none"/>
                <w:lang w:val="en-US" w:eastAsia="zh-CN"/>
              </w:rPr>
              <w:t>根据</w:t>
            </w:r>
            <w:r>
              <w:rPr>
                <w:rFonts w:hint="default" w:ascii="Times New Roman" w:hAnsi="Times New Roman" w:eastAsia="宋体" w:cs="Times New Roman"/>
                <w:color w:val="FF0000"/>
                <w:sz w:val="21"/>
                <w:szCs w:val="21"/>
                <w:highlight w:val="none"/>
                <w:lang w:val="en-US" w:eastAsia="zh-CN"/>
              </w:rPr>
              <w:t>《排污许可证申请与核发技术规范 工业炉窑》（HJ1121</w:t>
            </w:r>
            <w:r>
              <w:rPr>
                <w:rFonts w:hint="eastAsia"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2020）中对污染防治可行技术的要求，</w:t>
            </w:r>
            <w:r>
              <w:rPr>
                <w:rFonts w:hint="eastAsia" w:ascii="Times New Roman" w:hAnsi="Times New Roman" w:cs="Times New Roman"/>
                <w:color w:val="FF0000"/>
                <w:sz w:val="21"/>
                <w:szCs w:val="21"/>
                <w:highlight w:val="none"/>
                <w:lang w:val="en-US" w:eastAsia="zh-CN"/>
              </w:rPr>
              <w:t>本</w:t>
            </w:r>
            <w:r>
              <w:rPr>
                <w:rFonts w:hint="default" w:ascii="Times New Roman" w:hAnsi="Times New Roman" w:eastAsia="宋体" w:cs="Times New Roman"/>
                <w:color w:val="FF0000"/>
                <w:sz w:val="21"/>
                <w:szCs w:val="21"/>
                <w:highlight w:val="none"/>
                <w:lang w:val="en-US" w:eastAsia="zh-CN"/>
              </w:rPr>
              <w:t>项目燃生物质热风炉采取布袋除尘器处理烟气，属于可行技术。</w:t>
            </w:r>
          </w:p>
          <w:p w14:paraId="64EE855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lang w:eastAsia="zh-CN"/>
              </w:rPr>
              <w:t>（</w:t>
            </w:r>
            <w:r>
              <w:rPr>
                <w:rFonts w:hint="eastAsia" w:cs="Times New Roman"/>
                <w:color w:val="FF0000"/>
                <w:sz w:val="21"/>
                <w:szCs w:val="21"/>
                <w:highlight w:val="none"/>
                <w:lang w:val="en-US" w:eastAsia="zh-CN"/>
              </w:rPr>
              <w:t>6</w:t>
            </w:r>
            <w:r>
              <w:rPr>
                <w:rFonts w:hint="default" w:ascii="Times New Roman" w:hAnsi="Times New Roman" w:eastAsia="宋体" w:cs="Times New Roman"/>
                <w:color w:val="FF0000"/>
                <w:sz w:val="21"/>
                <w:szCs w:val="21"/>
                <w:highlight w:val="none"/>
                <w:lang w:val="en-US" w:eastAsia="zh-CN"/>
              </w:rPr>
              <w:t>）</w:t>
            </w:r>
            <w:r>
              <w:rPr>
                <w:rFonts w:hint="eastAsia" w:cs="Times New Roman"/>
                <w:color w:val="FF0000"/>
                <w:sz w:val="21"/>
                <w:szCs w:val="21"/>
                <w:highlight w:val="none"/>
                <w:lang w:eastAsia="zh-CN"/>
              </w:rPr>
              <w:t>烟囱</w:t>
            </w:r>
            <w:r>
              <w:rPr>
                <w:rFonts w:hint="default" w:ascii="Times New Roman" w:hAnsi="Times New Roman" w:eastAsia="宋体" w:cs="Times New Roman"/>
                <w:color w:val="FF0000"/>
                <w:sz w:val="21"/>
                <w:szCs w:val="21"/>
                <w:highlight w:val="none"/>
              </w:rPr>
              <w:t>设置合理性分析</w:t>
            </w:r>
          </w:p>
          <w:p w14:paraId="09453EEE">
            <w:pPr>
              <w:pStyle w:val="45"/>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rightChars="0" w:firstLine="420" w:firstLineChars="200"/>
              <w:jc w:val="both"/>
              <w:textAlignment w:val="baseline"/>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根据</w:t>
            </w:r>
            <w:r>
              <w:rPr>
                <w:rFonts w:hint="default" w:ascii="Times New Roman" w:hAnsi="Times New Roman" w:cs="Times New Roman"/>
                <w:color w:val="FF0000"/>
                <w:sz w:val="21"/>
                <w:szCs w:val="21"/>
                <w:highlight w:val="none"/>
              </w:rPr>
              <w:t>《工业炉窑大气污染物排放标准》（GB9078-1996）</w:t>
            </w:r>
            <w:r>
              <w:rPr>
                <w:rFonts w:hint="default" w:ascii="Times New Roman" w:hAnsi="Times New Roman" w:eastAsia="宋体" w:cs="Times New Roman"/>
                <w:color w:val="FF0000"/>
                <w:sz w:val="21"/>
                <w:szCs w:val="21"/>
                <w:highlight w:val="none"/>
                <w:lang w:val="en-US" w:eastAsia="zh-CN"/>
              </w:rPr>
              <w:t>中对于</w:t>
            </w:r>
            <w:r>
              <w:rPr>
                <w:rFonts w:hint="default" w:ascii="Times New Roman" w:hAnsi="Times New Roman" w:cs="Times New Roman"/>
                <w:color w:val="FF0000"/>
                <w:sz w:val="21"/>
                <w:szCs w:val="21"/>
                <w:highlight w:val="none"/>
              </w:rPr>
              <w:t>工业炉窑</w:t>
            </w:r>
            <w:r>
              <w:rPr>
                <w:rFonts w:hint="eastAsia" w:ascii="Times New Roman" w:hAnsi="Times New Roman" w:cs="Times New Roman"/>
                <w:color w:val="FF0000"/>
                <w:sz w:val="21"/>
                <w:szCs w:val="21"/>
                <w:highlight w:val="none"/>
                <w:lang w:val="en-US" w:eastAsia="zh-CN"/>
              </w:rPr>
              <w:t>烟囱</w:t>
            </w:r>
            <w:r>
              <w:rPr>
                <w:rFonts w:hint="default" w:ascii="Times New Roman" w:hAnsi="Times New Roman" w:eastAsia="宋体" w:cs="Times New Roman"/>
                <w:color w:val="FF0000"/>
                <w:sz w:val="21"/>
                <w:szCs w:val="21"/>
                <w:highlight w:val="none"/>
                <w:lang w:val="en-US" w:eastAsia="zh-CN"/>
              </w:rPr>
              <w:t>的要求可知，</w:t>
            </w:r>
            <w:r>
              <w:rPr>
                <w:rFonts w:hint="default" w:ascii="Times New Roman" w:hAnsi="Times New Roman" w:cs="Times New Roman"/>
                <w:color w:val="FF0000"/>
                <w:sz w:val="21"/>
                <w:szCs w:val="21"/>
                <w:highlight w:val="none"/>
              </w:rPr>
              <w:t>工业炉窑</w:t>
            </w:r>
            <w:r>
              <w:rPr>
                <w:rFonts w:hint="eastAsia" w:ascii="Times New Roman" w:hAnsi="Times New Roman" w:cs="Times New Roman"/>
                <w:color w:val="FF0000"/>
                <w:sz w:val="21"/>
                <w:szCs w:val="21"/>
                <w:highlight w:val="none"/>
                <w:lang w:val="en-US" w:eastAsia="zh-CN"/>
              </w:rPr>
              <w:t>烟囱</w:t>
            </w:r>
            <w:r>
              <w:rPr>
                <w:rFonts w:hint="default" w:ascii="Times New Roman" w:hAnsi="Times New Roman" w:eastAsia="宋体" w:cs="Times New Roman"/>
                <w:color w:val="FF0000"/>
                <w:sz w:val="21"/>
                <w:szCs w:val="21"/>
                <w:highlight w:val="none"/>
                <w:lang w:val="en-US" w:eastAsia="zh-CN"/>
              </w:rPr>
              <w:t>应不低于</w:t>
            </w:r>
            <w:r>
              <w:rPr>
                <w:rFonts w:hint="eastAsia" w:ascii="Times New Roman" w:hAnsi="Times New Roman" w:eastAsia="宋体" w:cs="Times New Roman"/>
                <w:color w:val="FF0000"/>
                <w:sz w:val="21"/>
                <w:szCs w:val="21"/>
                <w:highlight w:val="none"/>
                <w:lang w:val="en-US" w:eastAsia="zh-CN"/>
              </w:rPr>
              <w:t>15</w:t>
            </w:r>
            <w:r>
              <w:rPr>
                <w:rFonts w:hint="default" w:ascii="Times New Roman" w:hAnsi="Times New Roman" w:eastAsia="宋体" w:cs="Times New Roman"/>
                <w:color w:val="FF0000"/>
                <w:sz w:val="21"/>
                <w:szCs w:val="21"/>
                <w:highlight w:val="none"/>
                <w:lang w:val="en-US" w:eastAsia="zh-CN"/>
              </w:rPr>
              <w:t>m，并应高于周边200m范围最高建筑物高度3m以上，本项目</w:t>
            </w:r>
            <w:r>
              <w:rPr>
                <w:rFonts w:hint="eastAsia" w:ascii="Times New Roman" w:hAnsi="Times New Roman" w:cs="Times New Roman"/>
                <w:color w:val="FF0000"/>
                <w:sz w:val="21"/>
                <w:szCs w:val="21"/>
                <w:highlight w:val="none"/>
                <w:lang w:val="en-US" w:eastAsia="zh-CN"/>
              </w:rPr>
              <w:t>厂界外200m范围建筑物均为民房，高度3-5m，热风炉</w:t>
            </w:r>
            <w:r>
              <w:rPr>
                <w:rFonts w:hint="eastAsia"/>
                <w:color w:val="FF0000"/>
                <w:sz w:val="21"/>
                <w:szCs w:val="21"/>
                <w:highlight w:val="none"/>
                <w:lang w:val="en-US" w:eastAsia="zh-CN"/>
              </w:rPr>
              <w:t>烟囱</w:t>
            </w:r>
            <w:r>
              <w:rPr>
                <w:rFonts w:hint="eastAsia" w:ascii="Times New Roman" w:hAnsi="Times New Roman" w:eastAsia="宋体" w:cs="Times New Roman"/>
                <w:color w:val="FF0000"/>
                <w:sz w:val="21"/>
                <w:szCs w:val="21"/>
                <w:highlight w:val="none"/>
                <w:lang w:val="en-US" w:eastAsia="zh-CN"/>
              </w:rPr>
              <w:t>（DA00</w:t>
            </w:r>
            <w:r>
              <w:rPr>
                <w:rFonts w:hint="eastAsia" w:ascii="Times New Roman" w:hAnsi="Times New Roman" w:cs="Times New Roman"/>
                <w:color w:val="FF0000"/>
                <w:sz w:val="21"/>
                <w:szCs w:val="21"/>
                <w:highlight w:val="none"/>
                <w:lang w:val="en-US" w:eastAsia="zh-CN"/>
              </w:rPr>
              <w:t>1</w:t>
            </w:r>
            <w:r>
              <w:rPr>
                <w:rFonts w:hint="eastAsia"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高度</w:t>
            </w:r>
            <w:r>
              <w:rPr>
                <w:rFonts w:hint="eastAsia" w:ascii="Times New Roman" w:hAnsi="Times New Roman" w:cs="Times New Roman"/>
                <w:color w:val="FF0000"/>
                <w:sz w:val="21"/>
                <w:szCs w:val="21"/>
                <w:highlight w:val="none"/>
                <w:lang w:val="en-US" w:eastAsia="zh-CN"/>
              </w:rPr>
              <w:t>15</w:t>
            </w:r>
            <w:r>
              <w:rPr>
                <w:rFonts w:hint="default" w:ascii="Times New Roman" w:hAnsi="Times New Roman" w:eastAsia="宋体" w:cs="Times New Roman"/>
                <w:color w:val="FF0000"/>
                <w:sz w:val="21"/>
                <w:szCs w:val="21"/>
                <w:highlight w:val="none"/>
                <w:lang w:val="en-US" w:eastAsia="zh-CN"/>
              </w:rPr>
              <w:t>m</w:t>
            </w:r>
            <w:r>
              <w:rPr>
                <w:rFonts w:hint="eastAsia" w:ascii="Times New Roman" w:hAnsi="Times New Roman"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lang w:val="en-US" w:eastAsia="zh-CN"/>
              </w:rPr>
              <w:t>因此本项目</w:t>
            </w:r>
            <w:r>
              <w:rPr>
                <w:rFonts w:hint="eastAsia" w:ascii="Times New Roman" w:hAnsi="Times New Roman" w:cs="Times New Roman"/>
                <w:color w:val="FF0000"/>
                <w:sz w:val="21"/>
                <w:szCs w:val="21"/>
                <w:highlight w:val="none"/>
                <w:lang w:val="en-US" w:eastAsia="zh-CN"/>
              </w:rPr>
              <w:t>热风炉烟囱</w:t>
            </w:r>
            <w:r>
              <w:rPr>
                <w:rFonts w:hint="default" w:ascii="Times New Roman" w:hAnsi="Times New Roman" w:eastAsia="宋体" w:cs="Times New Roman"/>
                <w:color w:val="FF0000"/>
                <w:sz w:val="21"/>
                <w:szCs w:val="21"/>
                <w:highlight w:val="none"/>
                <w:lang w:val="en-US" w:eastAsia="zh-CN"/>
              </w:rPr>
              <w:t>符合</w:t>
            </w:r>
            <w:r>
              <w:rPr>
                <w:rFonts w:hint="default" w:ascii="Times New Roman" w:hAnsi="Times New Roman" w:cs="Times New Roman"/>
                <w:color w:val="FF0000"/>
                <w:sz w:val="21"/>
                <w:szCs w:val="21"/>
                <w:highlight w:val="none"/>
              </w:rPr>
              <w:t>《工业炉窑大气污染物排放标准》（GB9078-1996）</w:t>
            </w:r>
            <w:r>
              <w:rPr>
                <w:rFonts w:hint="default" w:ascii="Times New Roman" w:hAnsi="Times New Roman" w:eastAsia="宋体" w:cs="Times New Roman"/>
                <w:color w:val="FF0000"/>
                <w:sz w:val="21"/>
                <w:szCs w:val="21"/>
                <w:highlight w:val="none"/>
                <w:lang w:val="en-US" w:eastAsia="zh-CN"/>
              </w:rPr>
              <w:t>对于</w:t>
            </w:r>
            <w:r>
              <w:rPr>
                <w:rFonts w:hint="default" w:ascii="Times New Roman" w:hAnsi="Times New Roman" w:cs="Times New Roman"/>
                <w:color w:val="FF0000"/>
                <w:sz w:val="21"/>
                <w:szCs w:val="21"/>
                <w:highlight w:val="none"/>
              </w:rPr>
              <w:t>工业炉窑</w:t>
            </w:r>
            <w:r>
              <w:rPr>
                <w:rFonts w:hint="eastAsia" w:ascii="Times New Roman" w:hAnsi="Times New Roman" w:cs="Times New Roman"/>
                <w:color w:val="FF0000"/>
                <w:sz w:val="21"/>
                <w:szCs w:val="21"/>
                <w:highlight w:val="none"/>
                <w:lang w:val="en-US" w:eastAsia="zh-CN"/>
              </w:rPr>
              <w:t>烟囱</w:t>
            </w:r>
            <w:r>
              <w:rPr>
                <w:rFonts w:hint="default" w:ascii="Times New Roman" w:hAnsi="Times New Roman" w:eastAsia="宋体" w:cs="Times New Roman"/>
                <w:color w:val="FF0000"/>
                <w:sz w:val="21"/>
                <w:szCs w:val="21"/>
                <w:highlight w:val="none"/>
                <w:lang w:val="en-US" w:eastAsia="zh-CN"/>
              </w:rPr>
              <w:t>高度的要求。</w:t>
            </w:r>
          </w:p>
          <w:p w14:paraId="0120078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420" w:leftChars="200" w:right="0" w:rightChars="0"/>
              <w:jc w:val="both"/>
              <w:textAlignment w:val="auto"/>
              <w:rPr>
                <w:rFonts w:hint="default"/>
                <w:color w:val="FF0000"/>
                <w:highlight w:val="none"/>
              </w:rPr>
            </w:pPr>
            <w:r>
              <w:rPr>
                <w:rFonts w:hint="eastAsia" w:ascii="Times New Roman" w:hAnsi="Times New Roman" w:cs="Times New Roman"/>
                <w:b w:val="0"/>
                <w:bCs w:val="0"/>
                <w:color w:val="FF0000"/>
                <w:szCs w:val="21"/>
                <w:highlight w:val="none"/>
                <w:lang w:eastAsia="zh-CN"/>
              </w:rPr>
              <w:t>（</w:t>
            </w:r>
            <w:r>
              <w:rPr>
                <w:rFonts w:hint="eastAsia" w:cs="Times New Roman"/>
                <w:b w:val="0"/>
                <w:bCs w:val="0"/>
                <w:color w:val="FF0000"/>
                <w:szCs w:val="21"/>
                <w:highlight w:val="none"/>
                <w:lang w:val="en-US" w:eastAsia="zh-CN"/>
              </w:rPr>
              <w:t>7</w:t>
            </w:r>
            <w:r>
              <w:rPr>
                <w:rFonts w:hint="eastAsia" w:ascii="Times New Roman" w:hAnsi="Times New Roman" w:cs="Times New Roman"/>
                <w:b w:val="0"/>
                <w:bCs w:val="0"/>
                <w:color w:val="FF0000"/>
                <w:szCs w:val="21"/>
                <w:highlight w:val="none"/>
                <w:lang w:val="en-US" w:eastAsia="zh-CN"/>
              </w:rPr>
              <w:t>）</w:t>
            </w:r>
            <w:r>
              <w:rPr>
                <w:rFonts w:hint="default" w:ascii="Times New Roman" w:hAnsi="Times New Roman" w:cs="Times New Roman"/>
                <w:b w:val="0"/>
                <w:bCs w:val="0"/>
                <w:color w:val="FF0000"/>
                <w:szCs w:val="21"/>
                <w:highlight w:val="none"/>
              </w:rPr>
              <w:t>废气排放环境影响</w:t>
            </w:r>
          </w:p>
          <w:p w14:paraId="3A3EF9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本项目热风炉烟气通过布袋除尘器处理后经15m</w:t>
            </w:r>
            <w:r>
              <w:rPr>
                <w:rFonts w:hint="eastAsia" w:ascii="Times New Roman" w:hAnsi="Times New Roman" w:eastAsia="宋体" w:cs="Times New Roman"/>
                <w:color w:val="FF0000"/>
                <w:sz w:val="21"/>
                <w:szCs w:val="21"/>
                <w:highlight w:val="none"/>
                <w:lang w:eastAsia="zh-CN"/>
              </w:rPr>
              <w:t>烟囱</w:t>
            </w:r>
            <w:r>
              <w:rPr>
                <w:rFonts w:hint="eastAsia" w:ascii="Times New Roman" w:hAnsi="Times New Roman" w:eastAsia="宋体" w:cs="Times New Roman"/>
                <w:color w:val="FF0000"/>
                <w:sz w:val="21"/>
                <w:szCs w:val="21"/>
                <w:highlight w:val="none"/>
                <w:lang w:val="en-US" w:eastAsia="zh-CN"/>
              </w:rPr>
              <w:t>（DA001）高空排放，SO2排放浓度符合《工业炉窑大气污染物排放标准》（GB9078-1996）中的表4中的二级标准，颗粒物排放浓度及烟气黑度符合《工业炉窑大气污染物排放标准》（GB9078-1996）中的表2中的二级标准</w:t>
            </w:r>
            <w:r>
              <w:rPr>
                <w:rFonts w:hint="default"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rPr>
              <w:t>原料烘干</w:t>
            </w:r>
            <w:r>
              <w:rPr>
                <w:rFonts w:hint="default" w:ascii="Times New Roman" w:hAnsi="Times New Roman" w:eastAsia="宋体" w:cs="Times New Roman"/>
                <w:color w:val="FF0000"/>
                <w:sz w:val="21"/>
                <w:szCs w:val="21"/>
                <w:highlight w:val="none"/>
                <w:lang w:eastAsia="zh-CN"/>
              </w:rPr>
              <w:t>、运输</w:t>
            </w:r>
            <w:r>
              <w:rPr>
                <w:rFonts w:hint="eastAsia" w:ascii="Times New Roman" w:hAnsi="Times New Roman" w:eastAsia="宋体" w:cs="Times New Roman"/>
                <w:color w:val="FF0000"/>
                <w:sz w:val="21"/>
                <w:szCs w:val="21"/>
                <w:highlight w:val="none"/>
                <w:lang w:val="en-US" w:eastAsia="zh-CN"/>
              </w:rPr>
              <w:t>及筛分</w:t>
            </w:r>
            <w:r>
              <w:rPr>
                <w:rFonts w:hint="default" w:ascii="Times New Roman" w:hAnsi="Times New Roman" w:eastAsia="宋体" w:cs="Times New Roman"/>
                <w:color w:val="FF0000"/>
                <w:sz w:val="21"/>
                <w:szCs w:val="21"/>
                <w:highlight w:val="none"/>
              </w:rPr>
              <w:t>过程会有</w:t>
            </w:r>
            <w:r>
              <w:rPr>
                <w:rFonts w:hint="default" w:ascii="Times New Roman" w:hAnsi="Times New Roman" w:eastAsia="宋体" w:cs="Times New Roman"/>
                <w:color w:val="FF0000"/>
                <w:sz w:val="21"/>
                <w:szCs w:val="21"/>
                <w:highlight w:val="none"/>
                <w:lang w:eastAsia="zh-CN"/>
              </w:rPr>
              <w:t>粉尘</w:t>
            </w:r>
            <w:r>
              <w:rPr>
                <w:rFonts w:hint="default" w:ascii="Times New Roman" w:hAnsi="Times New Roman" w:eastAsia="宋体" w:cs="Times New Roman"/>
                <w:color w:val="FF0000"/>
                <w:sz w:val="21"/>
                <w:szCs w:val="21"/>
                <w:highlight w:val="none"/>
              </w:rPr>
              <w:t>产生，此部分</w:t>
            </w:r>
            <w:r>
              <w:rPr>
                <w:rFonts w:hint="default" w:ascii="Times New Roman" w:hAnsi="Times New Roman" w:eastAsia="宋体" w:cs="Times New Roman"/>
                <w:color w:val="FF0000"/>
                <w:sz w:val="21"/>
                <w:szCs w:val="21"/>
                <w:highlight w:val="none"/>
                <w:lang w:eastAsia="zh-CN"/>
              </w:rPr>
              <w:t>粉尘</w:t>
            </w:r>
            <w:r>
              <w:rPr>
                <w:rFonts w:hint="default" w:ascii="Times New Roman" w:hAnsi="Times New Roman" w:eastAsia="宋体" w:cs="Times New Roman"/>
                <w:color w:val="FF0000"/>
                <w:sz w:val="21"/>
                <w:szCs w:val="21"/>
                <w:highlight w:val="none"/>
              </w:rPr>
              <w:t>以无组织的形式排放。装卸工段</w:t>
            </w:r>
            <w:r>
              <w:rPr>
                <w:rFonts w:hint="eastAsia" w:ascii="Times New Roman" w:hAnsi="Times New Roman" w:eastAsia="宋体" w:cs="Times New Roman"/>
                <w:color w:val="FF0000"/>
                <w:sz w:val="21"/>
                <w:szCs w:val="21"/>
                <w:highlight w:val="none"/>
                <w:lang w:val="en-US" w:eastAsia="zh-CN"/>
              </w:rPr>
              <w:t>采用</w:t>
            </w:r>
            <w:r>
              <w:rPr>
                <w:rFonts w:hint="default" w:ascii="Times New Roman" w:hAnsi="Times New Roman" w:eastAsia="宋体" w:cs="Times New Roman"/>
                <w:color w:val="FF0000"/>
                <w:sz w:val="21"/>
                <w:szCs w:val="21"/>
                <w:highlight w:val="none"/>
                <w:lang w:val="en-US" w:eastAsia="zh-CN"/>
              </w:rPr>
              <w:t>密闭性良好的设备，全封闭输送机、原粮入</w:t>
            </w:r>
            <w:r>
              <w:rPr>
                <w:rFonts w:hint="eastAsia" w:ascii="Times New Roman" w:hAnsi="Times New Roman" w:eastAsia="宋体" w:cs="Times New Roman"/>
                <w:color w:val="FF0000"/>
                <w:sz w:val="21"/>
                <w:szCs w:val="21"/>
                <w:highlight w:val="none"/>
                <w:lang w:val="en-US" w:eastAsia="zh-CN"/>
              </w:rPr>
              <w:t>仓</w:t>
            </w:r>
            <w:r>
              <w:rPr>
                <w:rFonts w:hint="default" w:ascii="Times New Roman" w:hAnsi="Times New Roman" w:eastAsia="宋体" w:cs="Times New Roman"/>
                <w:color w:val="FF0000"/>
                <w:sz w:val="21"/>
                <w:szCs w:val="21"/>
                <w:highlight w:val="none"/>
                <w:lang w:val="en-US" w:eastAsia="zh-CN"/>
              </w:rPr>
              <w:t>采取封闭和减小装卸高度</w:t>
            </w:r>
            <w:r>
              <w:rPr>
                <w:rFonts w:hint="default" w:ascii="Times New Roman" w:hAnsi="Times New Roman" w:eastAsia="宋体" w:cs="Times New Roman"/>
                <w:color w:val="FF0000"/>
                <w:sz w:val="21"/>
                <w:szCs w:val="21"/>
                <w:highlight w:val="none"/>
              </w:rPr>
              <w:t>等降尘措施，运输过程中采用封闭输送</w:t>
            </w:r>
            <w:r>
              <w:rPr>
                <w:rFonts w:hint="eastAsia" w:ascii="Times New Roman" w:hAnsi="Times New Roman" w:eastAsia="宋体" w:cs="Times New Roman"/>
                <w:color w:val="FF0000"/>
                <w:sz w:val="21"/>
                <w:szCs w:val="21"/>
                <w:highlight w:val="none"/>
                <w:lang w:eastAsia="zh-CN"/>
              </w:rPr>
              <w:t>；清粮采用全密闭</w:t>
            </w:r>
            <w:r>
              <w:rPr>
                <w:rFonts w:hint="eastAsia" w:ascii="Times New Roman" w:hAnsi="Times New Roman" w:eastAsia="宋体" w:cs="Times New Roman"/>
                <w:color w:val="FF0000"/>
                <w:sz w:val="21"/>
                <w:szCs w:val="21"/>
                <w:highlight w:val="none"/>
                <w:lang w:val="en-US" w:eastAsia="zh-CN"/>
              </w:rPr>
              <w:t>筛分机</w:t>
            </w:r>
            <w:r>
              <w:rPr>
                <w:rFonts w:hint="eastAsia" w:ascii="Times New Roman" w:hAnsi="Times New Roman" w:eastAsia="宋体" w:cs="Times New Roman"/>
                <w:color w:val="FF0000"/>
                <w:sz w:val="21"/>
                <w:szCs w:val="21"/>
                <w:highlight w:val="none"/>
                <w:lang w:eastAsia="zh-CN"/>
              </w:rPr>
              <w:t>，产生的粉尘经设备</w:t>
            </w:r>
            <w:r>
              <w:rPr>
                <w:rFonts w:hint="eastAsia" w:cs="Times New Roman"/>
                <w:color w:val="FF0000"/>
                <w:sz w:val="21"/>
                <w:szCs w:val="21"/>
                <w:highlight w:val="none"/>
                <w:lang w:eastAsia="zh-CN"/>
              </w:rPr>
              <w:t>自带滤袋</w:t>
            </w:r>
            <w:r>
              <w:rPr>
                <w:rFonts w:hint="eastAsia" w:ascii="Times New Roman" w:hAnsi="Times New Roman" w:eastAsia="宋体" w:cs="Times New Roman"/>
                <w:color w:val="FF0000"/>
                <w:sz w:val="21"/>
                <w:szCs w:val="21"/>
                <w:highlight w:val="none"/>
                <w:lang w:eastAsia="zh-CN"/>
              </w:rPr>
              <w:t>处理后无组织排放；烘干塔内部自带重力沉降室，烘干塔底部四周设置防尘挡板，粉尘受挡板格挡后受重力作用回落到烘干塔底部收尘设施中，灰渣间、</w:t>
            </w:r>
            <w:r>
              <w:rPr>
                <w:rFonts w:hint="eastAsia" w:ascii="Times New Roman" w:hAnsi="Times New Roman" w:eastAsia="宋体" w:cs="Times New Roman"/>
                <w:color w:val="FF0000"/>
                <w:sz w:val="21"/>
                <w:szCs w:val="21"/>
                <w:highlight w:val="none"/>
                <w:lang w:val="en-US" w:eastAsia="zh-CN"/>
              </w:rPr>
              <w:t>热风炉房</w:t>
            </w:r>
            <w:r>
              <w:rPr>
                <w:rFonts w:hint="default" w:ascii="Times New Roman" w:hAnsi="Times New Roman" w:eastAsia="宋体" w:cs="Times New Roman"/>
                <w:color w:val="FF0000"/>
                <w:sz w:val="21"/>
                <w:szCs w:val="21"/>
                <w:highlight w:val="none"/>
                <w:lang w:eastAsia="zh-CN"/>
              </w:rPr>
              <w:t>密闭并定期洒水抑尘，减少粉尘扩散，</w:t>
            </w:r>
            <w:r>
              <w:rPr>
                <w:rFonts w:hint="eastAsia" w:ascii="Times New Roman" w:hAnsi="Times New Roman" w:eastAsia="宋体" w:cs="Times New Roman"/>
                <w:color w:val="FF0000"/>
                <w:sz w:val="21"/>
                <w:szCs w:val="21"/>
                <w:highlight w:val="none"/>
                <w:lang w:val="en-US" w:eastAsia="zh-CN"/>
              </w:rPr>
              <w:t>根据类比《林甸县金兴玉米种植农民专业合作社粮食烘干塔项目竣工环境保护验收》中的相关数据，该项目粮食筛分、烘干、输送装卸工序与本项目措施一致，根据验收监测数据，厂界颗粒物最大排放浓度为0.324mg/m</w:t>
            </w:r>
            <w:r>
              <w:rPr>
                <w:rFonts w:hint="eastAsia" w:ascii="Times New Roman" w:hAnsi="Times New Roman" w:eastAsia="宋体" w:cs="Times New Roman"/>
                <w:color w:val="FF0000"/>
                <w:sz w:val="21"/>
                <w:szCs w:val="21"/>
                <w:highlight w:val="none"/>
                <w:vertAlign w:val="superscript"/>
                <w:lang w:val="en-US" w:eastAsia="zh-CN"/>
              </w:rPr>
              <w:t>3</w:t>
            </w:r>
            <w:r>
              <w:rPr>
                <w:rFonts w:hint="eastAsia" w:ascii="Times New Roman" w:hAnsi="Times New Roman" w:eastAsia="宋体" w:cs="Times New Roman"/>
                <w:color w:val="FF0000"/>
                <w:sz w:val="21"/>
                <w:szCs w:val="21"/>
                <w:highlight w:val="none"/>
                <w:lang w:val="en-US" w:eastAsia="zh-CN"/>
              </w:rPr>
              <w:t>，</w:t>
            </w:r>
            <w:r>
              <w:rPr>
                <w:rFonts w:hint="default" w:ascii="Times New Roman" w:hAnsi="Times New Roman" w:eastAsia="宋体" w:cs="Times New Roman"/>
                <w:color w:val="FF0000"/>
                <w:sz w:val="21"/>
                <w:szCs w:val="21"/>
                <w:highlight w:val="none"/>
              </w:rPr>
              <w:t>排放浓度符合《大气污染物综合排放标准》（GB16297-1996）表2无组织排放浓度限值要求</w:t>
            </w:r>
            <w:r>
              <w:rPr>
                <w:rFonts w:hint="eastAsia" w:ascii="Times New Roman" w:hAnsi="Times New Roman" w:eastAsia="宋体" w:cs="Times New Roman"/>
                <w:color w:val="FF0000"/>
                <w:sz w:val="21"/>
                <w:szCs w:val="21"/>
                <w:highlight w:val="none"/>
                <w:lang w:eastAsia="zh-CN"/>
              </w:rPr>
              <w:t>。</w:t>
            </w:r>
          </w:p>
          <w:p w14:paraId="4F344D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FF0000"/>
                <w:kern w:val="0"/>
                <w:sz w:val="21"/>
                <w:szCs w:val="21"/>
                <w:highlight w:val="none"/>
                <w:lang w:eastAsia="zh-CN"/>
              </w:rPr>
            </w:pPr>
            <w:r>
              <w:rPr>
                <w:rFonts w:hint="eastAsia" w:cs="Times New Roman"/>
                <w:color w:val="FF0000"/>
                <w:sz w:val="21"/>
                <w:szCs w:val="21"/>
                <w:highlight w:val="none"/>
                <w:lang w:val="en-US" w:eastAsia="zh-CN"/>
              </w:rPr>
              <w:t>项目厂界外距离最近的敏感点均位于厂区上风向、侧风向，</w:t>
            </w:r>
            <w:r>
              <w:rPr>
                <w:rFonts w:hint="default" w:ascii="Times New Roman" w:hAnsi="Times New Roman" w:cs="Times New Roman"/>
                <w:color w:val="FF0000"/>
                <w:sz w:val="21"/>
                <w:szCs w:val="21"/>
                <w:highlight w:val="none"/>
              </w:rPr>
              <w:t>综上所述，在落实污染防治措施的前提下，并保证环保设施正常运行，本项目排放的污染物对</w:t>
            </w:r>
            <w:r>
              <w:rPr>
                <w:rFonts w:hint="eastAsia" w:cs="Times New Roman"/>
                <w:color w:val="FF0000"/>
                <w:sz w:val="21"/>
                <w:szCs w:val="21"/>
                <w:highlight w:val="none"/>
                <w:lang w:val="en-US" w:eastAsia="zh-CN"/>
              </w:rPr>
              <w:t>周边敏感点以及</w:t>
            </w:r>
            <w:r>
              <w:rPr>
                <w:rFonts w:hint="default" w:ascii="Times New Roman" w:hAnsi="Times New Roman" w:cs="Times New Roman"/>
                <w:color w:val="FF0000"/>
                <w:sz w:val="21"/>
                <w:szCs w:val="21"/>
                <w:highlight w:val="none"/>
              </w:rPr>
              <w:t>评价区域环境空气质量影响较小。</w:t>
            </w:r>
          </w:p>
          <w:p w14:paraId="4E885A87">
            <w:pPr>
              <w:keepNext w:val="0"/>
              <w:keepLines w:val="0"/>
              <w:suppressLineNumbers w:val="0"/>
              <w:adjustRightInd w:val="0"/>
              <w:snapToGrid w:val="0"/>
              <w:spacing w:before="0" w:beforeAutospacing="0" w:after="0" w:afterAutospacing="0" w:line="360" w:lineRule="auto"/>
              <w:ind w:left="0" w:right="0"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2、废水</w:t>
            </w:r>
          </w:p>
          <w:p w14:paraId="2A754F0A">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
                <w:color w:val="auto"/>
                <w:szCs w:val="21"/>
                <w:highlight w:val="cyan"/>
              </w:rPr>
            </w:pPr>
            <w:r>
              <w:rPr>
                <w:rFonts w:hint="default" w:ascii="Times New Roman" w:hAnsi="Times New Roman" w:cs="Times New Roman"/>
                <w:bCs/>
                <w:color w:val="auto"/>
                <w:szCs w:val="21"/>
                <w:highlight w:val="none"/>
              </w:rPr>
              <w:t>（1）废水源强详见表4-</w:t>
            </w:r>
            <w:r>
              <w:rPr>
                <w:rFonts w:hint="eastAsia" w:cs="Times New Roman"/>
                <w:bCs/>
                <w:color w:val="auto"/>
                <w:szCs w:val="21"/>
                <w:highlight w:val="none"/>
                <w:lang w:val="en-US" w:eastAsia="zh-CN"/>
              </w:rPr>
              <w:t>6</w:t>
            </w:r>
            <w:r>
              <w:rPr>
                <w:rFonts w:hint="default" w:ascii="Times New Roman" w:hAnsi="Times New Roman" w:cs="Times New Roman"/>
                <w:bCs/>
                <w:color w:val="auto"/>
                <w:szCs w:val="21"/>
                <w:highlight w:val="none"/>
              </w:rPr>
              <w:t>。</w:t>
            </w:r>
          </w:p>
          <w:p w14:paraId="2A31EDF3">
            <w:pPr>
              <w:keepNext w:val="0"/>
              <w:keepLines w:val="0"/>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-6 </w:t>
            </w:r>
            <w:r>
              <w:rPr>
                <w:rFonts w:hint="default"/>
                <w:b/>
                <w:bCs/>
                <w:color w:val="auto"/>
                <w:szCs w:val="21"/>
                <w:highlight w:val="none"/>
              </w:rPr>
              <w:t>废水污染源源强核算结果及相关参数一览表</w:t>
            </w:r>
          </w:p>
          <w:tbl>
            <w:tblPr>
              <w:tblStyle w:val="36"/>
              <w:tblW w:w="811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7"/>
              <w:gridCol w:w="1335"/>
              <w:gridCol w:w="521"/>
              <w:gridCol w:w="1093"/>
              <w:gridCol w:w="1077"/>
              <w:gridCol w:w="1083"/>
              <w:gridCol w:w="1811"/>
            </w:tblGrid>
            <w:tr w14:paraId="4287955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737" w:type="pct"/>
                  <w:vMerge w:val="restart"/>
                  <w:tcBorders>
                    <w:top w:val="single" w:color="auto" w:sz="12" w:space="0"/>
                  </w:tcBorders>
                  <w:vAlign w:val="center"/>
                </w:tcPr>
                <w:p w14:paraId="5F55FE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排放源</w:t>
                  </w:r>
                </w:p>
              </w:tc>
              <w:tc>
                <w:tcPr>
                  <w:tcW w:w="822" w:type="pct"/>
                  <w:vMerge w:val="restart"/>
                  <w:tcBorders>
                    <w:top w:val="single" w:color="auto" w:sz="12" w:space="0"/>
                  </w:tcBorders>
                  <w:vAlign w:val="center"/>
                </w:tcPr>
                <w:p w14:paraId="7F9024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污染物</w:t>
                  </w:r>
                </w:p>
              </w:tc>
              <w:tc>
                <w:tcPr>
                  <w:tcW w:w="2324" w:type="pct"/>
                  <w:gridSpan w:val="4"/>
                  <w:tcBorders>
                    <w:top w:val="single" w:color="auto" w:sz="12" w:space="0"/>
                  </w:tcBorders>
                  <w:vAlign w:val="center"/>
                </w:tcPr>
                <w:p w14:paraId="0E6FAE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污染物产生</w:t>
                  </w:r>
                </w:p>
              </w:tc>
              <w:tc>
                <w:tcPr>
                  <w:tcW w:w="1115" w:type="pct"/>
                  <w:vMerge w:val="restart"/>
                  <w:tcBorders>
                    <w:top w:val="single" w:color="auto" w:sz="12" w:space="0"/>
                  </w:tcBorders>
                  <w:vAlign w:val="center"/>
                </w:tcPr>
                <w:p w14:paraId="2F3893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治理措施</w:t>
                  </w:r>
                </w:p>
              </w:tc>
            </w:tr>
            <w:tr w14:paraId="380B024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5" w:hRule="atLeast"/>
                <w:jc w:val="center"/>
              </w:trPr>
              <w:tc>
                <w:tcPr>
                  <w:tcW w:w="737" w:type="pct"/>
                  <w:vMerge w:val="continue"/>
                  <w:vAlign w:val="center"/>
                </w:tcPr>
                <w:p w14:paraId="1FA550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822" w:type="pct"/>
                  <w:vMerge w:val="continue"/>
                  <w:vAlign w:val="center"/>
                </w:tcPr>
                <w:p w14:paraId="0FEDCC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321" w:type="pct"/>
                  <w:vAlign w:val="center"/>
                </w:tcPr>
                <w:p w14:paraId="3AFFF3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核算方法</w:t>
                  </w:r>
                </w:p>
              </w:tc>
              <w:tc>
                <w:tcPr>
                  <w:tcW w:w="673" w:type="pct"/>
                  <w:vAlign w:val="center"/>
                </w:tcPr>
                <w:p w14:paraId="30E9F0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废水量</w:t>
                  </w:r>
                  <w:r>
                    <w:rPr>
                      <w:rFonts w:hint="default" w:ascii="Times New Roman" w:hAnsi="Times New Roman" w:cs="Times New Roman" w:eastAsiaTheme="minorEastAsia"/>
                      <w:color w:val="auto"/>
                      <w:sz w:val="18"/>
                      <w:szCs w:val="18"/>
                      <w:highlight w:val="none"/>
                      <w:lang w:val="en-US" w:eastAsia="zh-CN"/>
                    </w:rPr>
                    <w:t>t</w:t>
                  </w:r>
                  <w:r>
                    <w:rPr>
                      <w:rFonts w:hint="default" w:ascii="Times New Roman" w:hAnsi="Times New Roman" w:cs="Times New Roman" w:eastAsiaTheme="minorEastAsia"/>
                      <w:color w:val="auto"/>
                      <w:sz w:val="18"/>
                      <w:szCs w:val="18"/>
                      <w:highlight w:val="none"/>
                    </w:rPr>
                    <w:t>/a</w:t>
                  </w:r>
                </w:p>
              </w:tc>
              <w:tc>
                <w:tcPr>
                  <w:tcW w:w="663" w:type="pct"/>
                  <w:vAlign w:val="center"/>
                </w:tcPr>
                <w:p w14:paraId="3FBC9B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产生</w:t>
                  </w:r>
                </w:p>
                <w:p w14:paraId="44CDD2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浓度mg/L</w:t>
                  </w:r>
                </w:p>
              </w:tc>
              <w:tc>
                <w:tcPr>
                  <w:tcW w:w="665" w:type="pct"/>
                  <w:vAlign w:val="center"/>
                </w:tcPr>
                <w:p w14:paraId="765E28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产生量t/a</w:t>
                  </w:r>
                </w:p>
              </w:tc>
              <w:tc>
                <w:tcPr>
                  <w:tcW w:w="1115" w:type="pct"/>
                  <w:vMerge w:val="continue"/>
                  <w:vAlign w:val="center"/>
                </w:tcPr>
                <w:p w14:paraId="190813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r>
            <w:tr w14:paraId="7631875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737" w:type="pct"/>
                  <w:vMerge w:val="restart"/>
                  <w:vAlign w:val="center"/>
                </w:tcPr>
                <w:p w14:paraId="602B1F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eastAsia="zh-CN"/>
                    </w:rPr>
                  </w:pPr>
                  <w:r>
                    <w:rPr>
                      <w:rFonts w:hint="default" w:ascii="Times New Roman" w:hAnsi="Times New Roman" w:cs="Times New Roman" w:eastAsiaTheme="minorEastAsia"/>
                      <w:color w:val="auto"/>
                      <w:sz w:val="18"/>
                      <w:szCs w:val="18"/>
                      <w:highlight w:val="none"/>
                      <w:lang w:eastAsia="zh-CN"/>
                    </w:rPr>
                    <w:t>生活污水</w:t>
                  </w:r>
                </w:p>
              </w:tc>
              <w:tc>
                <w:tcPr>
                  <w:tcW w:w="822" w:type="pct"/>
                  <w:vAlign w:val="center"/>
                </w:tcPr>
                <w:p w14:paraId="530740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COD</w:t>
                  </w:r>
                </w:p>
              </w:tc>
              <w:tc>
                <w:tcPr>
                  <w:tcW w:w="321" w:type="pct"/>
                  <w:vMerge w:val="restart"/>
                  <w:vAlign w:val="center"/>
                </w:tcPr>
                <w:p w14:paraId="4A04FF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类比法</w:t>
                  </w:r>
                </w:p>
              </w:tc>
              <w:tc>
                <w:tcPr>
                  <w:tcW w:w="673" w:type="pct"/>
                  <w:vMerge w:val="restart"/>
                  <w:vAlign w:val="center"/>
                </w:tcPr>
                <w:p w14:paraId="137936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32</w:t>
                  </w:r>
                </w:p>
              </w:tc>
              <w:tc>
                <w:tcPr>
                  <w:tcW w:w="663" w:type="pct"/>
                  <w:vAlign w:val="center"/>
                </w:tcPr>
                <w:p w14:paraId="3DC7CA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300</w:t>
                  </w:r>
                </w:p>
              </w:tc>
              <w:tc>
                <w:tcPr>
                  <w:tcW w:w="665" w:type="pct"/>
                  <w:vAlign w:val="center"/>
                </w:tcPr>
                <w:p w14:paraId="1FB1E8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kern w:val="0"/>
                      <w:sz w:val="18"/>
                      <w:szCs w:val="18"/>
                      <w:highlight w:val="none"/>
                      <w:shd w:val="clear" w:color="auto" w:fill="auto"/>
                      <w:lang w:val="en-US" w:eastAsia="zh-CN"/>
                    </w:rPr>
                  </w:pPr>
                  <w:r>
                    <w:rPr>
                      <w:rFonts w:hint="eastAsia" w:cs="Times New Roman" w:eastAsiaTheme="minorEastAsia"/>
                      <w:color w:val="auto"/>
                      <w:kern w:val="0"/>
                      <w:sz w:val="18"/>
                      <w:szCs w:val="18"/>
                      <w:highlight w:val="none"/>
                      <w:shd w:val="clear" w:color="auto" w:fill="auto"/>
                      <w:lang w:val="en-US" w:eastAsia="zh-CN"/>
                    </w:rPr>
                    <w:t>0.01</w:t>
                  </w:r>
                </w:p>
              </w:tc>
              <w:tc>
                <w:tcPr>
                  <w:tcW w:w="1115" w:type="pct"/>
                  <w:vMerge w:val="restart"/>
                  <w:vAlign w:val="center"/>
                </w:tcPr>
                <w:p w14:paraId="2FAE9D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firstLine="0" w:firstLineChars="0"/>
                    <w:jc w:val="center"/>
                    <w:textAlignment w:val="auto"/>
                    <w:rPr>
                      <w:rFonts w:hint="eastAsia" w:ascii="Times New Roman" w:hAnsi="Times New Roman" w:cs="Times New Roman" w:eastAsiaTheme="minorEastAsia"/>
                      <w:color w:val="auto"/>
                      <w:kern w:val="0"/>
                      <w:sz w:val="18"/>
                      <w:szCs w:val="18"/>
                      <w:highlight w:val="none"/>
                      <w:lang w:eastAsia="zh-CN"/>
                    </w:rPr>
                  </w:pPr>
                  <w:r>
                    <w:rPr>
                      <w:rFonts w:hint="eastAsia" w:cs="Times New Roman" w:eastAsiaTheme="minorEastAsia"/>
                      <w:color w:val="auto"/>
                      <w:kern w:val="0"/>
                      <w:sz w:val="18"/>
                      <w:szCs w:val="18"/>
                      <w:highlight w:val="none"/>
                      <w:lang w:eastAsia="zh-CN"/>
                    </w:rPr>
                    <w:t>排入防渗旱厕、定期清掏外运堆肥不外排。</w:t>
                  </w:r>
                </w:p>
                <w:p w14:paraId="2422ED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firstLine="0" w:firstLineChars="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43AE83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737" w:type="pct"/>
                  <w:vMerge w:val="continue"/>
                  <w:vAlign w:val="center"/>
                </w:tcPr>
                <w:p w14:paraId="652D0A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822" w:type="pct"/>
                  <w:vAlign w:val="center"/>
                </w:tcPr>
                <w:p w14:paraId="5D8600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BOD</w:t>
                  </w:r>
                  <w:r>
                    <w:rPr>
                      <w:rFonts w:hint="default" w:ascii="Times New Roman" w:hAnsi="Times New Roman" w:cs="Times New Roman" w:eastAsiaTheme="minorEastAsia"/>
                      <w:color w:val="auto"/>
                      <w:sz w:val="18"/>
                      <w:szCs w:val="18"/>
                      <w:highlight w:val="none"/>
                      <w:vertAlign w:val="subscript"/>
                    </w:rPr>
                    <w:t>5</w:t>
                  </w:r>
                </w:p>
              </w:tc>
              <w:tc>
                <w:tcPr>
                  <w:tcW w:w="321" w:type="pct"/>
                  <w:vMerge w:val="continue"/>
                  <w:vAlign w:val="center"/>
                </w:tcPr>
                <w:p w14:paraId="2DF729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673" w:type="pct"/>
                  <w:vMerge w:val="continue"/>
                  <w:vAlign w:val="center"/>
                </w:tcPr>
                <w:p w14:paraId="2653BA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663" w:type="pct"/>
                  <w:vAlign w:val="center"/>
                </w:tcPr>
                <w:p w14:paraId="246B69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200</w:t>
                  </w:r>
                </w:p>
              </w:tc>
              <w:tc>
                <w:tcPr>
                  <w:tcW w:w="665" w:type="pct"/>
                  <w:vAlign w:val="center"/>
                </w:tcPr>
                <w:p w14:paraId="4C8171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kern w:val="0"/>
                      <w:sz w:val="18"/>
                      <w:szCs w:val="18"/>
                      <w:highlight w:val="none"/>
                      <w:shd w:val="clear" w:color="auto" w:fill="auto"/>
                      <w:lang w:val="en-US" w:eastAsia="zh-CN"/>
                    </w:rPr>
                    <w:t>0.006</w:t>
                  </w:r>
                </w:p>
              </w:tc>
              <w:tc>
                <w:tcPr>
                  <w:tcW w:w="1115" w:type="pct"/>
                  <w:vMerge w:val="continue"/>
                  <w:vAlign w:val="center"/>
                </w:tcPr>
                <w:p w14:paraId="09047C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4CB843C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737" w:type="pct"/>
                  <w:vMerge w:val="continue"/>
                  <w:vAlign w:val="center"/>
                </w:tcPr>
                <w:p w14:paraId="7E1EAA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822" w:type="pct"/>
                  <w:vAlign w:val="center"/>
                </w:tcPr>
                <w:p w14:paraId="640B46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SS</w:t>
                  </w:r>
                </w:p>
              </w:tc>
              <w:tc>
                <w:tcPr>
                  <w:tcW w:w="321" w:type="pct"/>
                  <w:vMerge w:val="continue"/>
                  <w:vAlign w:val="center"/>
                </w:tcPr>
                <w:p w14:paraId="77E315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673" w:type="pct"/>
                  <w:vMerge w:val="continue"/>
                  <w:vAlign w:val="center"/>
                </w:tcPr>
                <w:p w14:paraId="7F0C63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663" w:type="pct"/>
                  <w:vAlign w:val="center"/>
                </w:tcPr>
                <w:p w14:paraId="36E565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200</w:t>
                  </w:r>
                </w:p>
              </w:tc>
              <w:tc>
                <w:tcPr>
                  <w:tcW w:w="665" w:type="pct"/>
                  <w:vAlign w:val="center"/>
                </w:tcPr>
                <w:p w14:paraId="3FE757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kern w:val="0"/>
                      <w:sz w:val="18"/>
                      <w:szCs w:val="18"/>
                      <w:highlight w:val="none"/>
                      <w:shd w:val="clear" w:color="auto" w:fill="auto"/>
                      <w:lang w:val="en-US" w:eastAsia="zh-CN"/>
                    </w:rPr>
                    <w:t>0.006</w:t>
                  </w:r>
                </w:p>
              </w:tc>
              <w:tc>
                <w:tcPr>
                  <w:tcW w:w="1115" w:type="pct"/>
                  <w:vMerge w:val="continue"/>
                  <w:vAlign w:val="center"/>
                </w:tcPr>
                <w:p w14:paraId="54CB6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50A23B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37" w:type="pct"/>
                  <w:vMerge w:val="continue"/>
                  <w:tcBorders>
                    <w:bottom w:val="single" w:color="auto" w:sz="12" w:space="0"/>
                  </w:tcBorders>
                  <w:vAlign w:val="center"/>
                </w:tcPr>
                <w:p w14:paraId="048304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822" w:type="pct"/>
                  <w:tcBorders>
                    <w:bottom w:val="single" w:color="auto" w:sz="12" w:space="0"/>
                  </w:tcBorders>
                  <w:vAlign w:val="center"/>
                </w:tcPr>
                <w:p w14:paraId="732CA8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氨氮</w:t>
                  </w:r>
                </w:p>
              </w:tc>
              <w:tc>
                <w:tcPr>
                  <w:tcW w:w="321" w:type="pct"/>
                  <w:vMerge w:val="continue"/>
                  <w:tcBorders>
                    <w:bottom w:val="single" w:color="auto" w:sz="12" w:space="0"/>
                  </w:tcBorders>
                  <w:vAlign w:val="center"/>
                </w:tcPr>
                <w:p w14:paraId="6012C9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673" w:type="pct"/>
                  <w:vMerge w:val="continue"/>
                  <w:tcBorders>
                    <w:bottom w:val="single" w:color="auto" w:sz="12" w:space="0"/>
                  </w:tcBorders>
                  <w:vAlign w:val="center"/>
                </w:tcPr>
                <w:p w14:paraId="7407F1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663" w:type="pct"/>
                  <w:tcBorders>
                    <w:bottom w:val="single" w:color="auto" w:sz="12" w:space="0"/>
                  </w:tcBorders>
                  <w:vAlign w:val="center"/>
                </w:tcPr>
                <w:p w14:paraId="25A2EA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25</w:t>
                  </w:r>
                </w:p>
              </w:tc>
              <w:tc>
                <w:tcPr>
                  <w:tcW w:w="665" w:type="pct"/>
                  <w:tcBorders>
                    <w:bottom w:val="single" w:color="auto" w:sz="12" w:space="0"/>
                  </w:tcBorders>
                  <w:vAlign w:val="center"/>
                </w:tcPr>
                <w:p w14:paraId="54F287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kern w:val="0"/>
                      <w:sz w:val="18"/>
                      <w:szCs w:val="18"/>
                      <w:highlight w:val="none"/>
                      <w:shd w:val="clear" w:color="auto" w:fill="auto"/>
                      <w:lang w:val="en-US" w:eastAsia="zh-CN"/>
                    </w:rPr>
                    <w:t>0.001</w:t>
                  </w:r>
                </w:p>
              </w:tc>
              <w:tc>
                <w:tcPr>
                  <w:tcW w:w="1115" w:type="pct"/>
                  <w:vMerge w:val="continue"/>
                  <w:tcBorders>
                    <w:bottom w:val="single" w:color="auto" w:sz="12" w:space="0"/>
                  </w:tcBorders>
                  <w:vAlign w:val="center"/>
                </w:tcPr>
                <w:p w14:paraId="07CE49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p>
              </w:tc>
            </w:tr>
          </w:tbl>
          <w:p w14:paraId="5D6980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本项目</w:t>
            </w:r>
            <w:r>
              <w:rPr>
                <w:rFonts w:hint="default" w:ascii="Times New Roman" w:hAnsi="Times New Roman" w:cs="Times New Roman"/>
                <w:color w:val="auto"/>
                <w:kern w:val="0"/>
                <w:sz w:val="21"/>
                <w:szCs w:val="21"/>
                <w:highlight w:val="none"/>
                <w:shd w:val="clear" w:color="auto" w:fill="auto"/>
              </w:rPr>
              <w:t>生活污水</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bCs/>
                <w:color w:val="auto"/>
                <w:sz w:val="21"/>
                <w:szCs w:val="21"/>
                <w:highlight w:val="none"/>
                <w:lang w:val="en-US" w:eastAsia="zh-CN"/>
              </w:rPr>
              <w:t>0.32</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/d</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32</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/a</w:t>
            </w:r>
            <w:r>
              <w:rPr>
                <w:rFonts w:hint="default" w:ascii="Times New Roman" w:hAnsi="Times New Roman" w:cs="Times New Roman"/>
                <w:color w:val="auto"/>
                <w:kern w:val="0"/>
                <w:sz w:val="21"/>
                <w:szCs w:val="21"/>
                <w:highlight w:val="none"/>
                <w:shd w:val="clear" w:color="auto" w:fill="auto"/>
              </w:rPr>
              <w:t>，</w:t>
            </w:r>
            <w:r>
              <w:rPr>
                <w:rFonts w:hint="eastAsia"/>
                <w:color w:val="auto"/>
                <w:highlight w:val="none"/>
              </w:rPr>
              <w:t>参照《社会区域类环境影响评价》（主编：吴波，编制时间2007年）中给出的生活污水中各项污染物浓度</w:t>
            </w:r>
            <w:r>
              <w:rPr>
                <w:rFonts w:hint="eastAsia"/>
                <w:color w:val="auto"/>
                <w:highlight w:val="none"/>
                <w:lang w:eastAsia="zh-CN"/>
              </w:rPr>
              <w:t>，</w:t>
            </w:r>
            <w:r>
              <w:rPr>
                <w:rFonts w:hint="default" w:ascii="Times New Roman" w:hAnsi="Times New Roman" w:cs="Times New Roman"/>
                <w:color w:val="auto"/>
                <w:kern w:val="0"/>
                <w:sz w:val="21"/>
                <w:szCs w:val="21"/>
                <w:highlight w:val="none"/>
                <w:shd w:val="clear" w:color="auto" w:fill="auto"/>
              </w:rPr>
              <w:t>生活污水COD</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浓度取值3</w:t>
            </w:r>
            <w:r>
              <w:rPr>
                <w:rFonts w:hint="default" w:ascii="Times New Roman" w:hAnsi="Times New Roman" w:cs="Times New Roman"/>
                <w:color w:val="auto"/>
                <w:kern w:val="0"/>
                <w:sz w:val="21"/>
                <w:szCs w:val="21"/>
                <w:highlight w:val="none"/>
                <w:shd w:val="clear" w:color="auto" w:fill="auto"/>
                <w:lang w:val="en-US" w:eastAsia="zh-CN"/>
              </w:rPr>
              <w:t>0</w:t>
            </w:r>
            <w:r>
              <w:rPr>
                <w:rFonts w:hint="default" w:ascii="Times New Roman" w:hAnsi="Times New Roman" w:cs="Times New Roman"/>
                <w:color w:val="auto"/>
                <w:kern w:val="0"/>
                <w:sz w:val="21"/>
                <w:szCs w:val="21"/>
                <w:highlight w:val="none"/>
                <w:shd w:val="clear" w:color="auto" w:fill="auto"/>
              </w:rPr>
              <w:t>0mg/L，BOD</w:t>
            </w:r>
            <w:r>
              <w:rPr>
                <w:rFonts w:hint="default" w:ascii="Times New Roman" w:hAnsi="Times New Roman" w:cs="Times New Roman"/>
                <w:color w:val="auto"/>
                <w:kern w:val="0"/>
                <w:sz w:val="21"/>
                <w:szCs w:val="21"/>
                <w:highlight w:val="none"/>
                <w:shd w:val="clear" w:color="auto" w:fill="auto"/>
                <w:vertAlign w:val="subscript"/>
              </w:rPr>
              <w:t>5</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浓度取值200mg/L，SS</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w:t>
            </w:r>
            <w:r>
              <w:rPr>
                <w:rFonts w:hint="default" w:ascii="Times New Roman" w:hAnsi="Times New Roman" w:cs="Times New Roman"/>
                <w:color w:val="auto"/>
                <w:kern w:val="0"/>
                <w:sz w:val="21"/>
                <w:szCs w:val="21"/>
                <w:highlight w:val="none"/>
                <w:shd w:val="clear" w:color="auto" w:fill="auto"/>
                <w:lang w:val="en-US" w:eastAsia="zh-CN"/>
              </w:rPr>
              <w:t>2</w:t>
            </w:r>
            <w:r>
              <w:rPr>
                <w:rFonts w:hint="default" w:ascii="Times New Roman" w:hAnsi="Times New Roman" w:cs="Times New Roman"/>
                <w:color w:val="auto"/>
                <w:kern w:val="0"/>
                <w:sz w:val="21"/>
                <w:szCs w:val="21"/>
                <w:highlight w:val="none"/>
                <w:shd w:val="clear" w:color="auto" w:fill="auto"/>
              </w:rPr>
              <w:t>00mg/L</w:t>
            </w:r>
            <w:r>
              <w:rPr>
                <w:rFonts w:hint="eastAsia" w:cs="Times New Roman"/>
                <w:color w:val="auto"/>
                <w:kern w:val="0"/>
                <w:sz w:val="21"/>
                <w:szCs w:val="21"/>
                <w:highlight w:val="none"/>
                <w:shd w:val="clear" w:color="auto" w:fill="auto"/>
                <w:lang w:eastAsia="zh-CN"/>
              </w:rPr>
              <w:t>，</w:t>
            </w:r>
            <w:r>
              <w:rPr>
                <w:rFonts w:hint="default" w:ascii="Times New Roman" w:hAnsi="Times New Roman" w:cs="Times New Roman"/>
                <w:color w:val="auto"/>
                <w:kern w:val="0"/>
                <w:sz w:val="21"/>
                <w:szCs w:val="21"/>
                <w:highlight w:val="none"/>
                <w:shd w:val="clear" w:color="auto" w:fill="auto"/>
              </w:rPr>
              <w:t>氨氮</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w:t>
            </w:r>
            <w:r>
              <w:rPr>
                <w:rFonts w:hint="eastAsia" w:cs="Times New Roman"/>
                <w:color w:val="auto"/>
                <w:kern w:val="0"/>
                <w:sz w:val="21"/>
                <w:szCs w:val="21"/>
                <w:highlight w:val="none"/>
                <w:shd w:val="clear" w:color="auto" w:fill="auto"/>
                <w:lang w:eastAsia="zh-CN"/>
              </w:rPr>
              <w:t>20m</w:t>
            </w:r>
            <w:r>
              <w:rPr>
                <w:rFonts w:hint="default" w:ascii="Times New Roman" w:hAnsi="Times New Roman" w:cs="Times New Roman"/>
                <w:color w:val="auto"/>
                <w:kern w:val="0"/>
                <w:sz w:val="21"/>
                <w:szCs w:val="21"/>
                <w:highlight w:val="none"/>
                <w:shd w:val="clear" w:color="auto" w:fill="auto"/>
              </w:rPr>
              <w:t>g/L。经计算生活污水COD</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eastAsiaTheme="minorEastAsia"/>
                <w:color w:val="auto"/>
                <w:kern w:val="0"/>
                <w:sz w:val="21"/>
                <w:szCs w:val="21"/>
                <w:highlight w:val="none"/>
                <w:shd w:val="clear" w:color="auto" w:fill="auto"/>
                <w:lang w:val="en-US" w:eastAsia="zh-CN"/>
              </w:rPr>
              <w:t>0.01t</w:t>
            </w:r>
            <w:r>
              <w:rPr>
                <w:rFonts w:hint="default" w:ascii="Times New Roman" w:hAnsi="Times New Roman" w:cs="Times New Roman"/>
                <w:color w:val="auto"/>
                <w:kern w:val="0"/>
                <w:sz w:val="21"/>
                <w:szCs w:val="21"/>
                <w:highlight w:val="none"/>
                <w:shd w:val="clear" w:color="auto" w:fill="auto"/>
              </w:rPr>
              <w:t>/a、BOD</w:t>
            </w:r>
            <w:r>
              <w:rPr>
                <w:rFonts w:hint="default" w:ascii="Times New Roman" w:hAnsi="Times New Roman" w:cs="Times New Roman"/>
                <w:color w:val="auto"/>
                <w:kern w:val="0"/>
                <w:sz w:val="21"/>
                <w:szCs w:val="21"/>
                <w:highlight w:val="none"/>
                <w:shd w:val="clear" w:color="auto" w:fill="auto"/>
                <w:vertAlign w:val="subscript"/>
              </w:rPr>
              <w:t>5</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eastAsiaTheme="minorEastAsia"/>
                <w:color w:val="auto"/>
                <w:kern w:val="0"/>
                <w:sz w:val="21"/>
                <w:szCs w:val="21"/>
                <w:highlight w:val="none"/>
                <w:shd w:val="clear" w:color="auto" w:fill="auto"/>
                <w:lang w:val="en-US" w:eastAsia="zh-CN"/>
              </w:rPr>
              <w:t>0.006</w:t>
            </w:r>
            <w:r>
              <w:rPr>
                <w:rFonts w:hint="default" w:ascii="Times New Roman" w:hAnsi="Times New Roman" w:cs="Times New Roman"/>
                <w:color w:val="auto"/>
                <w:kern w:val="0"/>
                <w:sz w:val="21"/>
                <w:szCs w:val="21"/>
                <w:highlight w:val="none"/>
                <w:shd w:val="clear" w:color="auto" w:fill="auto"/>
              </w:rPr>
              <w:t>t/a、SS</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eastAsiaTheme="minorEastAsia"/>
                <w:color w:val="auto"/>
                <w:kern w:val="0"/>
                <w:sz w:val="21"/>
                <w:szCs w:val="21"/>
                <w:highlight w:val="none"/>
                <w:shd w:val="clear" w:color="auto" w:fill="auto"/>
                <w:lang w:val="en-US" w:eastAsia="zh-CN"/>
              </w:rPr>
              <w:t>0.006</w:t>
            </w:r>
            <w:r>
              <w:rPr>
                <w:rFonts w:hint="default" w:ascii="Times New Roman" w:hAnsi="Times New Roman" w:cs="Times New Roman"/>
                <w:color w:val="auto"/>
                <w:kern w:val="0"/>
                <w:sz w:val="21"/>
                <w:szCs w:val="21"/>
                <w:highlight w:val="none"/>
                <w:shd w:val="clear" w:color="auto" w:fill="auto"/>
              </w:rPr>
              <w:t>t/a、氨氮</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eastAsiaTheme="minorEastAsia"/>
                <w:color w:val="auto"/>
                <w:kern w:val="0"/>
                <w:sz w:val="21"/>
                <w:szCs w:val="21"/>
                <w:highlight w:val="none"/>
                <w:shd w:val="clear" w:color="auto" w:fill="auto"/>
                <w:lang w:val="en-US" w:eastAsia="zh-CN"/>
              </w:rPr>
              <w:t>0.001</w:t>
            </w:r>
            <w:r>
              <w:rPr>
                <w:rFonts w:hint="default" w:ascii="Times New Roman" w:hAnsi="Times New Roman" w:cs="Times New Roman"/>
                <w:color w:val="auto"/>
                <w:kern w:val="0"/>
                <w:sz w:val="21"/>
                <w:szCs w:val="21"/>
                <w:highlight w:val="none"/>
                <w:shd w:val="clear" w:color="auto" w:fill="auto"/>
              </w:rPr>
              <w:t>t/a。</w:t>
            </w:r>
          </w:p>
          <w:p w14:paraId="2E9E52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bCs/>
                <w:color w:val="auto"/>
                <w:spacing w:val="0"/>
                <w:sz w:val="21"/>
                <w:szCs w:val="21"/>
                <w:highlight w:val="none"/>
              </w:rPr>
            </w:pPr>
            <w:r>
              <w:rPr>
                <w:rFonts w:hint="default" w:ascii="Times New Roman" w:hAnsi="Times New Roman" w:cs="Times New Roman"/>
                <w:bCs/>
                <w:color w:val="auto"/>
                <w:spacing w:val="0"/>
                <w:sz w:val="21"/>
                <w:szCs w:val="21"/>
                <w:highlight w:val="none"/>
              </w:rPr>
              <w:t>（</w:t>
            </w:r>
            <w:r>
              <w:rPr>
                <w:rFonts w:hint="eastAsia" w:cs="Times New Roman"/>
                <w:bCs/>
                <w:color w:val="auto"/>
                <w:spacing w:val="0"/>
                <w:sz w:val="21"/>
                <w:szCs w:val="21"/>
                <w:highlight w:val="none"/>
                <w:lang w:val="en-US" w:eastAsia="zh-CN"/>
              </w:rPr>
              <w:t>2</w:t>
            </w:r>
            <w:r>
              <w:rPr>
                <w:rFonts w:hint="default" w:ascii="Times New Roman" w:hAnsi="Times New Roman" w:cs="Times New Roman"/>
                <w:bCs/>
                <w:color w:val="auto"/>
                <w:spacing w:val="0"/>
                <w:sz w:val="21"/>
                <w:szCs w:val="21"/>
                <w:highlight w:val="none"/>
              </w:rPr>
              <w:t>）</w:t>
            </w:r>
            <w:r>
              <w:rPr>
                <w:rFonts w:hint="eastAsia" w:cs="Times New Roman"/>
                <w:bCs/>
                <w:color w:val="auto"/>
                <w:spacing w:val="0"/>
                <w:sz w:val="21"/>
                <w:szCs w:val="21"/>
                <w:highlight w:val="none"/>
                <w:lang w:val="en-US" w:eastAsia="zh-CN"/>
              </w:rPr>
              <w:t>污染防治措施及</w:t>
            </w:r>
            <w:r>
              <w:rPr>
                <w:rFonts w:hint="default"/>
                <w:bCs/>
                <w:color w:val="auto"/>
                <w:spacing w:val="0"/>
                <w:sz w:val="21"/>
                <w:szCs w:val="21"/>
                <w:highlight w:val="none"/>
              </w:rPr>
              <w:t>环境影响分析</w:t>
            </w:r>
          </w:p>
          <w:p w14:paraId="0073A1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宋体" w:hAnsi="宋体" w:eastAsia="宋体" w:cs="宋体"/>
                <w:color w:val="auto"/>
                <w:spacing w:val="0"/>
                <w:kern w:val="24"/>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本项目无生产废水</w:t>
            </w:r>
            <w:r>
              <w:rPr>
                <w:rFonts w:hint="eastAsia"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lang w:eastAsia="zh-CN"/>
              </w:rPr>
              <w:t>排入</w:t>
            </w:r>
            <w:r>
              <w:rPr>
                <w:rFonts w:hint="eastAsia" w:cs="Times New Roman"/>
                <w:color w:val="auto"/>
                <w:kern w:val="0"/>
                <w:szCs w:val="21"/>
                <w:highlight w:val="none"/>
                <w:lang w:val="en-US" w:eastAsia="zh-CN"/>
              </w:rPr>
              <w:t>防渗旱厕</w:t>
            </w:r>
            <w:r>
              <w:rPr>
                <w:rFonts w:hint="default" w:ascii="Times New Roman" w:hAnsi="Times New Roman" w:cs="Times New Roman"/>
                <w:color w:val="auto"/>
                <w:sz w:val="21"/>
                <w:szCs w:val="21"/>
                <w:highlight w:val="none"/>
                <w:lang w:eastAsia="zh-CN"/>
              </w:rPr>
              <w:t>，定期清掏，外运堆肥，</w:t>
            </w:r>
            <w:r>
              <w:rPr>
                <w:rFonts w:hint="default" w:ascii="Times New Roman" w:hAnsi="Times New Roman" w:cs="Times New Roman"/>
                <w:color w:val="auto"/>
                <w:sz w:val="21"/>
                <w:szCs w:val="21"/>
                <w:highlight w:val="none"/>
                <w:lang w:val="en-US" w:eastAsia="zh-CN"/>
              </w:rPr>
              <w:t>不外排</w:t>
            </w:r>
            <w:r>
              <w:rPr>
                <w:rFonts w:hint="eastAsia" w:cs="Times New Roman"/>
                <w:color w:val="auto"/>
                <w:spacing w:val="0"/>
                <w:sz w:val="21"/>
                <w:szCs w:val="21"/>
                <w:highlight w:val="none"/>
                <w:lang w:val="en-US" w:eastAsia="zh-CN"/>
              </w:rPr>
              <w:t>。</w:t>
            </w:r>
            <w:r>
              <w:rPr>
                <w:rFonts w:hint="eastAsia"/>
                <w:color w:val="auto"/>
                <w:sz w:val="21"/>
                <w:szCs w:val="21"/>
                <w:highlight w:val="none"/>
              </w:rPr>
              <w:t>不会对周边地表水环境产生较大影响</w:t>
            </w:r>
            <w:r>
              <w:rPr>
                <w:rFonts w:hint="eastAsia" w:ascii="Times New Roman" w:hAnsi="Times New Roman" w:cs="Times New Roman"/>
                <w:bCs/>
                <w:color w:val="auto"/>
                <w:spacing w:val="-2"/>
                <w:szCs w:val="21"/>
                <w:highlight w:val="none"/>
                <w:lang w:eastAsia="zh-CN"/>
              </w:rPr>
              <w:t>。</w:t>
            </w:r>
          </w:p>
          <w:p w14:paraId="7B560A3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2" w:firstLineChars="200"/>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3、噪声</w:t>
            </w:r>
          </w:p>
          <w:p w14:paraId="7B703DA3">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（1）噪声污染源源强核算</w:t>
            </w:r>
          </w:p>
          <w:p w14:paraId="5E22D307">
            <w:pPr>
              <w:pStyle w:val="165"/>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480"/>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本项目噪声污染源主要为输送机、圆筒初清筛、风机等设备产生的噪声，其声压级为</w:t>
            </w:r>
            <w:r>
              <w:rPr>
                <w:rFonts w:hint="eastAsia" w:cs="Times New Roman"/>
                <w:color w:val="auto"/>
                <w:kern w:val="2"/>
                <w:sz w:val="21"/>
                <w:szCs w:val="24"/>
                <w:highlight w:val="none"/>
                <w:lang w:val="en-US" w:eastAsia="zh-CN" w:bidi="ar-SA"/>
              </w:rPr>
              <w:t>70</w:t>
            </w:r>
            <w:r>
              <w:rPr>
                <w:rFonts w:hint="eastAsia" w:ascii="Times New Roman" w:hAnsi="Times New Roman" w:eastAsia="宋体" w:cs="Times New Roman"/>
                <w:color w:val="auto"/>
                <w:kern w:val="2"/>
                <w:sz w:val="21"/>
                <w:szCs w:val="24"/>
                <w:highlight w:val="none"/>
                <w:lang w:val="en-US" w:eastAsia="zh-CN" w:bidi="ar-SA"/>
              </w:rPr>
              <w:t>-85dB(A)，项目噪声污染源源强核算结果及相关参数见表4-7及表4-8。</w:t>
            </w:r>
          </w:p>
          <w:p w14:paraId="61113D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表4-</w:t>
            </w:r>
            <w:r>
              <w:rPr>
                <w:rFonts w:hint="eastAsia" w:ascii="Times New Roman" w:hAnsi="Times New Roman" w:cs="Times New Roman"/>
                <w:b/>
                <w:bCs/>
                <w:color w:val="auto"/>
                <w:highlight w:val="none"/>
                <w:lang w:val="en-US" w:eastAsia="zh-CN"/>
              </w:rPr>
              <w:t>7</w:t>
            </w:r>
            <w:r>
              <w:rPr>
                <w:rFonts w:hint="default" w:ascii="Times New Roman" w:hAnsi="Times New Roman" w:cs="Times New Roman"/>
                <w:b/>
                <w:bCs/>
                <w:color w:val="auto"/>
                <w:highlight w:val="none"/>
                <w:lang w:val="en-US" w:eastAsia="zh-CN"/>
              </w:rPr>
              <w:t>噪声污染源</w:t>
            </w:r>
            <w:r>
              <w:rPr>
                <w:rFonts w:hint="eastAsia" w:ascii="Times New Roman" w:hAnsi="Times New Roman" w:cs="Times New Roman"/>
                <w:b/>
                <w:bCs/>
                <w:color w:val="auto"/>
                <w:highlight w:val="none"/>
                <w:lang w:val="en-US" w:eastAsia="zh-CN"/>
              </w:rPr>
              <w:t>（室内）</w:t>
            </w:r>
            <w:r>
              <w:rPr>
                <w:rFonts w:hint="default" w:ascii="Times New Roman" w:hAnsi="Times New Roman" w:cs="Times New Roman"/>
                <w:b/>
                <w:bCs/>
                <w:color w:val="auto"/>
                <w:highlight w:val="none"/>
                <w:lang w:val="en-US" w:eastAsia="zh-CN"/>
              </w:rPr>
              <w:t>源强核算结果及相关参数一览表</w:t>
            </w:r>
          </w:p>
          <w:tbl>
            <w:tblPr>
              <w:tblStyle w:val="36"/>
              <w:tblW w:w="5001"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54"/>
              <w:gridCol w:w="813"/>
              <w:gridCol w:w="813"/>
              <w:gridCol w:w="829"/>
              <w:gridCol w:w="945"/>
              <w:gridCol w:w="448"/>
              <w:gridCol w:w="416"/>
              <w:gridCol w:w="661"/>
              <w:gridCol w:w="612"/>
              <w:gridCol w:w="684"/>
              <w:gridCol w:w="713"/>
              <w:gridCol w:w="700"/>
            </w:tblGrid>
            <w:tr w14:paraId="2934B2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61" w:hRule="atLeast"/>
                <w:tblHeader/>
              </w:trPr>
              <w:tc>
                <w:tcPr>
                  <w:tcW w:w="281" w:type="pct"/>
                  <w:vMerge w:val="restart"/>
                  <w:noWrap w:val="0"/>
                  <w:tcMar>
                    <w:top w:w="15" w:type="dxa"/>
                    <w:left w:w="15" w:type="dxa"/>
                    <w:bottom w:w="0" w:type="dxa"/>
                    <w:right w:w="15" w:type="dxa"/>
                  </w:tcMar>
                  <w:vAlign w:val="center"/>
                </w:tcPr>
                <w:p w14:paraId="43FE1B8E">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序号</w:t>
                  </w:r>
                </w:p>
              </w:tc>
              <w:tc>
                <w:tcPr>
                  <w:tcW w:w="502" w:type="pct"/>
                  <w:vMerge w:val="restart"/>
                  <w:noWrap w:val="0"/>
                  <w:tcMar>
                    <w:top w:w="15" w:type="dxa"/>
                    <w:left w:w="15" w:type="dxa"/>
                    <w:bottom w:w="0" w:type="dxa"/>
                    <w:right w:w="15" w:type="dxa"/>
                  </w:tcMar>
                  <w:vAlign w:val="center"/>
                </w:tcPr>
                <w:p w14:paraId="40A86513">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声源名称</w:t>
                  </w:r>
                </w:p>
              </w:tc>
              <w:tc>
                <w:tcPr>
                  <w:tcW w:w="1014" w:type="pct"/>
                  <w:gridSpan w:val="2"/>
                  <w:noWrap w:val="0"/>
                  <w:tcMar>
                    <w:top w:w="15" w:type="dxa"/>
                    <w:left w:w="15" w:type="dxa"/>
                    <w:bottom w:w="0" w:type="dxa"/>
                    <w:right w:w="15" w:type="dxa"/>
                  </w:tcMar>
                  <w:vAlign w:val="center"/>
                </w:tcPr>
                <w:p w14:paraId="595C7B1E">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声源源强</w:t>
                  </w:r>
                </w:p>
              </w:tc>
              <w:tc>
                <w:tcPr>
                  <w:tcW w:w="584" w:type="pct"/>
                  <w:noWrap w:val="0"/>
                  <w:tcMar>
                    <w:top w:w="15" w:type="dxa"/>
                    <w:left w:w="15" w:type="dxa"/>
                    <w:bottom w:w="0" w:type="dxa"/>
                    <w:right w:w="15" w:type="dxa"/>
                  </w:tcMar>
                  <w:vAlign w:val="center"/>
                </w:tcPr>
                <w:p w14:paraId="09590F13">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声源控制措施</w:t>
                  </w:r>
                </w:p>
              </w:tc>
              <w:tc>
                <w:tcPr>
                  <w:tcW w:w="942" w:type="pct"/>
                  <w:gridSpan w:val="3"/>
                  <w:noWrap w:val="0"/>
                  <w:tcMar>
                    <w:top w:w="15" w:type="dxa"/>
                    <w:left w:w="15" w:type="dxa"/>
                    <w:bottom w:w="0" w:type="dxa"/>
                    <w:right w:w="15" w:type="dxa"/>
                  </w:tcMar>
                  <w:vAlign w:val="center"/>
                </w:tcPr>
                <w:p w14:paraId="1EF70CE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空间相对位置/m</w:t>
                  </w:r>
                </w:p>
              </w:tc>
              <w:tc>
                <w:tcPr>
                  <w:tcW w:w="378" w:type="pct"/>
                  <w:vMerge w:val="restart"/>
                  <w:noWrap w:val="0"/>
                  <w:tcMar>
                    <w:top w:w="15" w:type="dxa"/>
                    <w:left w:w="15" w:type="dxa"/>
                    <w:bottom w:w="0" w:type="dxa"/>
                    <w:right w:w="15" w:type="dxa"/>
                  </w:tcMar>
                  <w:vAlign w:val="center"/>
                </w:tcPr>
                <w:p w14:paraId="3422E1F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建筑物插入损失</w:t>
                  </w:r>
                </w:p>
                <w:p w14:paraId="0846D70E">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/dB（A）</w:t>
                  </w:r>
                </w:p>
              </w:tc>
              <w:tc>
                <w:tcPr>
                  <w:tcW w:w="862" w:type="pct"/>
                  <w:gridSpan w:val="2"/>
                  <w:noWrap w:val="0"/>
                  <w:tcMar>
                    <w:top w:w="15" w:type="dxa"/>
                    <w:left w:w="15" w:type="dxa"/>
                    <w:bottom w:w="0" w:type="dxa"/>
                    <w:right w:w="15" w:type="dxa"/>
                  </w:tcMar>
                  <w:vAlign w:val="center"/>
                </w:tcPr>
                <w:p w14:paraId="0C8EF5A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建筑物外噪声</w:t>
                  </w:r>
                </w:p>
              </w:tc>
              <w:tc>
                <w:tcPr>
                  <w:tcW w:w="432" w:type="pct"/>
                  <w:vMerge w:val="restart"/>
                  <w:noWrap w:val="0"/>
                  <w:vAlign w:val="center"/>
                </w:tcPr>
                <w:p w14:paraId="54FE4D2A">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持续时间</w:t>
                  </w:r>
                </w:p>
                <w:p w14:paraId="60D33C19">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（h/a）</w:t>
                  </w:r>
                </w:p>
              </w:tc>
            </w:tr>
            <w:tr w14:paraId="52DB7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50" w:hRule="atLeast"/>
                <w:tblHeader/>
              </w:trPr>
              <w:tc>
                <w:tcPr>
                  <w:tcW w:w="281" w:type="pct"/>
                  <w:vMerge w:val="continue"/>
                  <w:noWrap w:val="0"/>
                  <w:vAlign w:val="center"/>
                </w:tcPr>
                <w:p w14:paraId="1E2DA97C">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p>
              </w:tc>
              <w:tc>
                <w:tcPr>
                  <w:tcW w:w="502" w:type="pct"/>
                  <w:vMerge w:val="continue"/>
                  <w:noWrap w:val="0"/>
                  <w:vAlign w:val="center"/>
                </w:tcPr>
                <w:p w14:paraId="34222299">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p>
              </w:tc>
              <w:tc>
                <w:tcPr>
                  <w:tcW w:w="502" w:type="pct"/>
                  <w:noWrap w:val="0"/>
                  <w:tcMar>
                    <w:top w:w="15" w:type="dxa"/>
                    <w:left w:w="15" w:type="dxa"/>
                    <w:bottom w:w="0" w:type="dxa"/>
                    <w:right w:w="15" w:type="dxa"/>
                  </w:tcMar>
                  <w:vAlign w:val="center"/>
                </w:tcPr>
                <w:p w14:paraId="1DB851F3">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声压级</w:t>
                  </w:r>
                </w:p>
                <w:p w14:paraId="6C0CEA5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/dB（A）</w:t>
                  </w:r>
                </w:p>
              </w:tc>
              <w:tc>
                <w:tcPr>
                  <w:tcW w:w="512" w:type="pct"/>
                  <w:noWrap w:val="0"/>
                  <w:tcMar>
                    <w:top w:w="15" w:type="dxa"/>
                    <w:left w:w="15" w:type="dxa"/>
                    <w:bottom w:w="0" w:type="dxa"/>
                    <w:right w:w="15" w:type="dxa"/>
                  </w:tcMar>
                  <w:vAlign w:val="center"/>
                </w:tcPr>
                <w:p w14:paraId="77980788">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距声源距离/m</w:t>
                  </w:r>
                </w:p>
              </w:tc>
              <w:tc>
                <w:tcPr>
                  <w:tcW w:w="584" w:type="pct"/>
                  <w:noWrap w:val="0"/>
                  <w:vAlign w:val="center"/>
                </w:tcPr>
                <w:p w14:paraId="66950CF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工艺</w:t>
                  </w:r>
                </w:p>
              </w:tc>
              <w:tc>
                <w:tcPr>
                  <w:tcW w:w="277" w:type="pct"/>
                  <w:noWrap w:val="0"/>
                  <w:tcMar>
                    <w:top w:w="15" w:type="dxa"/>
                    <w:left w:w="15" w:type="dxa"/>
                    <w:bottom w:w="0" w:type="dxa"/>
                    <w:right w:w="15" w:type="dxa"/>
                  </w:tcMar>
                  <w:vAlign w:val="center"/>
                </w:tcPr>
                <w:p w14:paraId="2045BE8A">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X</w:t>
                  </w:r>
                </w:p>
              </w:tc>
              <w:tc>
                <w:tcPr>
                  <w:tcW w:w="257" w:type="pct"/>
                  <w:noWrap w:val="0"/>
                  <w:tcMar>
                    <w:top w:w="15" w:type="dxa"/>
                    <w:left w:w="15" w:type="dxa"/>
                    <w:bottom w:w="0" w:type="dxa"/>
                    <w:right w:w="15" w:type="dxa"/>
                  </w:tcMar>
                  <w:vAlign w:val="center"/>
                </w:tcPr>
                <w:p w14:paraId="1CE213D9">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Y</w:t>
                  </w:r>
                </w:p>
              </w:tc>
              <w:tc>
                <w:tcPr>
                  <w:tcW w:w="407" w:type="pct"/>
                  <w:noWrap w:val="0"/>
                  <w:tcMar>
                    <w:top w:w="15" w:type="dxa"/>
                    <w:left w:w="15" w:type="dxa"/>
                    <w:bottom w:w="0" w:type="dxa"/>
                    <w:right w:w="15" w:type="dxa"/>
                  </w:tcMar>
                  <w:vAlign w:val="center"/>
                </w:tcPr>
                <w:p w14:paraId="59FC3E18">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Z</w:t>
                  </w:r>
                </w:p>
              </w:tc>
              <w:tc>
                <w:tcPr>
                  <w:tcW w:w="378" w:type="pct"/>
                  <w:vMerge w:val="continue"/>
                  <w:noWrap w:val="0"/>
                  <w:tcMar>
                    <w:top w:w="15" w:type="dxa"/>
                    <w:left w:w="15" w:type="dxa"/>
                    <w:bottom w:w="0" w:type="dxa"/>
                    <w:right w:w="15" w:type="dxa"/>
                  </w:tcMar>
                  <w:vAlign w:val="center"/>
                </w:tcPr>
                <w:p w14:paraId="23FB359D">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p>
              </w:tc>
              <w:tc>
                <w:tcPr>
                  <w:tcW w:w="422" w:type="pct"/>
                  <w:noWrap w:val="0"/>
                  <w:tcMar>
                    <w:top w:w="15" w:type="dxa"/>
                    <w:left w:w="15" w:type="dxa"/>
                    <w:bottom w:w="0" w:type="dxa"/>
                    <w:right w:w="15" w:type="dxa"/>
                  </w:tcMar>
                  <w:vAlign w:val="center"/>
                </w:tcPr>
                <w:p w14:paraId="75B7F712">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声压级</w:t>
                  </w:r>
                </w:p>
                <w:p w14:paraId="2ABC5A05">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/dB（A）</w:t>
                  </w:r>
                </w:p>
              </w:tc>
              <w:tc>
                <w:tcPr>
                  <w:tcW w:w="440" w:type="pct"/>
                  <w:noWrap w:val="0"/>
                  <w:tcMar>
                    <w:top w:w="15" w:type="dxa"/>
                    <w:left w:w="15" w:type="dxa"/>
                    <w:bottom w:w="0" w:type="dxa"/>
                    <w:right w:w="15" w:type="dxa"/>
                  </w:tcMar>
                  <w:vAlign w:val="center"/>
                </w:tcPr>
                <w:p w14:paraId="029421D5">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建筑物外距离/m</w:t>
                  </w:r>
                </w:p>
              </w:tc>
              <w:tc>
                <w:tcPr>
                  <w:tcW w:w="432" w:type="pct"/>
                  <w:vMerge w:val="continue"/>
                  <w:noWrap w:val="0"/>
                  <w:vAlign w:val="center"/>
                </w:tcPr>
                <w:p w14:paraId="79C33004">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p>
              </w:tc>
            </w:tr>
            <w:tr w14:paraId="0A6A40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41" w:hRule="atLeast"/>
              </w:trPr>
              <w:tc>
                <w:tcPr>
                  <w:tcW w:w="281" w:type="pct"/>
                  <w:noWrap w:val="0"/>
                  <w:tcMar>
                    <w:top w:w="15" w:type="dxa"/>
                    <w:left w:w="15" w:type="dxa"/>
                    <w:bottom w:w="0" w:type="dxa"/>
                    <w:right w:w="15" w:type="dxa"/>
                  </w:tcMar>
                  <w:vAlign w:val="center"/>
                </w:tcPr>
                <w:p w14:paraId="6007F5BA">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502" w:type="pct"/>
                  <w:noWrap w:val="0"/>
                  <w:tcMar>
                    <w:top w:w="15" w:type="dxa"/>
                    <w:left w:w="15" w:type="dxa"/>
                    <w:bottom w:w="0" w:type="dxa"/>
                    <w:right w:w="15" w:type="dxa"/>
                  </w:tcMar>
                  <w:vAlign w:val="center"/>
                </w:tcPr>
                <w:p w14:paraId="69EDB6C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热风炉</w:t>
                  </w:r>
                </w:p>
              </w:tc>
              <w:tc>
                <w:tcPr>
                  <w:tcW w:w="502" w:type="pct"/>
                  <w:noWrap w:val="0"/>
                  <w:tcMar>
                    <w:top w:w="15" w:type="dxa"/>
                    <w:left w:w="15" w:type="dxa"/>
                    <w:bottom w:w="0" w:type="dxa"/>
                    <w:right w:w="15" w:type="dxa"/>
                  </w:tcMar>
                  <w:vAlign w:val="center"/>
                </w:tcPr>
                <w:p w14:paraId="4BCFE51C">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75</w:t>
                  </w:r>
                </w:p>
              </w:tc>
              <w:tc>
                <w:tcPr>
                  <w:tcW w:w="512" w:type="pct"/>
                  <w:noWrap w:val="0"/>
                  <w:tcMar>
                    <w:top w:w="15" w:type="dxa"/>
                    <w:left w:w="15" w:type="dxa"/>
                    <w:bottom w:w="0" w:type="dxa"/>
                    <w:right w:w="15" w:type="dxa"/>
                  </w:tcMar>
                  <w:vAlign w:val="center"/>
                </w:tcPr>
                <w:p w14:paraId="2E206FD6">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584" w:type="pct"/>
                  <w:noWrap w:val="0"/>
                  <w:tcMar>
                    <w:top w:w="15" w:type="dxa"/>
                    <w:left w:w="15" w:type="dxa"/>
                    <w:bottom w:w="0" w:type="dxa"/>
                    <w:right w:w="15" w:type="dxa"/>
                  </w:tcMar>
                  <w:vAlign w:val="center"/>
                </w:tcPr>
                <w:p w14:paraId="5FAFCAFE">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b w:val="0"/>
                      <w:bCs/>
                      <w:color w:val="auto"/>
                      <w:spacing w:val="0"/>
                      <w:kern w:val="2"/>
                      <w:sz w:val="18"/>
                      <w:szCs w:val="18"/>
                      <w:highlight w:val="none"/>
                      <w:lang w:val="en-US" w:eastAsia="zh-CN" w:bidi="ar-SA"/>
                    </w:rPr>
                    <w:t>基础减震、厂房隔声</w:t>
                  </w:r>
                </w:p>
              </w:tc>
              <w:tc>
                <w:tcPr>
                  <w:tcW w:w="277" w:type="pct"/>
                  <w:noWrap/>
                  <w:tcMar>
                    <w:top w:w="15" w:type="dxa"/>
                    <w:left w:w="15" w:type="dxa"/>
                    <w:bottom w:w="0" w:type="dxa"/>
                    <w:right w:w="15" w:type="dxa"/>
                  </w:tcMar>
                  <w:vAlign w:val="center"/>
                </w:tcPr>
                <w:p w14:paraId="783F8AA7">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15</w:t>
                  </w:r>
                </w:p>
              </w:tc>
              <w:tc>
                <w:tcPr>
                  <w:tcW w:w="257" w:type="pct"/>
                  <w:noWrap/>
                  <w:tcMar>
                    <w:top w:w="15" w:type="dxa"/>
                    <w:left w:w="15" w:type="dxa"/>
                    <w:bottom w:w="0" w:type="dxa"/>
                    <w:right w:w="15" w:type="dxa"/>
                  </w:tcMar>
                  <w:vAlign w:val="center"/>
                </w:tcPr>
                <w:p w14:paraId="41127496">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74</w:t>
                  </w:r>
                </w:p>
              </w:tc>
              <w:tc>
                <w:tcPr>
                  <w:tcW w:w="407" w:type="pct"/>
                  <w:noWrap/>
                  <w:tcMar>
                    <w:top w:w="15" w:type="dxa"/>
                    <w:left w:w="15" w:type="dxa"/>
                    <w:bottom w:w="0" w:type="dxa"/>
                    <w:right w:w="15" w:type="dxa"/>
                  </w:tcMar>
                  <w:vAlign w:val="center"/>
                </w:tcPr>
                <w:p w14:paraId="0768741A">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2</w:t>
                  </w:r>
                </w:p>
              </w:tc>
              <w:tc>
                <w:tcPr>
                  <w:tcW w:w="378" w:type="pct"/>
                  <w:noWrap w:val="0"/>
                  <w:tcMar>
                    <w:top w:w="15" w:type="dxa"/>
                    <w:left w:w="15" w:type="dxa"/>
                    <w:bottom w:w="0" w:type="dxa"/>
                    <w:right w:w="15" w:type="dxa"/>
                  </w:tcMar>
                  <w:vAlign w:val="center"/>
                </w:tcPr>
                <w:p w14:paraId="6FFBD28F">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w:t>
                  </w:r>
                </w:p>
              </w:tc>
              <w:tc>
                <w:tcPr>
                  <w:tcW w:w="422" w:type="pct"/>
                  <w:noWrap w:val="0"/>
                  <w:tcMar>
                    <w:top w:w="15" w:type="dxa"/>
                    <w:left w:w="15" w:type="dxa"/>
                    <w:bottom w:w="0" w:type="dxa"/>
                    <w:right w:w="15" w:type="dxa"/>
                  </w:tcMar>
                  <w:vAlign w:val="center"/>
                </w:tcPr>
                <w:p w14:paraId="25CED7BC">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55</w:t>
                  </w:r>
                </w:p>
              </w:tc>
              <w:tc>
                <w:tcPr>
                  <w:tcW w:w="440" w:type="pct"/>
                  <w:noWrap w:val="0"/>
                  <w:tcMar>
                    <w:top w:w="15" w:type="dxa"/>
                    <w:left w:w="15" w:type="dxa"/>
                    <w:bottom w:w="0" w:type="dxa"/>
                    <w:right w:w="15" w:type="dxa"/>
                  </w:tcMar>
                  <w:vAlign w:val="center"/>
                </w:tcPr>
                <w:p w14:paraId="183C34F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lang w:val="en-US" w:eastAsia="zh-CN"/>
                    </w:rPr>
                    <w:t>1</w:t>
                  </w:r>
                </w:p>
              </w:tc>
              <w:tc>
                <w:tcPr>
                  <w:tcW w:w="432" w:type="pct"/>
                  <w:vMerge w:val="restart"/>
                  <w:noWrap w:val="0"/>
                  <w:vAlign w:val="center"/>
                </w:tcPr>
                <w:p w14:paraId="1AF3203E">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FF0000"/>
                      <w:sz w:val="18"/>
                      <w:szCs w:val="18"/>
                      <w:highlight w:val="none"/>
                      <w:lang w:val="en-US" w:eastAsia="zh-CN"/>
                    </w:rPr>
                  </w:pPr>
                  <w:r>
                    <w:rPr>
                      <w:rFonts w:hint="eastAsia" w:cs="Times New Roman"/>
                      <w:color w:val="FF0000"/>
                      <w:kern w:val="0"/>
                      <w:sz w:val="18"/>
                      <w:szCs w:val="18"/>
                      <w:highlight w:val="none"/>
                      <w:lang w:val="en-US" w:eastAsia="zh-CN"/>
                    </w:rPr>
                    <w:t>2400</w:t>
                  </w:r>
                </w:p>
              </w:tc>
            </w:tr>
            <w:tr w14:paraId="2E281D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71" w:hRule="atLeast"/>
              </w:trPr>
              <w:tc>
                <w:tcPr>
                  <w:tcW w:w="281" w:type="pct"/>
                  <w:noWrap w:val="0"/>
                  <w:tcMar>
                    <w:top w:w="15" w:type="dxa"/>
                    <w:left w:w="15" w:type="dxa"/>
                    <w:bottom w:w="0" w:type="dxa"/>
                    <w:right w:w="15" w:type="dxa"/>
                  </w:tcMar>
                  <w:vAlign w:val="center"/>
                </w:tcPr>
                <w:p w14:paraId="5FC4FA0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502" w:type="pct"/>
                  <w:noWrap w:val="0"/>
                  <w:tcMar>
                    <w:top w:w="15" w:type="dxa"/>
                    <w:left w:w="15" w:type="dxa"/>
                    <w:bottom w:w="0" w:type="dxa"/>
                    <w:right w:w="15" w:type="dxa"/>
                  </w:tcMar>
                  <w:vAlign w:val="center"/>
                </w:tcPr>
                <w:p w14:paraId="3F84389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除渣机</w:t>
                  </w:r>
                </w:p>
              </w:tc>
              <w:tc>
                <w:tcPr>
                  <w:tcW w:w="502" w:type="pct"/>
                  <w:noWrap w:val="0"/>
                  <w:tcMar>
                    <w:top w:w="15" w:type="dxa"/>
                    <w:left w:w="15" w:type="dxa"/>
                    <w:bottom w:w="0" w:type="dxa"/>
                    <w:right w:w="15" w:type="dxa"/>
                  </w:tcMar>
                  <w:vAlign w:val="center"/>
                </w:tcPr>
                <w:p w14:paraId="6B4F0B0F">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65</w:t>
                  </w:r>
                </w:p>
              </w:tc>
              <w:tc>
                <w:tcPr>
                  <w:tcW w:w="512" w:type="pct"/>
                  <w:noWrap w:val="0"/>
                  <w:tcMar>
                    <w:top w:w="15" w:type="dxa"/>
                    <w:left w:w="15" w:type="dxa"/>
                    <w:bottom w:w="0" w:type="dxa"/>
                    <w:right w:w="15" w:type="dxa"/>
                  </w:tcMar>
                  <w:vAlign w:val="center"/>
                </w:tcPr>
                <w:p w14:paraId="4484EB52">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584" w:type="pct"/>
                  <w:noWrap w:val="0"/>
                  <w:tcMar>
                    <w:top w:w="15" w:type="dxa"/>
                    <w:left w:w="15" w:type="dxa"/>
                    <w:bottom w:w="0" w:type="dxa"/>
                    <w:right w:w="15" w:type="dxa"/>
                  </w:tcMar>
                  <w:vAlign w:val="center"/>
                </w:tcPr>
                <w:p w14:paraId="137946D8">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b w:val="0"/>
                      <w:bCs/>
                      <w:color w:val="auto"/>
                      <w:spacing w:val="0"/>
                      <w:kern w:val="2"/>
                      <w:sz w:val="18"/>
                      <w:szCs w:val="18"/>
                      <w:highlight w:val="none"/>
                      <w:lang w:val="en-US" w:eastAsia="zh-CN" w:bidi="ar-SA"/>
                    </w:rPr>
                    <w:t>低噪声设备、厂房隔声</w:t>
                  </w:r>
                </w:p>
              </w:tc>
              <w:tc>
                <w:tcPr>
                  <w:tcW w:w="277" w:type="pct"/>
                  <w:noWrap/>
                  <w:tcMar>
                    <w:top w:w="15" w:type="dxa"/>
                    <w:left w:w="15" w:type="dxa"/>
                    <w:bottom w:w="0" w:type="dxa"/>
                    <w:right w:w="15" w:type="dxa"/>
                  </w:tcMar>
                  <w:vAlign w:val="center"/>
                </w:tcPr>
                <w:p w14:paraId="6DBA5F53">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15</w:t>
                  </w:r>
                </w:p>
              </w:tc>
              <w:tc>
                <w:tcPr>
                  <w:tcW w:w="257" w:type="pct"/>
                  <w:noWrap/>
                  <w:tcMar>
                    <w:top w:w="15" w:type="dxa"/>
                    <w:left w:w="15" w:type="dxa"/>
                    <w:bottom w:w="0" w:type="dxa"/>
                    <w:right w:w="15" w:type="dxa"/>
                  </w:tcMar>
                  <w:vAlign w:val="center"/>
                </w:tcPr>
                <w:p w14:paraId="2DA4F6F1">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72</w:t>
                  </w:r>
                </w:p>
              </w:tc>
              <w:tc>
                <w:tcPr>
                  <w:tcW w:w="407" w:type="pct"/>
                  <w:noWrap/>
                  <w:tcMar>
                    <w:top w:w="15" w:type="dxa"/>
                    <w:left w:w="15" w:type="dxa"/>
                    <w:bottom w:w="0" w:type="dxa"/>
                    <w:right w:w="15" w:type="dxa"/>
                  </w:tcMar>
                  <w:vAlign w:val="center"/>
                </w:tcPr>
                <w:p w14:paraId="62E7808E">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w:t>
                  </w:r>
                </w:p>
              </w:tc>
              <w:tc>
                <w:tcPr>
                  <w:tcW w:w="378" w:type="pct"/>
                  <w:noWrap w:val="0"/>
                  <w:tcMar>
                    <w:top w:w="15" w:type="dxa"/>
                    <w:left w:w="15" w:type="dxa"/>
                    <w:bottom w:w="0" w:type="dxa"/>
                    <w:right w:w="15" w:type="dxa"/>
                  </w:tcMar>
                  <w:vAlign w:val="center"/>
                </w:tcPr>
                <w:p w14:paraId="69A709BC">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w:t>
                  </w:r>
                </w:p>
              </w:tc>
              <w:tc>
                <w:tcPr>
                  <w:tcW w:w="422" w:type="pct"/>
                  <w:noWrap w:val="0"/>
                  <w:tcMar>
                    <w:top w:w="15" w:type="dxa"/>
                    <w:left w:w="15" w:type="dxa"/>
                    <w:bottom w:w="0" w:type="dxa"/>
                    <w:right w:w="15" w:type="dxa"/>
                  </w:tcMar>
                  <w:vAlign w:val="center"/>
                </w:tcPr>
                <w:p w14:paraId="10434253">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45</w:t>
                  </w:r>
                </w:p>
              </w:tc>
              <w:tc>
                <w:tcPr>
                  <w:tcW w:w="440" w:type="pct"/>
                  <w:noWrap w:val="0"/>
                  <w:tcMar>
                    <w:top w:w="15" w:type="dxa"/>
                    <w:left w:w="15" w:type="dxa"/>
                    <w:bottom w:w="0" w:type="dxa"/>
                    <w:right w:w="15" w:type="dxa"/>
                  </w:tcMar>
                  <w:vAlign w:val="center"/>
                </w:tcPr>
                <w:p w14:paraId="48B14A07">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lang w:val="en-US" w:eastAsia="zh-CN"/>
                    </w:rPr>
                    <w:t>1</w:t>
                  </w:r>
                </w:p>
              </w:tc>
              <w:tc>
                <w:tcPr>
                  <w:tcW w:w="432" w:type="pct"/>
                  <w:vMerge w:val="continue"/>
                  <w:noWrap w:val="0"/>
                  <w:vAlign w:val="center"/>
                </w:tcPr>
                <w:p w14:paraId="4C4A73D1">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default" w:ascii="Times New Roman" w:hAnsi="Times New Roman" w:eastAsia="仿宋" w:cs="Times New Roman"/>
                      <w:color w:val="auto"/>
                      <w:sz w:val="18"/>
                      <w:szCs w:val="18"/>
                      <w:highlight w:val="none"/>
                    </w:rPr>
                  </w:pPr>
                </w:p>
              </w:tc>
            </w:tr>
            <w:tr w14:paraId="29CE91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1" w:hRule="atLeast"/>
              </w:trPr>
              <w:tc>
                <w:tcPr>
                  <w:tcW w:w="281" w:type="pct"/>
                  <w:shd w:val="clear" w:color="auto" w:fill="auto"/>
                  <w:noWrap w:val="0"/>
                  <w:tcMar>
                    <w:top w:w="15" w:type="dxa"/>
                    <w:left w:w="15" w:type="dxa"/>
                    <w:bottom w:w="0" w:type="dxa"/>
                    <w:right w:w="15" w:type="dxa"/>
                  </w:tcMar>
                  <w:vAlign w:val="center"/>
                </w:tcPr>
                <w:p w14:paraId="57CB5F06">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eastAsia"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3</w:t>
                  </w:r>
                </w:p>
              </w:tc>
              <w:tc>
                <w:tcPr>
                  <w:tcW w:w="502" w:type="pct"/>
                  <w:noWrap w:val="0"/>
                  <w:tcMar>
                    <w:top w:w="15" w:type="dxa"/>
                    <w:left w:w="15" w:type="dxa"/>
                    <w:bottom w:w="0" w:type="dxa"/>
                    <w:right w:w="15" w:type="dxa"/>
                  </w:tcMar>
                  <w:vAlign w:val="center"/>
                </w:tcPr>
                <w:p w14:paraId="19556E8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cs="Times New Roman"/>
                      <w:color w:val="auto"/>
                      <w:kern w:val="0"/>
                      <w:sz w:val="18"/>
                      <w:szCs w:val="18"/>
                      <w:highlight w:val="none"/>
                      <w:lang w:val="en-US" w:eastAsia="zh-CN"/>
                    </w:rPr>
                  </w:pPr>
                  <w:r>
                    <w:rPr>
                      <w:rFonts w:hint="eastAsia" w:ascii="Times New Roman" w:hAnsi="Times New Roman" w:cs="Times New Roman"/>
                      <w:color w:val="auto"/>
                      <w:kern w:val="0"/>
                      <w:sz w:val="18"/>
                      <w:szCs w:val="18"/>
                      <w:highlight w:val="none"/>
                      <w:lang w:val="en-US" w:eastAsia="zh-CN"/>
                    </w:rPr>
                    <w:t>鼓风机</w:t>
                  </w:r>
                </w:p>
              </w:tc>
              <w:tc>
                <w:tcPr>
                  <w:tcW w:w="502" w:type="pct"/>
                  <w:noWrap w:val="0"/>
                  <w:tcMar>
                    <w:top w:w="15" w:type="dxa"/>
                    <w:left w:w="15" w:type="dxa"/>
                    <w:bottom w:w="0" w:type="dxa"/>
                    <w:right w:w="15" w:type="dxa"/>
                  </w:tcMar>
                  <w:vAlign w:val="center"/>
                </w:tcPr>
                <w:p w14:paraId="38205593">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80</w:t>
                  </w:r>
                </w:p>
              </w:tc>
              <w:tc>
                <w:tcPr>
                  <w:tcW w:w="512" w:type="pct"/>
                  <w:noWrap w:val="0"/>
                  <w:tcMar>
                    <w:top w:w="15" w:type="dxa"/>
                    <w:left w:w="15" w:type="dxa"/>
                    <w:bottom w:w="0" w:type="dxa"/>
                    <w:right w:w="15" w:type="dxa"/>
                  </w:tcMar>
                  <w:vAlign w:val="center"/>
                </w:tcPr>
                <w:p w14:paraId="0D29E0A1">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584" w:type="pct"/>
                  <w:shd w:val="clear" w:color="auto" w:fill="auto"/>
                  <w:noWrap w:val="0"/>
                  <w:tcMar>
                    <w:top w:w="15" w:type="dxa"/>
                    <w:left w:w="15" w:type="dxa"/>
                    <w:bottom w:w="0" w:type="dxa"/>
                    <w:right w:w="15" w:type="dxa"/>
                  </w:tcMar>
                  <w:vAlign w:val="center"/>
                </w:tcPr>
                <w:p w14:paraId="6F3147CE">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cs="Times New Roman"/>
                      <w:b w:val="0"/>
                      <w:bCs/>
                      <w:color w:val="auto"/>
                      <w:spacing w:val="0"/>
                      <w:kern w:val="2"/>
                      <w:sz w:val="18"/>
                      <w:szCs w:val="18"/>
                      <w:highlight w:val="none"/>
                      <w:lang w:val="en-US" w:eastAsia="zh-CN" w:bidi="ar-SA"/>
                    </w:rPr>
                    <w:t>低噪声设备、厂房隔声</w:t>
                  </w:r>
                </w:p>
              </w:tc>
              <w:tc>
                <w:tcPr>
                  <w:tcW w:w="277" w:type="pct"/>
                  <w:noWrap/>
                  <w:tcMar>
                    <w:top w:w="15" w:type="dxa"/>
                    <w:left w:w="15" w:type="dxa"/>
                    <w:bottom w:w="0" w:type="dxa"/>
                    <w:right w:w="15" w:type="dxa"/>
                  </w:tcMar>
                  <w:vAlign w:val="center"/>
                </w:tcPr>
                <w:p w14:paraId="6DF19116">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9</w:t>
                  </w:r>
                </w:p>
              </w:tc>
              <w:tc>
                <w:tcPr>
                  <w:tcW w:w="257" w:type="pct"/>
                  <w:noWrap/>
                  <w:tcMar>
                    <w:top w:w="15" w:type="dxa"/>
                    <w:left w:w="15" w:type="dxa"/>
                    <w:bottom w:w="0" w:type="dxa"/>
                    <w:right w:w="15" w:type="dxa"/>
                  </w:tcMar>
                  <w:vAlign w:val="center"/>
                </w:tcPr>
                <w:p w14:paraId="120254EF">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69</w:t>
                  </w:r>
                </w:p>
              </w:tc>
              <w:tc>
                <w:tcPr>
                  <w:tcW w:w="407" w:type="pct"/>
                  <w:noWrap/>
                  <w:tcMar>
                    <w:top w:w="15" w:type="dxa"/>
                    <w:left w:w="15" w:type="dxa"/>
                    <w:bottom w:w="0" w:type="dxa"/>
                    <w:right w:w="15" w:type="dxa"/>
                  </w:tcMar>
                  <w:vAlign w:val="center"/>
                </w:tcPr>
                <w:p w14:paraId="63F1B765">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w:t>
                  </w:r>
                </w:p>
              </w:tc>
              <w:tc>
                <w:tcPr>
                  <w:tcW w:w="378" w:type="pct"/>
                  <w:noWrap w:val="0"/>
                  <w:tcMar>
                    <w:top w:w="15" w:type="dxa"/>
                    <w:left w:w="15" w:type="dxa"/>
                    <w:bottom w:w="0" w:type="dxa"/>
                    <w:right w:w="15" w:type="dxa"/>
                  </w:tcMar>
                  <w:vAlign w:val="center"/>
                </w:tcPr>
                <w:p w14:paraId="320D5412">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w:t>
                  </w:r>
                </w:p>
              </w:tc>
              <w:tc>
                <w:tcPr>
                  <w:tcW w:w="422" w:type="pct"/>
                  <w:noWrap w:val="0"/>
                  <w:tcMar>
                    <w:top w:w="15" w:type="dxa"/>
                    <w:left w:w="15" w:type="dxa"/>
                    <w:bottom w:w="0" w:type="dxa"/>
                    <w:right w:w="15" w:type="dxa"/>
                  </w:tcMar>
                  <w:vAlign w:val="center"/>
                </w:tcPr>
                <w:p w14:paraId="5C998A79">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60</w:t>
                  </w:r>
                </w:p>
              </w:tc>
              <w:tc>
                <w:tcPr>
                  <w:tcW w:w="440" w:type="pct"/>
                  <w:noWrap w:val="0"/>
                  <w:tcMar>
                    <w:top w:w="15" w:type="dxa"/>
                    <w:left w:w="15" w:type="dxa"/>
                    <w:bottom w:w="0" w:type="dxa"/>
                    <w:right w:w="15" w:type="dxa"/>
                  </w:tcMar>
                  <w:vAlign w:val="center"/>
                </w:tcPr>
                <w:p w14:paraId="56A457FB">
                  <w:pPr>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432" w:type="pct"/>
                  <w:vMerge w:val="continue"/>
                  <w:noWrap w:val="0"/>
                  <w:vAlign w:val="center"/>
                </w:tcPr>
                <w:p w14:paraId="20F9F439">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default" w:ascii="Times New Roman" w:hAnsi="Times New Roman" w:eastAsia="仿宋" w:cs="Times New Roman"/>
                      <w:color w:val="auto"/>
                      <w:sz w:val="18"/>
                      <w:szCs w:val="18"/>
                      <w:highlight w:val="none"/>
                    </w:rPr>
                  </w:pPr>
                </w:p>
              </w:tc>
            </w:tr>
            <w:tr w14:paraId="5F7D6A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71" w:hRule="atLeast"/>
              </w:trPr>
              <w:tc>
                <w:tcPr>
                  <w:tcW w:w="281" w:type="pct"/>
                  <w:shd w:val="clear" w:color="auto" w:fill="auto"/>
                  <w:noWrap w:val="0"/>
                  <w:tcMar>
                    <w:top w:w="15" w:type="dxa"/>
                    <w:left w:w="15" w:type="dxa"/>
                    <w:bottom w:w="0" w:type="dxa"/>
                    <w:right w:w="15" w:type="dxa"/>
                  </w:tcMar>
                  <w:vAlign w:val="center"/>
                </w:tcPr>
                <w:p w14:paraId="21E37AAD">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color w:val="auto"/>
                      <w:sz w:val="18"/>
                      <w:szCs w:val="18"/>
                      <w:highlight w:val="none"/>
                      <w:lang w:val="en-US" w:eastAsia="zh-CN"/>
                    </w:rPr>
                    <w:t>4</w:t>
                  </w:r>
                </w:p>
              </w:tc>
              <w:tc>
                <w:tcPr>
                  <w:tcW w:w="502" w:type="pct"/>
                  <w:noWrap w:val="0"/>
                  <w:tcMar>
                    <w:top w:w="15" w:type="dxa"/>
                    <w:left w:w="15" w:type="dxa"/>
                    <w:bottom w:w="0" w:type="dxa"/>
                    <w:right w:w="15" w:type="dxa"/>
                  </w:tcMar>
                  <w:vAlign w:val="center"/>
                </w:tcPr>
                <w:p w14:paraId="03BACB2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输送机4</w:t>
                  </w:r>
                </w:p>
              </w:tc>
              <w:tc>
                <w:tcPr>
                  <w:tcW w:w="502" w:type="pct"/>
                  <w:noWrap w:val="0"/>
                  <w:tcMar>
                    <w:top w:w="15" w:type="dxa"/>
                    <w:left w:w="15" w:type="dxa"/>
                    <w:bottom w:w="0" w:type="dxa"/>
                    <w:right w:w="15" w:type="dxa"/>
                  </w:tcMar>
                  <w:vAlign w:val="center"/>
                </w:tcPr>
                <w:p w14:paraId="0BC6AD53">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eastAsia" w:ascii="Times New Roman" w:hAnsi="Times New Roman" w:cs="Times New Roman"/>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70</w:t>
                  </w:r>
                </w:p>
              </w:tc>
              <w:tc>
                <w:tcPr>
                  <w:tcW w:w="512" w:type="pct"/>
                  <w:noWrap w:val="0"/>
                  <w:tcMar>
                    <w:top w:w="15" w:type="dxa"/>
                    <w:left w:w="15" w:type="dxa"/>
                    <w:bottom w:w="0" w:type="dxa"/>
                    <w:right w:w="15" w:type="dxa"/>
                  </w:tcMar>
                  <w:vAlign w:val="center"/>
                </w:tcPr>
                <w:p w14:paraId="482053FA">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584" w:type="pct"/>
                  <w:shd w:val="clear" w:color="auto" w:fill="auto"/>
                  <w:noWrap w:val="0"/>
                  <w:tcMar>
                    <w:top w:w="15" w:type="dxa"/>
                    <w:left w:w="15" w:type="dxa"/>
                    <w:bottom w:w="0" w:type="dxa"/>
                    <w:right w:w="15" w:type="dxa"/>
                  </w:tcMar>
                  <w:vAlign w:val="center"/>
                </w:tcPr>
                <w:p w14:paraId="5AB9A1A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cs="Times New Roman"/>
                      <w:b w:val="0"/>
                      <w:bCs/>
                      <w:color w:val="auto"/>
                      <w:spacing w:val="0"/>
                      <w:kern w:val="2"/>
                      <w:sz w:val="18"/>
                      <w:szCs w:val="18"/>
                      <w:highlight w:val="none"/>
                      <w:lang w:val="en-US" w:eastAsia="zh-CN" w:bidi="ar-SA"/>
                    </w:rPr>
                    <w:t>低噪声设备、厂房隔声</w:t>
                  </w:r>
                </w:p>
              </w:tc>
              <w:tc>
                <w:tcPr>
                  <w:tcW w:w="277" w:type="pct"/>
                  <w:noWrap/>
                  <w:tcMar>
                    <w:top w:w="15" w:type="dxa"/>
                    <w:left w:w="15" w:type="dxa"/>
                    <w:bottom w:w="0" w:type="dxa"/>
                    <w:right w:w="15" w:type="dxa"/>
                  </w:tcMar>
                  <w:vAlign w:val="center"/>
                </w:tcPr>
                <w:p w14:paraId="0E06CD5C">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47</w:t>
                  </w:r>
                </w:p>
              </w:tc>
              <w:tc>
                <w:tcPr>
                  <w:tcW w:w="257" w:type="pct"/>
                  <w:noWrap/>
                  <w:tcMar>
                    <w:top w:w="15" w:type="dxa"/>
                    <w:left w:w="15" w:type="dxa"/>
                    <w:bottom w:w="0" w:type="dxa"/>
                    <w:right w:w="15" w:type="dxa"/>
                  </w:tcMar>
                  <w:vAlign w:val="center"/>
                </w:tcPr>
                <w:p w14:paraId="3E2DA9F5">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68</w:t>
                  </w:r>
                </w:p>
              </w:tc>
              <w:tc>
                <w:tcPr>
                  <w:tcW w:w="407" w:type="pct"/>
                  <w:noWrap/>
                  <w:tcMar>
                    <w:top w:w="15" w:type="dxa"/>
                    <w:left w:w="15" w:type="dxa"/>
                    <w:bottom w:w="0" w:type="dxa"/>
                    <w:right w:w="15" w:type="dxa"/>
                  </w:tcMar>
                  <w:vAlign w:val="center"/>
                </w:tcPr>
                <w:p w14:paraId="78C244ED">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w:t>
                  </w:r>
                </w:p>
              </w:tc>
              <w:tc>
                <w:tcPr>
                  <w:tcW w:w="378" w:type="pct"/>
                  <w:noWrap w:val="0"/>
                  <w:tcMar>
                    <w:top w:w="15" w:type="dxa"/>
                    <w:left w:w="15" w:type="dxa"/>
                    <w:bottom w:w="0" w:type="dxa"/>
                    <w:right w:w="15" w:type="dxa"/>
                  </w:tcMar>
                  <w:vAlign w:val="center"/>
                </w:tcPr>
                <w:p w14:paraId="08E5FED1">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w:t>
                  </w:r>
                </w:p>
              </w:tc>
              <w:tc>
                <w:tcPr>
                  <w:tcW w:w="422" w:type="pct"/>
                  <w:noWrap w:val="0"/>
                  <w:tcMar>
                    <w:top w:w="15" w:type="dxa"/>
                    <w:left w:w="15" w:type="dxa"/>
                    <w:bottom w:w="0" w:type="dxa"/>
                    <w:right w:w="15" w:type="dxa"/>
                  </w:tcMar>
                  <w:vAlign w:val="center"/>
                </w:tcPr>
                <w:p w14:paraId="5FDC51A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50</w:t>
                  </w:r>
                </w:p>
              </w:tc>
              <w:tc>
                <w:tcPr>
                  <w:tcW w:w="440" w:type="pct"/>
                  <w:noWrap w:val="0"/>
                  <w:tcMar>
                    <w:top w:w="15" w:type="dxa"/>
                    <w:left w:w="15" w:type="dxa"/>
                    <w:bottom w:w="0" w:type="dxa"/>
                    <w:right w:w="15" w:type="dxa"/>
                  </w:tcMar>
                  <w:vAlign w:val="center"/>
                </w:tcPr>
                <w:p w14:paraId="6A9DDCA0">
                  <w:pPr>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432" w:type="pct"/>
                  <w:vMerge w:val="continue"/>
                  <w:noWrap w:val="0"/>
                  <w:vAlign w:val="center"/>
                </w:tcPr>
                <w:p w14:paraId="692940FA">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default" w:ascii="Times New Roman" w:hAnsi="Times New Roman" w:eastAsia="仿宋" w:cs="Times New Roman"/>
                      <w:color w:val="auto"/>
                      <w:sz w:val="18"/>
                      <w:szCs w:val="18"/>
                      <w:highlight w:val="none"/>
                    </w:rPr>
                  </w:pPr>
                </w:p>
              </w:tc>
            </w:tr>
            <w:tr w14:paraId="7B92EA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1" w:hRule="atLeast"/>
              </w:trPr>
              <w:tc>
                <w:tcPr>
                  <w:tcW w:w="281" w:type="pct"/>
                  <w:shd w:val="clear" w:color="auto" w:fill="auto"/>
                  <w:noWrap w:val="0"/>
                  <w:tcMar>
                    <w:top w:w="15" w:type="dxa"/>
                    <w:left w:w="15" w:type="dxa"/>
                    <w:bottom w:w="0" w:type="dxa"/>
                    <w:right w:w="15" w:type="dxa"/>
                  </w:tcMar>
                  <w:vAlign w:val="center"/>
                </w:tcPr>
                <w:p w14:paraId="429674C6">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color w:val="auto"/>
                      <w:sz w:val="18"/>
                      <w:szCs w:val="18"/>
                      <w:highlight w:val="none"/>
                      <w:lang w:val="en-US" w:eastAsia="zh-CN"/>
                    </w:rPr>
                    <w:t>5</w:t>
                  </w:r>
                </w:p>
              </w:tc>
              <w:tc>
                <w:tcPr>
                  <w:tcW w:w="502" w:type="pct"/>
                  <w:noWrap w:val="0"/>
                  <w:tcMar>
                    <w:top w:w="15" w:type="dxa"/>
                    <w:left w:w="15" w:type="dxa"/>
                    <w:bottom w:w="0" w:type="dxa"/>
                    <w:right w:w="15" w:type="dxa"/>
                  </w:tcMar>
                  <w:vAlign w:val="center"/>
                </w:tcPr>
                <w:p w14:paraId="7358007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输送机5</w:t>
                  </w:r>
                </w:p>
              </w:tc>
              <w:tc>
                <w:tcPr>
                  <w:tcW w:w="502" w:type="pct"/>
                  <w:noWrap w:val="0"/>
                  <w:tcMar>
                    <w:top w:w="15" w:type="dxa"/>
                    <w:left w:w="15" w:type="dxa"/>
                    <w:bottom w:w="0" w:type="dxa"/>
                    <w:right w:w="15" w:type="dxa"/>
                  </w:tcMar>
                  <w:vAlign w:val="center"/>
                </w:tcPr>
                <w:p w14:paraId="47823336">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eastAsia" w:ascii="Times New Roman" w:hAnsi="Times New Roman" w:cs="Times New Roman"/>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70</w:t>
                  </w:r>
                </w:p>
              </w:tc>
              <w:tc>
                <w:tcPr>
                  <w:tcW w:w="512" w:type="pct"/>
                  <w:noWrap w:val="0"/>
                  <w:tcMar>
                    <w:top w:w="15" w:type="dxa"/>
                    <w:left w:w="15" w:type="dxa"/>
                    <w:bottom w:w="0" w:type="dxa"/>
                    <w:right w:w="15" w:type="dxa"/>
                  </w:tcMar>
                  <w:vAlign w:val="center"/>
                </w:tcPr>
                <w:p w14:paraId="7E278AAC">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584" w:type="pct"/>
                  <w:shd w:val="clear" w:color="auto" w:fill="auto"/>
                  <w:noWrap w:val="0"/>
                  <w:tcMar>
                    <w:top w:w="15" w:type="dxa"/>
                    <w:left w:w="15" w:type="dxa"/>
                    <w:bottom w:w="0" w:type="dxa"/>
                    <w:right w:w="15" w:type="dxa"/>
                  </w:tcMar>
                  <w:vAlign w:val="center"/>
                </w:tcPr>
                <w:p w14:paraId="0EF9B975">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cs="Times New Roman"/>
                      <w:b w:val="0"/>
                      <w:bCs/>
                      <w:color w:val="auto"/>
                      <w:spacing w:val="0"/>
                      <w:kern w:val="2"/>
                      <w:sz w:val="18"/>
                      <w:szCs w:val="18"/>
                      <w:highlight w:val="none"/>
                      <w:lang w:val="en-US" w:eastAsia="zh-CN" w:bidi="ar-SA"/>
                    </w:rPr>
                    <w:t>低噪声设备、厂房隔声</w:t>
                  </w:r>
                </w:p>
              </w:tc>
              <w:tc>
                <w:tcPr>
                  <w:tcW w:w="277" w:type="pct"/>
                  <w:noWrap/>
                  <w:tcMar>
                    <w:top w:w="15" w:type="dxa"/>
                    <w:left w:w="15" w:type="dxa"/>
                    <w:bottom w:w="0" w:type="dxa"/>
                    <w:right w:w="15" w:type="dxa"/>
                  </w:tcMar>
                  <w:vAlign w:val="center"/>
                </w:tcPr>
                <w:p w14:paraId="777772C7">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68</w:t>
                  </w:r>
                </w:p>
              </w:tc>
              <w:tc>
                <w:tcPr>
                  <w:tcW w:w="257" w:type="pct"/>
                  <w:noWrap/>
                  <w:tcMar>
                    <w:top w:w="15" w:type="dxa"/>
                    <w:left w:w="15" w:type="dxa"/>
                    <w:bottom w:w="0" w:type="dxa"/>
                    <w:right w:w="15" w:type="dxa"/>
                  </w:tcMar>
                  <w:vAlign w:val="center"/>
                </w:tcPr>
                <w:p w14:paraId="22F806C0">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68</w:t>
                  </w:r>
                </w:p>
              </w:tc>
              <w:tc>
                <w:tcPr>
                  <w:tcW w:w="407" w:type="pct"/>
                  <w:noWrap/>
                  <w:tcMar>
                    <w:top w:w="15" w:type="dxa"/>
                    <w:left w:w="15" w:type="dxa"/>
                    <w:bottom w:w="0" w:type="dxa"/>
                    <w:right w:w="15" w:type="dxa"/>
                  </w:tcMar>
                  <w:vAlign w:val="center"/>
                </w:tcPr>
                <w:p w14:paraId="56D81414">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w:t>
                  </w:r>
                </w:p>
              </w:tc>
              <w:tc>
                <w:tcPr>
                  <w:tcW w:w="378" w:type="pct"/>
                  <w:noWrap w:val="0"/>
                  <w:tcMar>
                    <w:top w:w="15" w:type="dxa"/>
                    <w:left w:w="15" w:type="dxa"/>
                    <w:bottom w:w="0" w:type="dxa"/>
                    <w:right w:w="15" w:type="dxa"/>
                  </w:tcMar>
                  <w:vAlign w:val="center"/>
                </w:tcPr>
                <w:p w14:paraId="61BB8C09">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w:t>
                  </w:r>
                </w:p>
              </w:tc>
              <w:tc>
                <w:tcPr>
                  <w:tcW w:w="422" w:type="pct"/>
                  <w:noWrap w:val="0"/>
                  <w:tcMar>
                    <w:top w:w="15" w:type="dxa"/>
                    <w:left w:w="15" w:type="dxa"/>
                    <w:bottom w:w="0" w:type="dxa"/>
                    <w:right w:w="15" w:type="dxa"/>
                  </w:tcMar>
                  <w:vAlign w:val="center"/>
                </w:tcPr>
                <w:p w14:paraId="40F8FC3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50</w:t>
                  </w:r>
                </w:p>
              </w:tc>
              <w:tc>
                <w:tcPr>
                  <w:tcW w:w="440" w:type="pct"/>
                  <w:noWrap w:val="0"/>
                  <w:tcMar>
                    <w:top w:w="15" w:type="dxa"/>
                    <w:left w:w="15" w:type="dxa"/>
                    <w:bottom w:w="0" w:type="dxa"/>
                    <w:right w:w="15" w:type="dxa"/>
                  </w:tcMar>
                  <w:vAlign w:val="center"/>
                </w:tcPr>
                <w:p w14:paraId="361C016A">
                  <w:pPr>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432" w:type="pct"/>
                  <w:vMerge w:val="continue"/>
                  <w:noWrap w:val="0"/>
                  <w:vAlign w:val="center"/>
                </w:tcPr>
                <w:p w14:paraId="28782986">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default" w:ascii="Times New Roman" w:hAnsi="Times New Roman" w:eastAsia="仿宋" w:cs="Times New Roman"/>
                      <w:color w:val="auto"/>
                      <w:sz w:val="18"/>
                      <w:szCs w:val="18"/>
                      <w:highlight w:val="none"/>
                    </w:rPr>
                  </w:pPr>
                </w:p>
              </w:tc>
            </w:tr>
            <w:tr w14:paraId="78C3FF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1" w:hRule="atLeast"/>
              </w:trPr>
              <w:tc>
                <w:tcPr>
                  <w:tcW w:w="281" w:type="pct"/>
                  <w:shd w:val="clear" w:color="auto" w:fill="auto"/>
                  <w:noWrap w:val="0"/>
                  <w:tcMar>
                    <w:top w:w="15" w:type="dxa"/>
                    <w:left w:w="15" w:type="dxa"/>
                    <w:bottom w:w="0" w:type="dxa"/>
                    <w:right w:w="15" w:type="dxa"/>
                  </w:tcMar>
                  <w:vAlign w:val="center"/>
                </w:tcPr>
                <w:p w14:paraId="4BF57E0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color w:val="auto"/>
                      <w:sz w:val="18"/>
                      <w:szCs w:val="18"/>
                      <w:highlight w:val="none"/>
                      <w:lang w:val="en-US" w:eastAsia="zh-CN"/>
                    </w:rPr>
                    <w:t>6</w:t>
                  </w:r>
                </w:p>
              </w:tc>
              <w:tc>
                <w:tcPr>
                  <w:tcW w:w="502" w:type="pct"/>
                  <w:noWrap w:val="0"/>
                  <w:tcMar>
                    <w:top w:w="15" w:type="dxa"/>
                    <w:left w:w="15" w:type="dxa"/>
                    <w:bottom w:w="0" w:type="dxa"/>
                    <w:right w:w="15" w:type="dxa"/>
                  </w:tcMar>
                  <w:vAlign w:val="center"/>
                </w:tcPr>
                <w:p w14:paraId="164EB60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输送机6</w:t>
                  </w:r>
                </w:p>
              </w:tc>
              <w:tc>
                <w:tcPr>
                  <w:tcW w:w="502" w:type="pct"/>
                  <w:noWrap w:val="0"/>
                  <w:tcMar>
                    <w:top w:w="15" w:type="dxa"/>
                    <w:left w:w="15" w:type="dxa"/>
                    <w:bottom w:w="0" w:type="dxa"/>
                    <w:right w:w="15" w:type="dxa"/>
                  </w:tcMar>
                  <w:vAlign w:val="center"/>
                </w:tcPr>
                <w:p w14:paraId="1DA08137">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eastAsia" w:ascii="Times New Roman" w:hAnsi="Times New Roman" w:cs="Times New Roman"/>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70</w:t>
                  </w:r>
                </w:p>
              </w:tc>
              <w:tc>
                <w:tcPr>
                  <w:tcW w:w="512" w:type="pct"/>
                  <w:noWrap w:val="0"/>
                  <w:tcMar>
                    <w:top w:w="15" w:type="dxa"/>
                    <w:left w:w="15" w:type="dxa"/>
                    <w:bottom w:w="0" w:type="dxa"/>
                    <w:right w:w="15" w:type="dxa"/>
                  </w:tcMar>
                  <w:vAlign w:val="center"/>
                </w:tcPr>
                <w:p w14:paraId="012763B9">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584" w:type="pct"/>
                  <w:shd w:val="clear" w:color="auto" w:fill="auto"/>
                  <w:noWrap w:val="0"/>
                  <w:tcMar>
                    <w:top w:w="15" w:type="dxa"/>
                    <w:left w:w="15" w:type="dxa"/>
                    <w:bottom w:w="0" w:type="dxa"/>
                    <w:right w:w="15" w:type="dxa"/>
                  </w:tcMar>
                  <w:vAlign w:val="center"/>
                </w:tcPr>
                <w:p w14:paraId="2032AE92">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cs="Times New Roman"/>
                      <w:b w:val="0"/>
                      <w:bCs/>
                      <w:color w:val="auto"/>
                      <w:spacing w:val="0"/>
                      <w:kern w:val="2"/>
                      <w:sz w:val="18"/>
                      <w:szCs w:val="18"/>
                      <w:highlight w:val="none"/>
                      <w:lang w:val="en-US" w:eastAsia="zh-CN" w:bidi="ar-SA"/>
                    </w:rPr>
                    <w:t>低噪声设备、厂房隔声</w:t>
                  </w:r>
                </w:p>
              </w:tc>
              <w:tc>
                <w:tcPr>
                  <w:tcW w:w="277" w:type="pct"/>
                  <w:noWrap/>
                  <w:tcMar>
                    <w:top w:w="15" w:type="dxa"/>
                    <w:left w:w="15" w:type="dxa"/>
                    <w:bottom w:w="0" w:type="dxa"/>
                    <w:right w:w="15" w:type="dxa"/>
                  </w:tcMar>
                  <w:vAlign w:val="center"/>
                </w:tcPr>
                <w:p w14:paraId="24DBBC40">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-7</w:t>
                  </w:r>
                </w:p>
              </w:tc>
              <w:tc>
                <w:tcPr>
                  <w:tcW w:w="257" w:type="pct"/>
                  <w:noWrap/>
                  <w:tcMar>
                    <w:top w:w="15" w:type="dxa"/>
                    <w:left w:w="15" w:type="dxa"/>
                    <w:bottom w:w="0" w:type="dxa"/>
                    <w:right w:w="15" w:type="dxa"/>
                  </w:tcMar>
                  <w:vAlign w:val="center"/>
                </w:tcPr>
                <w:p w14:paraId="35C83D34">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59</w:t>
                  </w:r>
                </w:p>
              </w:tc>
              <w:tc>
                <w:tcPr>
                  <w:tcW w:w="407" w:type="pct"/>
                  <w:noWrap/>
                  <w:tcMar>
                    <w:top w:w="15" w:type="dxa"/>
                    <w:left w:w="15" w:type="dxa"/>
                    <w:bottom w:w="0" w:type="dxa"/>
                    <w:right w:w="15" w:type="dxa"/>
                  </w:tcMar>
                  <w:vAlign w:val="center"/>
                </w:tcPr>
                <w:p w14:paraId="112B1B48">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w:t>
                  </w:r>
                </w:p>
              </w:tc>
              <w:tc>
                <w:tcPr>
                  <w:tcW w:w="378" w:type="pct"/>
                  <w:noWrap w:val="0"/>
                  <w:tcMar>
                    <w:top w:w="15" w:type="dxa"/>
                    <w:left w:w="15" w:type="dxa"/>
                    <w:bottom w:w="0" w:type="dxa"/>
                    <w:right w:w="15" w:type="dxa"/>
                  </w:tcMar>
                  <w:vAlign w:val="center"/>
                </w:tcPr>
                <w:p w14:paraId="2A76EFB6">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w:t>
                  </w:r>
                </w:p>
              </w:tc>
              <w:tc>
                <w:tcPr>
                  <w:tcW w:w="422" w:type="pct"/>
                  <w:noWrap w:val="0"/>
                  <w:tcMar>
                    <w:top w:w="15" w:type="dxa"/>
                    <w:left w:w="15" w:type="dxa"/>
                    <w:bottom w:w="0" w:type="dxa"/>
                    <w:right w:w="15" w:type="dxa"/>
                  </w:tcMar>
                  <w:vAlign w:val="center"/>
                </w:tcPr>
                <w:p w14:paraId="1BDC82A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50</w:t>
                  </w:r>
                </w:p>
              </w:tc>
              <w:tc>
                <w:tcPr>
                  <w:tcW w:w="440" w:type="pct"/>
                  <w:noWrap w:val="0"/>
                  <w:tcMar>
                    <w:top w:w="15" w:type="dxa"/>
                    <w:left w:w="15" w:type="dxa"/>
                    <w:bottom w:w="0" w:type="dxa"/>
                    <w:right w:w="15" w:type="dxa"/>
                  </w:tcMar>
                  <w:vAlign w:val="center"/>
                </w:tcPr>
                <w:p w14:paraId="5467F6A4">
                  <w:pPr>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432" w:type="pct"/>
                  <w:vMerge w:val="continue"/>
                  <w:noWrap w:val="0"/>
                  <w:vAlign w:val="center"/>
                </w:tcPr>
                <w:p w14:paraId="401B9F3E">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default" w:ascii="Times New Roman" w:hAnsi="Times New Roman" w:eastAsia="仿宋" w:cs="Times New Roman"/>
                      <w:color w:val="auto"/>
                      <w:sz w:val="18"/>
                      <w:szCs w:val="18"/>
                      <w:highlight w:val="none"/>
                    </w:rPr>
                  </w:pPr>
                </w:p>
              </w:tc>
            </w:tr>
            <w:tr w14:paraId="0880C6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1" w:hRule="atLeast"/>
              </w:trPr>
              <w:tc>
                <w:tcPr>
                  <w:tcW w:w="281" w:type="pct"/>
                  <w:shd w:val="clear" w:color="auto" w:fill="auto"/>
                  <w:noWrap w:val="0"/>
                  <w:tcMar>
                    <w:top w:w="15" w:type="dxa"/>
                    <w:left w:w="15" w:type="dxa"/>
                    <w:bottom w:w="0" w:type="dxa"/>
                    <w:right w:w="15" w:type="dxa"/>
                  </w:tcMar>
                  <w:vAlign w:val="center"/>
                </w:tcPr>
                <w:p w14:paraId="3BEED689">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color w:val="auto"/>
                      <w:sz w:val="18"/>
                      <w:szCs w:val="18"/>
                      <w:highlight w:val="none"/>
                      <w:lang w:val="en-US" w:eastAsia="zh-CN"/>
                    </w:rPr>
                    <w:t>7</w:t>
                  </w:r>
                </w:p>
              </w:tc>
              <w:tc>
                <w:tcPr>
                  <w:tcW w:w="502" w:type="pct"/>
                  <w:noWrap w:val="0"/>
                  <w:tcMar>
                    <w:top w:w="15" w:type="dxa"/>
                    <w:left w:w="15" w:type="dxa"/>
                    <w:bottom w:w="0" w:type="dxa"/>
                    <w:right w:w="15" w:type="dxa"/>
                  </w:tcMar>
                  <w:vAlign w:val="center"/>
                </w:tcPr>
                <w:p w14:paraId="4FFC99A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输送机7</w:t>
                  </w:r>
                </w:p>
              </w:tc>
              <w:tc>
                <w:tcPr>
                  <w:tcW w:w="502" w:type="pct"/>
                  <w:noWrap w:val="0"/>
                  <w:tcMar>
                    <w:top w:w="15" w:type="dxa"/>
                    <w:left w:w="15" w:type="dxa"/>
                    <w:bottom w:w="0" w:type="dxa"/>
                    <w:right w:w="15" w:type="dxa"/>
                  </w:tcMar>
                  <w:vAlign w:val="center"/>
                </w:tcPr>
                <w:p w14:paraId="4000FD04">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eastAsia" w:ascii="Times New Roman" w:hAnsi="Times New Roman" w:cs="Times New Roman"/>
                      <w:color w:val="auto"/>
                      <w:sz w:val="18"/>
                      <w:szCs w:val="18"/>
                      <w:highlight w:val="none"/>
                      <w:lang w:val="en-US" w:eastAsia="zh-CN"/>
                    </w:rPr>
                  </w:pPr>
                  <w:r>
                    <w:rPr>
                      <w:rFonts w:hint="default" w:ascii="Times New Roman" w:hAnsi="Times New Roman" w:cs="Times New Roman"/>
                      <w:color w:val="auto"/>
                      <w:spacing w:val="0"/>
                      <w:sz w:val="18"/>
                      <w:szCs w:val="18"/>
                      <w:highlight w:val="none"/>
                      <w:lang w:val="en-US" w:eastAsia="zh-CN"/>
                    </w:rPr>
                    <w:t>70</w:t>
                  </w:r>
                </w:p>
              </w:tc>
              <w:tc>
                <w:tcPr>
                  <w:tcW w:w="512" w:type="pct"/>
                  <w:noWrap w:val="0"/>
                  <w:tcMar>
                    <w:top w:w="15" w:type="dxa"/>
                    <w:left w:w="15" w:type="dxa"/>
                    <w:bottom w:w="0" w:type="dxa"/>
                    <w:right w:w="15" w:type="dxa"/>
                  </w:tcMar>
                  <w:vAlign w:val="center"/>
                </w:tcPr>
                <w:p w14:paraId="390AB08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584" w:type="pct"/>
                  <w:shd w:val="clear" w:color="auto" w:fill="auto"/>
                  <w:noWrap w:val="0"/>
                  <w:tcMar>
                    <w:top w:w="15" w:type="dxa"/>
                    <w:left w:w="15" w:type="dxa"/>
                    <w:bottom w:w="0" w:type="dxa"/>
                    <w:right w:w="15" w:type="dxa"/>
                  </w:tcMar>
                  <w:vAlign w:val="center"/>
                </w:tcPr>
                <w:p w14:paraId="41CD7891">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cs="Times New Roman"/>
                      <w:b w:val="0"/>
                      <w:bCs/>
                      <w:color w:val="auto"/>
                      <w:spacing w:val="0"/>
                      <w:kern w:val="2"/>
                      <w:sz w:val="18"/>
                      <w:szCs w:val="18"/>
                      <w:highlight w:val="none"/>
                      <w:lang w:val="en-US" w:eastAsia="zh-CN" w:bidi="ar-SA"/>
                    </w:rPr>
                    <w:t>低噪声设备、厂房隔声</w:t>
                  </w:r>
                </w:p>
              </w:tc>
              <w:tc>
                <w:tcPr>
                  <w:tcW w:w="277" w:type="pct"/>
                  <w:noWrap/>
                  <w:tcMar>
                    <w:top w:w="15" w:type="dxa"/>
                    <w:left w:w="15" w:type="dxa"/>
                    <w:bottom w:w="0" w:type="dxa"/>
                    <w:right w:w="15" w:type="dxa"/>
                  </w:tcMar>
                  <w:vAlign w:val="center"/>
                </w:tcPr>
                <w:p w14:paraId="574394FD">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-9</w:t>
                  </w:r>
                </w:p>
              </w:tc>
              <w:tc>
                <w:tcPr>
                  <w:tcW w:w="257" w:type="pct"/>
                  <w:noWrap/>
                  <w:tcMar>
                    <w:top w:w="15" w:type="dxa"/>
                    <w:left w:w="15" w:type="dxa"/>
                    <w:bottom w:w="0" w:type="dxa"/>
                    <w:right w:w="15" w:type="dxa"/>
                  </w:tcMar>
                  <w:vAlign w:val="center"/>
                </w:tcPr>
                <w:p w14:paraId="2A618B71">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68</w:t>
                  </w:r>
                </w:p>
              </w:tc>
              <w:tc>
                <w:tcPr>
                  <w:tcW w:w="407" w:type="pct"/>
                  <w:noWrap/>
                  <w:tcMar>
                    <w:top w:w="15" w:type="dxa"/>
                    <w:left w:w="15" w:type="dxa"/>
                    <w:bottom w:w="0" w:type="dxa"/>
                    <w:right w:w="15" w:type="dxa"/>
                  </w:tcMar>
                  <w:vAlign w:val="center"/>
                </w:tcPr>
                <w:p w14:paraId="6CF436CD">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w:t>
                  </w:r>
                </w:p>
              </w:tc>
              <w:tc>
                <w:tcPr>
                  <w:tcW w:w="378" w:type="pct"/>
                  <w:noWrap w:val="0"/>
                  <w:tcMar>
                    <w:top w:w="15" w:type="dxa"/>
                    <w:left w:w="15" w:type="dxa"/>
                    <w:bottom w:w="0" w:type="dxa"/>
                    <w:right w:w="15" w:type="dxa"/>
                  </w:tcMar>
                  <w:vAlign w:val="center"/>
                </w:tcPr>
                <w:p w14:paraId="61D74DA7">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20</w:t>
                  </w:r>
                </w:p>
              </w:tc>
              <w:tc>
                <w:tcPr>
                  <w:tcW w:w="422" w:type="pct"/>
                  <w:noWrap w:val="0"/>
                  <w:tcMar>
                    <w:top w:w="15" w:type="dxa"/>
                    <w:left w:w="15" w:type="dxa"/>
                    <w:bottom w:w="0" w:type="dxa"/>
                    <w:right w:w="15" w:type="dxa"/>
                  </w:tcMar>
                  <w:vAlign w:val="center"/>
                </w:tcPr>
                <w:p w14:paraId="56E29FFF">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50</w:t>
                  </w:r>
                </w:p>
              </w:tc>
              <w:tc>
                <w:tcPr>
                  <w:tcW w:w="440" w:type="pct"/>
                  <w:noWrap w:val="0"/>
                  <w:tcMar>
                    <w:top w:w="15" w:type="dxa"/>
                    <w:left w:w="15" w:type="dxa"/>
                    <w:bottom w:w="0" w:type="dxa"/>
                    <w:right w:w="15" w:type="dxa"/>
                  </w:tcMar>
                  <w:vAlign w:val="center"/>
                </w:tcPr>
                <w:p w14:paraId="516F1ABF">
                  <w:pPr>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432" w:type="pct"/>
                  <w:vMerge w:val="continue"/>
                  <w:noWrap w:val="0"/>
                  <w:vAlign w:val="center"/>
                </w:tcPr>
                <w:p w14:paraId="6DE83839">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textAlignment w:val="auto"/>
                    <w:rPr>
                      <w:rFonts w:hint="default" w:ascii="Times New Roman" w:hAnsi="Times New Roman" w:eastAsia="仿宋" w:cs="Times New Roman"/>
                      <w:color w:val="auto"/>
                      <w:sz w:val="18"/>
                      <w:szCs w:val="18"/>
                      <w:highlight w:val="none"/>
                    </w:rPr>
                  </w:pPr>
                </w:p>
              </w:tc>
            </w:tr>
          </w:tbl>
          <w:p w14:paraId="0CBD52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表4-8  噪声污染源</w:t>
            </w:r>
            <w:r>
              <w:rPr>
                <w:rFonts w:hint="eastAsia" w:ascii="Times New Roman" w:hAnsi="Times New Roman" w:cs="Times New Roman"/>
                <w:b/>
                <w:bCs/>
                <w:color w:val="auto"/>
                <w:highlight w:val="none"/>
                <w:lang w:val="en-US" w:eastAsia="zh-CN"/>
              </w:rPr>
              <w:t>（室外）</w:t>
            </w:r>
            <w:r>
              <w:rPr>
                <w:rFonts w:hint="default" w:ascii="Times New Roman" w:hAnsi="Times New Roman" w:cs="Times New Roman"/>
                <w:b/>
                <w:bCs/>
                <w:color w:val="auto"/>
                <w:highlight w:val="none"/>
                <w:lang w:val="en-US" w:eastAsia="zh-CN"/>
              </w:rPr>
              <w:t>源强核算结果及相关参数一览表</w:t>
            </w:r>
          </w:p>
          <w:tbl>
            <w:tblPr>
              <w:tblStyle w:val="3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09"/>
              <w:gridCol w:w="1015"/>
              <w:gridCol w:w="446"/>
              <w:gridCol w:w="446"/>
              <w:gridCol w:w="446"/>
              <w:gridCol w:w="1040"/>
              <w:gridCol w:w="1138"/>
              <w:gridCol w:w="1107"/>
              <w:gridCol w:w="994"/>
              <w:gridCol w:w="944"/>
            </w:tblGrid>
            <w:tr w14:paraId="7B6D65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314" w:type="pct"/>
                  <w:vMerge w:val="restart"/>
                  <w:noWrap w:val="0"/>
                  <w:tcMar>
                    <w:top w:w="15" w:type="dxa"/>
                    <w:left w:w="15" w:type="dxa"/>
                    <w:bottom w:w="0" w:type="dxa"/>
                    <w:right w:w="15" w:type="dxa"/>
                  </w:tcMar>
                  <w:vAlign w:val="center"/>
                </w:tcPr>
                <w:p w14:paraId="3F08A627">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序号</w:t>
                  </w:r>
                </w:p>
              </w:tc>
              <w:tc>
                <w:tcPr>
                  <w:tcW w:w="628" w:type="pct"/>
                  <w:vMerge w:val="restart"/>
                  <w:noWrap w:val="0"/>
                  <w:tcMar>
                    <w:top w:w="15" w:type="dxa"/>
                    <w:left w:w="15" w:type="dxa"/>
                    <w:bottom w:w="0" w:type="dxa"/>
                    <w:right w:w="15" w:type="dxa"/>
                  </w:tcMar>
                  <w:vAlign w:val="center"/>
                </w:tcPr>
                <w:p w14:paraId="5FD15D45">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声源名称</w:t>
                  </w:r>
                </w:p>
              </w:tc>
              <w:tc>
                <w:tcPr>
                  <w:tcW w:w="828" w:type="pct"/>
                  <w:gridSpan w:val="3"/>
                  <w:noWrap w:val="0"/>
                  <w:vAlign w:val="center"/>
                </w:tcPr>
                <w:p w14:paraId="7F752238">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空间相对位置/m</w:t>
                  </w:r>
                </w:p>
              </w:tc>
              <w:tc>
                <w:tcPr>
                  <w:tcW w:w="1346" w:type="pct"/>
                  <w:gridSpan w:val="2"/>
                  <w:noWrap w:val="0"/>
                  <w:tcMar>
                    <w:top w:w="15" w:type="dxa"/>
                    <w:left w:w="15" w:type="dxa"/>
                    <w:bottom w:w="0" w:type="dxa"/>
                    <w:right w:w="15" w:type="dxa"/>
                  </w:tcMar>
                  <w:vAlign w:val="center"/>
                </w:tcPr>
                <w:p w14:paraId="71DD9F54">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声源源强</w:t>
                  </w:r>
                </w:p>
              </w:tc>
              <w:tc>
                <w:tcPr>
                  <w:tcW w:w="1298" w:type="pct"/>
                  <w:gridSpan w:val="2"/>
                  <w:noWrap w:val="0"/>
                  <w:tcMar>
                    <w:top w:w="15" w:type="dxa"/>
                    <w:left w:w="15" w:type="dxa"/>
                    <w:bottom w:w="0" w:type="dxa"/>
                    <w:right w:w="15" w:type="dxa"/>
                  </w:tcMar>
                  <w:vAlign w:val="center"/>
                </w:tcPr>
                <w:p w14:paraId="7A7EF3B8">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声源控制措施</w:t>
                  </w:r>
                </w:p>
              </w:tc>
              <w:tc>
                <w:tcPr>
                  <w:tcW w:w="584" w:type="pct"/>
                  <w:vMerge w:val="restart"/>
                  <w:noWrap w:val="0"/>
                  <w:vAlign w:val="center"/>
                </w:tcPr>
                <w:p w14:paraId="5B2A036C">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持续时间（h/a）</w:t>
                  </w:r>
                </w:p>
              </w:tc>
            </w:tr>
            <w:tr w14:paraId="621ADE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314" w:type="pct"/>
                  <w:vMerge w:val="continue"/>
                  <w:noWrap w:val="0"/>
                  <w:vAlign w:val="center"/>
                </w:tcPr>
                <w:p w14:paraId="5C8959D9">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p>
              </w:tc>
              <w:tc>
                <w:tcPr>
                  <w:tcW w:w="628" w:type="pct"/>
                  <w:vMerge w:val="continue"/>
                  <w:noWrap w:val="0"/>
                  <w:vAlign w:val="center"/>
                </w:tcPr>
                <w:p w14:paraId="63D4E0A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p>
              </w:tc>
              <w:tc>
                <w:tcPr>
                  <w:tcW w:w="276" w:type="pct"/>
                  <w:noWrap w:val="0"/>
                  <w:vAlign w:val="center"/>
                </w:tcPr>
                <w:p w14:paraId="21B8A42C">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X</w:t>
                  </w:r>
                </w:p>
              </w:tc>
              <w:tc>
                <w:tcPr>
                  <w:tcW w:w="276" w:type="pct"/>
                  <w:noWrap w:val="0"/>
                  <w:vAlign w:val="center"/>
                </w:tcPr>
                <w:p w14:paraId="204983EC">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Y</w:t>
                  </w:r>
                </w:p>
              </w:tc>
              <w:tc>
                <w:tcPr>
                  <w:tcW w:w="276" w:type="pct"/>
                  <w:noWrap w:val="0"/>
                  <w:vAlign w:val="center"/>
                </w:tcPr>
                <w:p w14:paraId="78ECB6A9">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Z</w:t>
                  </w:r>
                </w:p>
              </w:tc>
              <w:tc>
                <w:tcPr>
                  <w:tcW w:w="642" w:type="pct"/>
                  <w:noWrap w:val="0"/>
                  <w:tcMar>
                    <w:top w:w="15" w:type="dxa"/>
                    <w:left w:w="15" w:type="dxa"/>
                    <w:bottom w:w="0" w:type="dxa"/>
                    <w:right w:w="15" w:type="dxa"/>
                  </w:tcMar>
                  <w:vAlign w:val="center"/>
                </w:tcPr>
                <w:p w14:paraId="77126AD4">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声压级</w:t>
                  </w:r>
                </w:p>
                <w:p w14:paraId="52B0118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/dB（A）</w:t>
                  </w:r>
                </w:p>
              </w:tc>
              <w:tc>
                <w:tcPr>
                  <w:tcW w:w="703" w:type="pct"/>
                  <w:noWrap w:val="0"/>
                  <w:tcMar>
                    <w:top w:w="15" w:type="dxa"/>
                    <w:left w:w="15" w:type="dxa"/>
                    <w:bottom w:w="0" w:type="dxa"/>
                    <w:right w:w="15" w:type="dxa"/>
                  </w:tcMar>
                  <w:vAlign w:val="center"/>
                </w:tcPr>
                <w:p w14:paraId="342238F8">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距声源距离/m</w:t>
                  </w:r>
                </w:p>
              </w:tc>
              <w:tc>
                <w:tcPr>
                  <w:tcW w:w="684" w:type="pct"/>
                  <w:noWrap w:val="0"/>
                  <w:vAlign w:val="center"/>
                </w:tcPr>
                <w:p w14:paraId="3FD67788">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工艺</w:t>
                  </w:r>
                </w:p>
              </w:tc>
              <w:tc>
                <w:tcPr>
                  <w:tcW w:w="614" w:type="pct"/>
                  <w:noWrap w:val="0"/>
                  <w:vAlign w:val="center"/>
                </w:tcPr>
                <w:p w14:paraId="7F1D8E4C">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降噪效果</w:t>
                  </w:r>
                </w:p>
                <w:p w14:paraId="6DCB43E5">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/dB（A）</w:t>
                  </w:r>
                </w:p>
              </w:tc>
              <w:tc>
                <w:tcPr>
                  <w:tcW w:w="584" w:type="pct"/>
                  <w:vMerge w:val="continue"/>
                  <w:noWrap w:val="0"/>
                  <w:vAlign w:val="center"/>
                </w:tcPr>
                <w:p w14:paraId="074B7AE3">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ascii="Times New Roman" w:hAnsi="Times New Roman" w:eastAsia="宋体" w:cs="Times New Roman"/>
                      <w:color w:val="auto"/>
                      <w:sz w:val="18"/>
                      <w:szCs w:val="18"/>
                      <w:highlight w:val="none"/>
                    </w:rPr>
                  </w:pPr>
                </w:p>
              </w:tc>
            </w:tr>
            <w:tr w14:paraId="323BF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314" w:type="pct"/>
                  <w:shd w:val="clear" w:color="auto" w:fill="auto"/>
                  <w:noWrap w:val="0"/>
                  <w:tcMar>
                    <w:top w:w="15" w:type="dxa"/>
                    <w:left w:w="15" w:type="dxa"/>
                    <w:bottom w:w="0" w:type="dxa"/>
                    <w:right w:w="15" w:type="dxa"/>
                  </w:tcMar>
                  <w:vAlign w:val="center"/>
                </w:tcPr>
                <w:p w14:paraId="6C4A74D4">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w:t>
                  </w:r>
                </w:p>
              </w:tc>
              <w:tc>
                <w:tcPr>
                  <w:tcW w:w="628" w:type="pct"/>
                  <w:shd w:val="clear" w:color="auto" w:fill="auto"/>
                  <w:noWrap w:val="0"/>
                  <w:tcMar>
                    <w:top w:w="15" w:type="dxa"/>
                    <w:left w:w="15" w:type="dxa"/>
                    <w:bottom w:w="0" w:type="dxa"/>
                    <w:right w:w="15" w:type="dxa"/>
                  </w:tcMar>
                  <w:vAlign w:val="center"/>
                </w:tcPr>
                <w:p w14:paraId="4FFC56D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初清筛</w:t>
                  </w:r>
                </w:p>
              </w:tc>
              <w:tc>
                <w:tcPr>
                  <w:tcW w:w="276" w:type="pct"/>
                  <w:shd w:val="clear" w:color="auto" w:fill="auto"/>
                  <w:noWrap w:val="0"/>
                  <w:vAlign w:val="center"/>
                </w:tcPr>
                <w:p w14:paraId="3F5AA5C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16</w:t>
                  </w:r>
                </w:p>
              </w:tc>
              <w:tc>
                <w:tcPr>
                  <w:tcW w:w="276" w:type="pct"/>
                  <w:shd w:val="clear" w:color="auto" w:fill="auto"/>
                  <w:noWrap w:val="0"/>
                  <w:vAlign w:val="center"/>
                </w:tcPr>
                <w:p w14:paraId="0F26EE4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53</w:t>
                  </w:r>
                </w:p>
              </w:tc>
              <w:tc>
                <w:tcPr>
                  <w:tcW w:w="276" w:type="pct"/>
                  <w:shd w:val="clear" w:color="auto" w:fill="auto"/>
                  <w:noWrap w:val="0"/>
                  <w:vAlign w:val="center"/>
                </w:tcPr>
                <w:p w14:paraId="236A152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642" w:type="pct"/>
                  <w:shd w:val="clear" w:color="auto" w:fill="auto"/>
                  <w:noWrap w:val="0"/>
                  <w:tcMar>
                    <w:top w:w="15" w:type="dxa"/>
                    <w:left w:w="15" w:type="dxa"/>
                    <w:bottom w:w="0" w:type="dxa"/>
                    <w:right w:w="15" w:type="dxa"/>
                  </w:tcMar>
                  <w:vAlign w:val="center"/>
                </w:tcPr>
                <w:p w14:paraId="1046F623">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75</w:t>
                  </w:r>
                </w:p>
              </w:tc>
              <w:tc>
                <w:tcPr>
                  <w:tcW w:w="703" w:type="pct"/>
                  <w:shd w:val="clear" w:color="auto" w:fill="auto"/>
                  <w:noWrap w:val="0"/>
                  <w:tcMar>
                    <w:top w:w="15" w:type="dxa"/>
                    <w:left w:w="15" w:type="dxa"/>
                    <w:bottom w:w="0" w:type="dxa"/>
                    <w:right w:w="15" w:type="dxa"/>
                  </w:tcMar>
                  <w:vAlign w:val="center"/>
                </w:tcPr>
                <w:p w14:paraId="0179C8A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684" w:type="pct"/>
                  <w:vMerge w:val="restart"/>
                  <w:shd w:val="clear" w:color="auto" w:fill="auto"/>
                  <w:noWrap w:val="0"/>
                  <w:tcMar>
                    <w:top w:w="15" w:type="dxa"/>
                    <w:left w:w="15" w:type="dxa"/>
                    <w:bottom w:w="0" w:type="dxa"/>
                    <w:right w:w="15" w:type="dxa"/>
                  </w:tcMar>
                  <w:vAlign w:val="center"/>
                </w:tcPr>
                <w:p w14:paraId="41DB1BE8">
                  <w:pPr>
                    <w:keepNext w:val="0"/>
                    <w:keepLines w:val="0"/>
                    <w:widowControl/>
                    <w:suppressLineNumbers w:val="0"/>
                    <w:spacing w:before="0" w:beforeAutospacing="0" w:after="0" w:afterAutospacing="0"/>
                    <w:ind w:left="0" w:right="0"/>
                    <w:jc w:val="left"/>
                    <w:rPr>
                      <w:rFonts w:hint="eastAsia" w:ascii="Times New Roman" w:hAnsi="Times New Roman" w:eastAsia="宋体" w:cs="Times New Roman"/>
                      <w:b w:val="0"/>
                      <w:bCs/>
                      <w:color w:val="auto"/>
                      <w:kern w:val="2"/>
                      <w:sz w:val="18"/>
                      <w:szCs w:val="18"/>
                      <w:highlight w:val="none"/>
                      <w:lang w:val="en-US" w:eastAsia="zh-CN" w:bidi="ar-SA"/>
                    </w:rPr>
                  </w:pPr>
                  <w:r>
                    <w:rPr>
                      <w:rFonts w:hint="eastAsia" w:ascii="Times New Roman" w:hAnsi="Times New Roman" w:eastAsia="宋体" w:cs="Times New Roman"/>
                      <w:b w:val="0"/>
                      <w:bCs/>
                      <w:color w:val="auto"/>
                      <w:kern w:val="2"/>
                      <w:sz w:val="18"/>
                      <w:szCs w:val="18"/>
                      <w:highlight w:val="none"/>
                      <w:lang w:val="en-US" w:eastAsia="zh-CN" w:bidi="ar-SA"/>
                    </w:rPr>
                    <w:t>低噪声设备、基础减振，</w:t>
                  </w:r>
                  <w:r>
                    <w:rPr>
                      <w:rFonts w:hint="default" w:ascii="Times New Roman" w:hAnsi="Times New Roman" w:eastAsia="宋体" w:cs="Times New Roman"/>
                      <w:b w:val="0"/>
                      <w:bCs/>
                      <w:color w:val="auto"/>
                      <w:kern w:val="2"/>
                      <w:sz w:val="18"/>
                      <w:szCs w:val="18"/>
                      <w:highlight w:val="none"/>
                      <w:lang w:val="en-US" w:eastAsia="zh-CN" w:bidi="ar-SA"/>
                    </w:rPr>
                    <w:t>隔声、安装消声设施等</w:t>
                  </w:r>
                  <w:r>
                    <w:rPr>
                      <w:rFonts w:hint="eastAsia" w:cs="Times New Roman"/>
                      <w:b w:val="0"/>
                      <w:bCs/>
                      <w:color w:val="auto"/>
                      <w:kern w:val="2"/>
                      <w:sz w:val="18"/>
                      <w:szCs w:val="18"/>
                      <w:highlight w:val="none"/>
                      <w:lang w:val="en-US" w:eastAsia="zh-CN" w:bidi="ar-SA"/>
                    </w:rPr>
                    <w:t>。</w:t>
                  </w:r>
                </w:p>
                <w:p w14:paraId="6C71560C">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614" w:type="pct"/>
                  <w:vMerge w:val="restart"/>
                  <w:shd w:val="clear" w:color="auto" w:fill="auto"/>
                  <w:noWrap w:val="0"/>
                  <w:vAlign w:val="center"/>
                </w:tcPr>
                <w:p w14:paraId="727353AC">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15</w:t>
                  </w:r>
                </w:p>
              </w:tc>
              <w:tc>
                <w:tcPr>
                  <w:tcW w:w="584" w:type="pct"/>
                  <w:vMerge w:val="restart"/>
                  <w:noWrap w:val="0"/>
                  <w:vAlign w:val="center"/>
                </w:tcPr>
                <w:p w14:paraId="49CE633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jc w:val="center"/>
                    <w:rPr>
                      <w:rFonts w:hint="default" w:eastAsia="仿宋"/>
                      <w:color w:val="auto"/>
                      <w:sz w:val="18"/>
                      <w:szCs w:val="18"/>
                      <w:highlight w:val="none"/>
                      <w:lang w:val="en-US" w:eastAsia="zh-CN"/>
                    </w:rPr>
                  </w:pPr>
                  <w:r>
                    <w:rPr>
                      <w:rFonts w:hint="eastAsia" w:eastAsia="仿宋"/>
                      <w:color w:val="FF0000"/>
                      <w:sz w:val="18"/>
                      <w:szCs w:val="18"/>
                      <w:highlight w:val="none"/>
                      <w:lang w:val="en-US" w:eastAsia="zh-CN"/>
                    </w:rPr>
                    <w:t>2400</w:t>
                  </w:r>
                </w:p>
              </w:tc>
            </w:tr>
            <w:tr w14:paraId="287E17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72C38928">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2</w:t>
                  </w:r>
                </w:p>
              </w:tc>
              <w:tc>
                <w:tcPr>
                  <w:tcW w:w="628" w:type="pct"/>
                  <w:shd w:val="clear" w:color="auto" w:fill="auto"/>
                  <w:noWrap w:val="0"/>
                  <w:tcMar>
                    <w:top w:w="15" w:type="dxa"/>
                    <w:left w:w="15" w:type="dxa"/>
                    <w:bottom w:w="0" w:type="dxa"/>
                    <w:right w:w="15" w:type="dxa"/>
                  </w:tcMar>
                  <w:vAlign w:val="center"/>
                </w:tcPr>
                <w:p w14:paraId="1694461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提升机</w:t>
                  </w:r>
                  <w:r>
                    <w:rPr>
                      <w:rFonts w:hint="eastAsia" w:ascii="Times New Roman" w:hAnsi="Times New Roman" w:cs="Times New Roman"/>
                      <w:i w:val="0"/>
                      <w:iCs w:val="0"/>
                      <w:color w:val="auto"/>
                      <w:kern w:val="0"/>
                      <w:sz w:val="18"/>
                      <w:szCs w:val="18"/>
                      <w:highlight w:val="none"/>
                      <w:u w:val="none"/>
                      <w:lang w:val="en-US" w:eastAsia="zh-CN" w:bidi="ar"/>
                    </w:rPr>
                    <w:t>1</w:t>
                  </w:r>
                </w:p>
              </w:tc>
              <w:tc>
                <w:tcPr>
                  <w:tcW w:w="276" w:type="pct"/>
                  <w:shd w:val="clear" w:color="auto" w:fill="auto"/>
                  <w:noWrap w:val="0"/>
                  <w:vAlign w:val="center"/>
                </w:tcPr>
                <w:p w14:paraId="6A8233F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15</w:t>
                  </w:r>
                </w:p>
              </w:tc>
              <w:tc>
                <w:tcPr>
                  <w:tcW w:w="276" w:type="pct"/>
                  <w:shd w:val="clear" w:color="auto" w:fill="auto"/>
                  <w:noWrap w:val="0"/>
                  <w:vAlign w:val="center"/>
                </w:tcPr>
                <w:p w14:paraId="08EB89F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55</w:t>
                  </w:r>
                </w:p>
              </w:tc>
              <w:tc>
                <w:tcPr>
                  <w:tcW w:w="276" w:type="pct"/>
                  <w:shd w:val="clear" w:color="auto" w:fill="auto"/>
                  <w:noWrap w:val="0"/>
                  <w:vAlign w:val="center"/>
                </w:tcPr>
                <w:p w14:paraId="1B88B3C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642" w:type="pct"/>
                  <w:shd w:val="clear" w:color="auto" w:fill="auto"/>
                  <w:noWrap w:val="0"/>
                  <w:tcMar>
                    <w:top w:w="15" w:type="dxa"/>
                    <w:left w:w="15" w:type="dxa"/>
                    <w:bottom w:w="0" w:type="dxa"/>
                    <w:right w:w="15" w:type="dxa"/>
                  </w:tcMar>
                  <w:vAlign w:val="center"/>
                </w:tcPr>
                <w:p w14:paraId="598D2D05">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pacing w:val="0"/>
                      <w:sz w:val="18"/>
                      <w:szCs w:val="18"/>
                      <w:highlight w:val="none"/>
                      <w:lang w:val="en-US" w:eastAsia="zh-CN"/>
                    </w:rPr>
                    <w:t>80</w:t>
                  </w:r>
                </w:p>
              </w:tc>
              <w:tc>
                <w:tcPr>
                  <w:tcW w:w="703" w:type="pct"/>
                  <w:shd w:val="clear" w:color="auto" w:fill="auto"/>
                  <w:noWrap w:val="0"/>
                  <w:tcMar>
                    <w:top w:w="15" w:type="dxa"/>
                    <w:left w:w="15" w:type="dxa"/>
                    <w:bottom w:w="0" w:type="dxa"/>
                    <w:right w:w="15" w:type="dxa"/>
                  </w:tcMar>
                  <w:vAlign w:val="center"/>
                </w:tcPr>
                <w:p w14:paraId="16B8CB3C">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684" w:type="pct"/>
                  <w:vMerge w:val="continue"/>
                  <w:shd w:val="clear" w:color="auto" w:fill="auto"/>
                  <w:noWrap w:val="0"/>
                  <w:tcMar>
                    <w:top w:w="15" w:type="dxa"/>
                    <w:left w:w="15" w:type="dxa"/>
                    <w:bottom w:w="0" w:type="dxa"/>
                    <w:right w:w="15" w:type="dxa"/>
                  </w:tcMar>
                  <w:vAlign w:val="center"/>
                </w:tcPr>
                <w:p w14:paraId="3546A2A6">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614" w:type="pct"/>
                  <w:vMerge w:val="continue"/>
                  <w:shd w:val="clear" w:color="auto" w:fill="auto"/>
                  <w:noWrap w:val="0"/>
                  <w:vAlign w:val="center"/>
                </w:tcPr>
                <w:p w14:paraId="55D6679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584" w:type="pct"/>
                  <w:vMerge w:val="continue"/>
                  <w:noWrap w:val="0"/>
                  <w:vAlign w:val="center"/>
                </w:tcPr>
                <w:p w14:paraId="70DDF222">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rPr>
                      <w:rFonts w:hint="default" w:eastAsia="仿宋"/>
                      <w:color w:val="auto"/>
                      <w:sz w:val="18"/>
                      <w:szCs w:val="18"/>
                      <w:highlight w:val="none"/>
                    </w:rPr>
                  </w:pPr>
                </w:p>
              </w:tc>
            </w:tr>
            <w:tr w14:paraId="1DDB2B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314" w:type="pct"/>
                  <w:shd w:val="clear" w:color="auto" w:fill="auto"/>
                  <w:noWrap w:val="0"/>
                  <w:tcMar>
                    <w:top w:w="15" w:type="dxa"/>
                    <w:left w:w="15" w:type="dxa"/>
                    <w:bottom w:w="0" w:type="dxa"/>
                    <w:right w:w="15" w:type="dxa"/>
                  </w:tcMar>
                  <w:vAlign w:val="center"/>
                </w:tcPr>
                <w:p w14:paraId="2552FBD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3</w:t>
                  </w:r>
                </w:p>
              </w:tc>
              <w:tc>
                <w:tcPr>
                  <w:tcW w:w="628" w:type="pct"/>
                  <w:shd w:val="clear" w:color="auto" w:fill="auto"/>
                  <w:noWrap w:val="0"/>
                  <w:tcMar>
                    <w:top w:w="15" w:type="dxa"/>
                    <w:left w:w="15" w:type="dxa"/>
                    <w:bottom w:w="0" w:type="dxa"/>
                    <w:right w:w="15" w:type="dxa"/>
                  </w:tcMar>
                  <w:vAlign w:val="center"/>
                </w:tcPr>
                <w:p w14:paraId="46AC2DB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提升机</w:t>
                  </w:r>
                  <w:r>
                    <w:rPr>
                      <w:rFonts w:hint="eastAsia" w:ascii="Times New Roman" w:hAnsi="Times New Roman" w:cs="Times New Roman"/>
                      <w:i w:val="0"/>
                      <w:iCs w:val="0"/>
                      <w:color w:val="auto"/>
                      <w:kern w:val="0"/>
                      <w:sz w:val="18"/>
                      <w:szCs w:val="18"/>
                      <w:highlight w:val="none"/>
                      <w:u w:val="none"/>
                      <w:lang w:val="en-US" w:eastAsia="zh-CN" w:bidi="ar"/>
                    </w:rPr>
                    <w:t>2</w:t>
                  </w:r>
                </w:p>
              </w:tc>
              <w:tc>
                <w:tcPr>
                  <w:tcW w:w="276" w:type="pct"/>
                  <w:shd w:val="clear" w:color="auto" w:fill="auto"/>
                  <w:noWrap w:val="0"/>
                  <w:vAlign w:val="center"/>
                </w:tcPr>
                <w:p w14:paraId="733D154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8</w:t>
                  </w:r>
                </w:p>
              </w:tc>
              <w:tc>
                <w:tcPr>
                  <w:tcW w:w="276" w:type="pct"/>
                  <w:shd w:val="clear" w:color="auto" w:fill="auto"/>
                  <w:noWrap w:val="0"/>
                  <w:vAlign w:val="center"/>
                </w:tcPr>
                <w:p w14:paraId="010AE58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58</w:t>
                  </w:r>
                </w:p>
              </w:tc>
              <w:tc>
                <w:tcPr>
                  <w:tcW w:w="276" w:type="pct"/>
                  <w:shd w:val="clear" w:color="auto" w:fill="auto"/>
                  <w:noWrap w:val="0"/>
                  <w:vAlign w:val="center"/>
                </w:tcPr>
                <w:p w14:paraId="6FD1750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642" w:type="pct"/>
                  <w:shd w:val="clear" w:color="auto" w:fill="auto"/>
                  <w:noWrap w:val="0"/>
                  <w:tcMar>
                    <w:top w:w="15" w:type="dxa"/>
                    <w:left w:w="15" w:type="dxa"/>
                    <w:bottom w:w="0" w:type="dxa"/>
                    <w:right w:w="15" w:type="dxa"/>
                  </w:tcMar>
                  <w:vAlign w:val="center"/>
                </w:tcPr>
                <w:p w14:paraId="33BD35CB">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pacing w:val="0"/>
                      <w:sz w:val="18"/>
                      <w:szCs w:val="18"/>
                      <w:highlight w:val="none"/>
                      <w:lang w:val="en-US" w:eastAsia="zh-CN"/>
                    </w:rPr>
                    <w:t>80</w:t>
                  </w:r>
                </w:p>
              </w:tc>
              <w:tc>
                <w:tcPr>
                  <w:tcW w:w="703" w:type="pct"/>
                  <w:shd w:val="clear" w:color="auto" w:fill="auto"/>
                  <w:noWrap w:val="0"/>
                  <w:tcMar>
                    <w:top w:w="15" w:type="dxa"/>
                    <w:left w:w="15" w:type="dxa"/>
                    <w:bottom w:w="0" w:type="dxa"/>
                    <w:right w:w="15" w:type="dxa"/>
                  </w:tcMar>
                  <w:vAlign w:val="center"/>
                </w:tcPr>
                <w:p w14:paraId="692679C3">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684" w:type="pct"/>
                  <w:vMerge w:val="continue"/>
                  <w:shd w:val="clear" w:color="auto" w:fill="auto"/>
                  <w:noWrap w:val="0"/>
                  <w:tcMar>
                    <w:top w:w="15" w:type="dxa"/>
                    <w:left w:w="15" w:type="dxa"/>
                    <w:bottom w:w="0" w:type="dxa"/>
                    <w:right w:w="15" w:type="dxa"/>
                  </w:tcMar>
                  <w:vAlign w:val="center"/>
                </w:tcPr>
                <w:p w14:paraId="47B4B83F">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614" w:type="pct"/>
                  <w:vMerge w:val="continue"/>
                  <w:shd w:val="clear" w:color="auto" w:fill="auto"/>
                  <w:noWrap w:val="0"/>
                  <w:vAlign w:val="center"/>
                </w:tcPr>
                <w:p w14:paraId="542F23C9">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584" w:type="pct"/>
                  <w:vMerge w:val="continue"/>
                  <w:noWrap w:val="0"/>
                  <w:vAlign w:val="center"/>
                </w:tcPr>
                <w:p w14:paraId="374422E5">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rPr>
                      <w:rFonts w:hint="default" w:eastAsia="仿宋"/>
                      <w:color w:val="auto"/>
                      <w:sz w:val="18"/>
                      <w:szCs w:val="18"/>
                      <w:highlight w:val="none"/>
                    </w:rPr>
                  </w:pPr>
                </w:p>
              </w:tc>
            </w:tr>
            <w:tr w14:paraId="05ABE1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019D5638">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4</w:t>
                  </w:r>
                </w:p>
              </w:tc>
              <w:tc>
                <w:tcPr>
                  <w:tcW w:w="628" w:type="pct"/>
                  <w:shd w:val="clear" w:color="auto" w:fill="auto"/>
                  <w:noWrap w:val="0"/>
                  <w:tcMar>
                    <w:top w:w="15" w:type="dxa"/>
                    <w:left w:w="15" w:type="dxa"/>
                    <w:bottom w:w="0" w:type="dxa"/>
                    <w:right w:w="15" w:type="dxa"/>
                  </w:tcMar>
                  <w:vAlign w:val="center"/>
                </w:tcPr>
                <w:p w14:paraId="6EEDCBB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输送机</w:t>
                  </w:r>
                  <w:r>
                    <w:rPr>
                      <w:rFonts w:hint="eastAsia" w:cs="Times New Roman"/>
                      <w:i w:val="0"/>
                      <w:iCs w:val="0"/>
                      <w:color w:val="auto"/>
                      <w:kern w:val="0"/>
                      <w:sz w:val="18"/>
                      <w:szCs w:val="18"/>
                      <w:highlight w:val="none"/>
                      <w:u w:val="none"/>
                      <w:lang w:val="en-US" w:eastAsia="zh-CN" w:bidi="ar"/>
                    </w:rPr>
                    <w:t>1</w:t>
                  </w:r>
                </w:p>
              </w:tc>
              <w:tc>
                <w:tcPr>
                  <w:tcW w:w="276" w:type="pct"/>
                  <w:shd w:val="clear" w:color="auto" w:fill="auto"/>
                  <w:noWrap w:val="0"/>
                  <w:vAlign w:val="center"/>
                </w:tcPr>
                <w:p w14:paraId="65F057F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54</w:t>
                  </w:r>
                </w:p>
              </w:tc>
              <w:tc>
                <w:tcPr>
                  <w:tcW w:w="276" w:type="pct"/>
                  <w:shd w:val="clear" w:color="auto" w:fill="auto"/>
                  <w:noWrap w:val="0"/>
                  <w:vAlign w:val="center"/>
                </w:tcPr>
                <w:p w14:paraId="22A8591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3</w:t>
                  </w:r>
                </w:p>
              </w:tc>
              <w:tc>
                <w:tcPr>
                  <w:tcW w:w="276" w:type="pct"/>
                  <w:shd w:val="clear" w:color="auto" w:fill="auto"/>
                  <w:noWrap w:val="0"/>
                  <w:vAlign w:val="center"/>
                </w:tcPr>
                <w:p w14:paraId="20ED0B3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642" w:type="pct"/>
                  <w:shd w:val="clear" w:color="auto" w:fill="auto"/>
                  <w:noWrap w:val="0"/>
                  <w:tcMar>
                    <w:top w:w="15" w:type="dxa"/>
                    <w:left w:w="15" w:type="dxa"/>
                    <w:bottom w:w="0" w:type="dxa"/>
                    <w:right w:w="15" w:type="dxa"/>
                  </w:tcMar>
                  <w:vAlign w:val="center"/>
                </w:tcPr>
                <w:p w14:paraId="6788DB00">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pacing w:val="0"/>
                      <w:sz w:val="18"/>
                      <w:szCs w:val="18"/>
                      <w:highlight w:val="none"/>
                      <w:lang w:val="en-US" w:eastAsia="zh-CN"/>
                    </w:rPr>
                    <w:t>70</w:t>
                  </w:r>
                </w:p>
              </w:tc>
              <w:tc>
                <w:tcPr>
                  <w:tcW w:w="703" w:type="pct"/>
                  <w:shd w:val="clear" w:color="auto" w:fill="auto"/>
                  <w:noWrap w:val="0"/>
                  <w:tcMar>
                    <w:top w:w="15" w:type="dxa"/>
                    <w:left w:w="15" w:type="dxa"/>
                    <w:bottom w:w="0" w:type="dxa"/>
                    <w:right w:w="15" w:type="dxa"/>
                  </w:tcMar>
                  <w:vAlign w:val="center"/>
                </w:tcPr>
                <w:p w14:paraId="1E5DCD6E">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684" w:type="pct"/>
                  <w:vMerge w:val="continue"/>
                  <w:shd w:val="clear" w:color="auto" w:fill="auto"/>
                  <w:noWrap w:val="0"/>
                  <w:tcMar>
                    <w:top w:w="15" w:type="dxa"/>
                    <w:left w:w="15" w:type="dxa"/>
                    <w:bottom w:w="0" w:type="dxa"/>
                    <w:right w:w="15" w:type="dxa"/>
                  </w:tcMar>
                  <w:vAlign w:val="center"/>
                </w:tcPr>
                <w:p w14:paraId="091F868F">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614" w:type="pct"/>
                  <w:vMerge w:val="continue"/>
                  <w:shd w:val="clear" w:color="auto" w:fill="auto"/>
                  <w:noWrap w:val="0"/>
                  <w:vAlign w:val="center"/>
                </w:tcPr>
                <w:p w14:paraId="471F3DD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584" w:type="pct"/>
                  <w:vMerge w:val="continue"/>
                  <w:noWrap w:val="0"/>
                  <w:vAlign w:val="center"/>
                </w:tcPr>
                <w:p w14:paraId="3E598903">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rPr>
                      <w:rFonts w:hint="default" w:eastAsia="仿宋"/>
                      <w:color w:val="auto"/>
                      <w:sz w:val="18"/>
                      <w:szCs w:val="18"/>
                      <w:highlight w:val="none"/>
                    </w:rPr>
                  </w:pPr>
                </w:p>
              </w:tc>
            </w:tr>
            <w:tr w14:paraId="54DBFF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00647D8F">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5</w:t>
                  </w:r>
                </w:p>
              </w:tc>
              <w:tc>
                <w:tcPr>
                  <w:tcW w:w="628" w:type="pct"/>
                  <w:shd w:val="clear" w:color="auto" w:fill="auto"/>
                  <w:noWrap w:val="0"/>
                  <w:tcMar>
                    <w:top w:w="15" w:type="dxa"/>
                    <w:left w:w="15" w:type="dxa"/>
                    <w:bottom w:w="0" w:type="dxa"/>
                    <w:right w:w="15" w:type="dxa"/>
                  </w:tcMar>
                  <w:vAlign w:val="center"/>
                </w:tcPr>
                <w:p w14:paraId="4E08F4F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输送机</w:t>
                  </w:r>
                  <w:r>
                    <w:rPr>
                      <w:rFonts w:hint="eastAsia" w:ascii="Times New Roman" w:hAnsi="Times New Roman" w:eastAsia="宋体" w:cs="Times New Roman"/>
                      <w:i w:val="0"/>
                      <w:iCs w:val="0"/>
                      <w:color w:val="auto"/>
                      <w:kern w:val="0"/>
                      <w:sz w:val="18"/>
                      <w:szCs w:val="18"/>
                      <w:highlight w:val="none"/>
                      <w:u w:val="none"/>
                      <w:lang w:val="en-US" w:eastAsia="zh-CN" w:bidi="ar"/>
                    </w:rPr>
                    <w:t>2</w:t>
                  </w:r>
                </w:p>
              </w:tc>
              <w:tc>
                <w:tcPr>
                  <w:tcW w:w="276" w:type="pct"/>
                  <w:shd w:val="clear" w:color="auto" w:fill="auto"/>
                  <w:noWrap w:val="0"/>
                  <w:vAlign w:val="center"/>
                </w:tcPr>
                <w:p w14:paraId="56FBCCB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18</w:t>
                  </w:r>
                </w:p>
              </w:tc>
              <w:tc>
                <w:tcPr>
                  <w:tcW w:w="276" w:type="pct"/>
                  <w:shd w:val="clear" w:color="auto" w:fill="auto"/>
                  <w:noWrap w:val="0"/>
                  <w:vAlign w:val="center"/>
                </w:tcPr>
                <w:p w14:paraId="0E16EC4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65</w:t>
                  </w:r>
                </w:p>
              </w:tc>
              <w:tc>
                <w:tcPr>
                  <w:tcW w:w="276" w:type="pct"/>
                  <w:shd w:val="clear" w:color="auto" w:fill="auto"/>
                  <w:noWrap w:val="0"/>
                  <w:vAlign w:val="center"/>
                </w:tcPr>
                <w:p w14:paraId="4CE288D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642" w:type="pct"/>
                  <w:shd w:val="clear" w:color="auto" w:fill="auto"/>
                  <w:noWrap w:val="0"/>
                  <w:tcMar>
                    <w:top w:w="15" w:type="dxa"/>
                    <w:left w:w="15" w:type="dxa"/>
                    <w:bottom w:w="0" w:type="dxa"/>
                    <w:right w:w="15" w:type="dxa"/>
                  </w:tcMar>
                  <w:vAlign w:val="center"/>
                </w:tcPr>
                <w:p w14:paraId="0682026F">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w:t>
                  </w:r>
                </w:p>
              </w:tc>
              <w:tc>
                <w:tcPr>
                  <w:tcW w:w="703" w:type="pct"/>
                  <w:shd w:val="clear" w:color="auto" w:fill="auto"/>
                  <w:noWrap w:val="0"/>
                  <w:tcMar>
                    <w:top w:w="15" w:type="dxa"/>
                    <w:left w:w="15" w:type="dxa"/>
                    <w:bottom w:w="0" w:type="dxa"/>
                    <w:right w:w="15" w:type="dxa"/>
                  </w:tcMar>
                  <w:vAlign w:val="center"/>
                </w:tcPr>
                <w:p w14:paraId="11EDBE04">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684" w:type="pct"/>
                  <w:vMerge w:val="continue"/>
                  <w:shd w:val="clear" w:color="auto" w:fill="auto"/>
                  <w:noWrap w:val="0"/>
                  <w:tcMar>
                    <w:top w:w="15" w:type="dxa"/>
                    <w:left w:w="15" w:type="dxa"/>
                    <w:bottom w:w="0" w:type="dxa"/>
                    <w:right w:w="15" w:type="dxa"/>
                  </w:tcMar>
                  <w:vAlign w:val="center"/>
                </w:tcPr>
                <w:p w14:paraId="6090FE8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614" w:type="pct"/>
                  <w:vMerge w:val="continue"/>
                  <w:shd w:val="clear" w:color="auto" w:fill="auto"/>
                  <w:noWrap w:val="0"/>
                  <w:vAlign w:val="center"/>
                </w:tcPr>
                <w:p w14:paraId="6DFCDDF6">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584" w:type="pct"/>
                  <w:vMerge w:val="continue"/>
                  <w:noWrap w:val="0"/>
                  <w:vAlign w:val="center"/>
                </w:tcPr>
                <w:p w14:paraId="79F32032">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rPr>
                      <w:rFonts w:hint="default" w:eastAsia="仿宋"/>
                      <w:color w:val="auto"/>
                      <w:sz w:val="18"/>
                      <w:szCs w:val="18"/>
                      <w:highlight w:val="none"/>
                    </w:rPr>
                  </w:pPr>
                </w:p>
              </w:tc>
            </w:tr>
            <w:tr w14:paraId="765FB8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71A56D9A">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w:t>
                  </w:r>
                </w:p>
              </w:tc>
              <w:tc>
                <w:tcPr>
                  <w:tcW w:w="628" w:type="pct"/>
                  <w:shd w:val="clear" w:color="auto" w:fill="auto"/>
                  <w:noWrap w:val="0"/>
                  <w:tcMar>
                    <w:top w:w="15" w:type="dxa"/>
                    <w:left w:w="15" w:type="dxa"/>
                    <w:bottom w:w="0" w:type="dxa"/>
                    <w:right w:w="15" w:type="dxa"/>
                  </w:tcMar>
                  <w:vAlign w:val="center"/>
                </w:tcPr>
                <w:p w14:paraId="77B987D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输送机</w:t>
                  </w:r>
                  <w:r>
                    <w:rPr>
                      <w:rFonts w:hint="eastAsia" w:ascii="Times New Roman" w:hAnsi="Times New Roman" w:eastAsia="宋体" w:cs="Times New Roman"/>
                      <w:i w:val="0"/>
                      <w:iCs w:val="0"/>
                      <w:color w:val="auto"/>
                      <w:kern w:val="0"/>
                      <w:sz w:val="18"/>
                      <w:szCs w:val="18"/>
                      <w:highlight w:val="none"/>
                      <w:u w:val="none"/>
                      <w:lang w:val="en-US" w:eastAsia="zh-CN" w:bidi="ar"/>
                    </w:rPr>
                    <w:t>3</w:t>
                  </w:r>
                </w:p>
              </w:tc>
              <w:tc>
                <w:tcPr>
                  <w:tcW w:w="276" w:type="pct"/>
                  <w:shd w:val="clear" w:color="auto" w:fill="auto"/>
                  <w:noWrap w:val="0"/>
                  <w:vAlign w:val="center"/>
                </w:tcPr>
                <w:p w14:paraId="04ED726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30</w:t>
                  </w:r>
                </w:p>
              </w:tc>
              <w:tc>
                <w:tcPr>
                  <w:tcW w:w="276" w:type="pct"/>
                  <w:shd w:val="clear" w:color="auto" w:fill="auto"/>
                  <w:noWrap w:val="0"/>
                  <w:vAlign w:val="center"/>
                </w:tcPr>
                <w:p w14:paraId="64534F5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66</w:t>
                  </w:r>
                </w:p>
              </w:tc>
              <w:tc>
                <w:tcPr>
                  <w:tcW w:w="276" w:type="pct"/>
                  <w:shd w:val="clear" w:color="auto" w:fill="auto"/>
                  <w:noWrap w:val="0"/>
                  <w:vAlign w:val="center"/>
                </w:tcPr>
                <w:p w14:paraId="6D9152B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642" w:type="pct"/>
                  <w:shd w:val="clear" w:color="auto" w:fill="auto"/>
                  <w:noWrap w:val="0"/>
                  <w:tcMar>
                    <w:top w:w="15" w:type="dxa"/>
                    <w:left w:w="15" w:type="dxa"/>
                    <w:bottom w:w="0" w:type="dxa"/>
                    <w:right w:w="15" w:type="dxa"/>
                  </w:tcMar>
                  <w:vAlign w:val="center"/>
                </w:tcPr>
                <w:p w14:paraId="03E7D209">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eastAsia" w:cs="Times New Roman"/>
                      <w:color w:val="auto"/>
                      <w:kern w:val="2"/>
                      <w:sz w:val="18"/>
                      <w:szCs w:val="18"/>
                      <w:highlight w:val="none"/>
                      <w:lang w:val="en-US" w:eastAsia="zh-CN" w:bidi="ar-SA"/>
                    </w:rPr>
                  </w:pPr>
                  <w:r>
                    <w:rPr>
                      <w:rFonts w:hint="default" w:ascii="Times New Roman" w:hAnsi="Times New Roman" w:cs="Times New Roman"/>
                      <w:color w:val="auto"/>
                      <w:spacing w:val="0"/>
                      <w:sz w:val="18"/>
                      <w:szCs w:val="18"/>
                      <w:highlight w:val="none"/>
                      <w:lang w:val="en-US" w:eastAsia="zh-CN"/>
                    </w:rPr>
                    <w:t>70</w:t>
                  </w:r>
                </w:p>
              </w:tc>
              <w:tc>
                <w:tcPr>
                  <w:tcW w:w="703" w:type="pct"/>
                  <w:shd w:val="clear" w:color="auto" w:fill="auto"/>
                  <w:noWrap w:val="0"/>
                  <w:tcMar>
                    <w:top w:w="15" w:type="dxa"/>
                    <w:left w:w="15" w:type="dxa"/>
                    <w:bottom w:w="0" w:type="dxa"/>
                    <w:right w:w="15" w:type="dxa"/>
                  </w:tcMar>
                  <w:vAlign w:val="center"/>
                </w:tcPr>
                <w:p w14:paraId="5A74A041">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684" w:type="pct"/>
                  <w:vMerge w:val="continue"/>
                  <w:shd w:val="clear" w:color="auto" w:fill="auto"/>
                  <w:noWrap w:val="0"/>
                  <w:tcMar>
                    <w:top w:w="15" w:type="dxa"/>
                    <w:left w:w="15" w:type="dxa"/>
                    <w:bottom w:w="0" w:type="dxa"/>
                    <w:right w:w="15" w:type="dxa"/>
                  </w:tcMar>
                  <w:vAlign w:val="center"/>
                </w:tcPr>
                <w:p w14:paraId="59CE9C8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color w:val="auto"/>
                      <w:spacing w:val="0"/>
                      <w:sz w:val="18"/>
                      <w:szCs w:val="18"/>
                      <w:highlight w:val="none"/>
                    </w:rPr>
                  </w:pPr>
                </w:p>
              </w:tc>
              <w:tc>
                <w:tcPr>
                  <w:tcW w:w="614" w:type="pct"/>
                  <w:vMerge w:val="continue"/>
                  <w:shd w:val="clear" w:color="auto" w:fill="auto"/>
                  <w:noWrap w:val="0"/>
                  <w:vAlign w:val="center"/>
                </w:tcPr>
                <w:p w14:paraId="07CCF261">
                  <w:pPr>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b w:val="0"/>
                      <w:bCs/>
                      <w:color w:val="auto"/>
                      <w:kern w:val="2"/>
                      <w:sz w:val="18"/>
                      <w:szCs w:val="18"/>
                      <w:highlight w:val="none"/>
                      <w:lang w:val="en-US" w:eastAsia="zh-CN" w:bidi="ar-SA"/>
                    </w:rPr>
                  </w:pPr>
                </w:p>
              </w:tc>
              <w:tc>
                <w:tcPr>
                  <w:tcW w:w="584" w:type="pct"/>
                  <w:vMerge w:val="continue"/>
                  <w:noWrap w:val="0"/>
                  <w:vAlign w:val="center"/>
                </w:tcPr>
                <w:p w14:paraId="56F4BEDA">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rPr>
                      <w:rFonts w:hint="default" w:eastAsia="仿宋"/>
                      <w:color w:val="auto"/>
                      <w:sz w:val="18"/>
                      <w:szCs w:val="18"/>
                      <w:highlight w:val="none"/>
                    </w:rPr>
                  </w:pPr>
                </w:p>
              </w:tc>
            </w:tr>
            <w:tr w14:paraId="783CA5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2C62194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7</w:t>
                  </w:r>
                </w:p>
              </w:tc>
              <w:tc>
                <w:tcPr>
                  <w:tcW w:w="628" w:type="pct"/>
                  <w:shd w:val="clear" w:color="auto" w:fill="auto"/>
                  <w:noWrap w:val="0"/>
                  <w:tcMar>
                    <w:top w:w="15" w:type="dxa"/>
                    <w:left w:w="15" w:type="dxa"/>
                    <w:bottom w:w="0" w:type="dxa"/>
                    <w:right w:w="15" w:type="dxa"/>
                  </w:tcMar>
                  <w:vAlign w:val="center"/>
                </w:tcPr>
                <w:p w14:paraId="13C70BF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输送机</w:t>
                  </w:r>
                  <w:r>
                    <w:rPr>
                      <w:rFonts w:hint="eastAsia" w:cs="Times New Roman"/>
                      <w:i w:val="0"/>
                      <w:iCs w:val="0"/>
                      <w:color w:val="auto"/>
                      <w:kern w:val="0"/>
                      <w:sz w:val="18"/>
                      <w:szCs w:val="18"/>
                      <w:highlight w:val="none"/>
                      <w:u w:val="none"/>
                      <w:lang w:val="en-US" w:eastAsia="zh-CN" w:bidi="ar"/>
                    </w:rPr>
                    <w:t>8</w:t>
                  </w:r>
                </w:p>
              </w:tc>
              <w:tc>
                <w:tcPr>
                  <w:tcW w:w="276" w:type="pct"/>
                  <w:shd w:val="clear" w:color="auto" w:fill="auto"/>
                  <w:noWrap w:val="0"/>
                  <w:vAlign w:val="center"/>
                </w:tcPr>
                <w:p w14:paraId="0DCC234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23</w:t>
                  </w:r>
                </w:p>
              </w:tc>
              <w:tc>
                <w:tcPr>
                  <w:tcW w:w="276" w:type="pct"/>
                  <w:shd w:val="clear" w:color="auto" w:fill="auto"/>
                  <w:noWrap w:val="0"/>
                  <w:vAlign w:val="center"/>
                </w:tcPr>
                <w:p w14:paraId="48A00E0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52</w:t>
                  </w:r>
                </w:p>
              </w:tc>
              <w:tc>
                <w:tcPr>
                  <w:tcW w:w="276" w:type="pct"/>
                  <w:shd w:val="clear" w:color="auto" w:fill="auto"/>
                  <w:noWrap w:val="0"/>
                  <w:vAlign w:val="center"/>
                </w:tcPr>
                <w:p w14:paraId="2BF37E5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642" w:type="pct"/>
                  <w:shd w:val="clear" w:color="auto" w:fill="auto"/>
                  <w:noWrap w:val="0"/>
                  <w:tcMar>
                    <w:top w:w="15" w:type="dxa"/>
                    <w:left w:w="15" w:type="dxa"/>
                    <w:bottom w:w="0" w:type="dxa"/>
                    <w:right w:w="15" w:type="dxa"/>
                  </w:tcMar>
                  <w:vAlign w:val="center"/>
                </w:tcPr>
                <w:p w14:paraId="10A25905">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70</w:t>
                  </w:r>
                </w:p>
              </w:tc>
              <w:tc>
                <w:tcPr>
                  <w:tcW w:w="703" w:type="pct"/>
                  <w:shd w:val="clear" w:color="auto" w:fill="auto"/>
                  <w:noWrap w:val="0"/>
                  <w:tcMar>
                    <w:top w:w="15" w:type="dxa"/>
                    <w:left w:w="15" w:type="dxa"/>
                    <w:bottom w:w="0" w:type="dxa"/>
                    <w:right w:w="15" w:type="dxa"/>
                  </w:tcMar>
                  <w:vAlign w:val="center"/>
                </w:tcPr>
                <w:p w14:paraId="2EF3E28D">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684" w:type="pct"/>
                  <w:vMerge w:val="continue"/>
                  <w:shd w:val="clear" w:color="auto" w:fill="auto"/>
                  <w:noWrap w:val="0"/>
                  <w:tcMar>
                    <w:top w:w="15" w:type="dxa"/>
                    <w:left w:w="15" w:type="dxa"/>
                    <w:bottom w:w="0" w:type="dxa"/>
                    <w:right w:w="15" w:type="dxa"/>
                  </w:tcMar>
                  <w:vAlign w:val="center"/>
                </w:tcPr>
                <w:p w14:paraId="100EF75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color w:val="auto"/>
                      <w:spacing w:val="0"/>
                      <w:sz w:val="18"/>
                      <w:szCs w:val="18"/>
                      <w:highlight w:val="none"/>
                    </w:rPr>
                  </w:pPr>
                </w:p>
              </w:tc>
              <w:tc>
                <w:tcPr>
                  <w:tcW w:w="614" w:type="pct"/>
                  <w:vMerge w:val="continue"/>
                  <w:shd w:val="clear" w:color="auto" w:fill="auto"/>
                  <w:noWrap w:val="0"/>
                  <w:vAlign w:val="center"/>
                </w:tcPr>
                <w:p w14:paraId="59E6B252">
                  <w:pPr>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b w:val="0"/>
                      <w:bCs/>
                      <w:color w:val="auto"/>
                      <w:kern w:val="2"/>
                      <w:sz w:val="18"/>
                      <w:szCs w:val="18"/>
                      <w:highlight w:val="none"/>
                      <w:lang w:val="en-US" w:eastAsia="zh-CN" w:bidi="ar-SA"/>
                    </w:rPr>
                  </w:pPr>
                </w:p>
              </w:tc>
              <w:tc>
                <w:tcPr>
                  <w:tcW w:w="584" w:type="pct"/>
                  <w:vMerge w:val="continue"/>
                  <w:noWrap w:val="0"/>
                  <w:vAlign w:val="center"/>
                </w:tcPr>
                <w:p w14:paraId="42F000CF">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rPr>
                      <w:rFonts w:hint="default" w:eastAsia="仿宋"/>
                      <w:color w:val="auto"/>
                      <w:sz w:val="18"/>
                      <w:szCs w:val="18"/>
                      <w:highlight w:val="none"/>
                    </w:rPr>
                  </w:pPr>
                </w:p>
              </w:tc>
            </w:tr>
            <w:tr w14:paraId="483B6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1FE37DAF">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8</w:t>
                  </w:r>
                </w:p>
              </w:tc>
              <w:tc>
                <w:tcPr>
                  <w:tcW w:w="628" w:type="pct"/>
                  <w:shd w:val="clear" w:color="auto" w:fill="auto"/>
                  <w:noWrap w:val="0"/>
                  <w:tcMar>
                    <w:top w:w="15" w:type="dxa"/>
                    <w:left w:w="15" w:type="dxa"/>
                    <w:bottom w:w="0" w:type="dxa"/>
                    <w:right w:w="15" w:type="dxa"/>
                  </w:tcMar>
                  <w:vAlign w:val="center"/>
                </w:tcPr>
                <w:p w14:paraId="7DD7928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烘干塔</w:t>
                  </w:r>
                </w:p>
              </w:tc>
              <w:tc>
                <w:tcPr>
                  <w:tcW w:w="276" w:type="pct"/>
                  <w:shd w:val="clear" w:color="auto" w:fill="auto"/>
                  <w:noWrap w:val="0"/>
                  <w:vAlign w:val="center"/>
                </w:tcPr>
                <w:p w14:paraId="0F28E4A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5</w:t>
                  </w:r>
                </w:p>
              </w:tc>
              <w:tc>
                <w:tcPr>
                  <w:tcW w:w="276" w:type="pct"/>
                  <w:shd w:val="clear" w:color="auto" w:fill="auto"/>
                  <w:noWrap w:val="0"/>
                  <w:vAlign w:val="center"/>
                </w:tcPr>
                <w:p w14:paraId="33F68A8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58</w:t>
                  </w:r>
                </w:p>
              </w:tc>
              <w:tc>
                <w:tcPr>
                  <w:tcW w:w="276" w:type="pct"/>
                  <w:shd w:val="clear" w:color="auto" w:fill="auto"/>
                  <w:noWrap w:val="0"/>
                  <w:vAlign w:val="center"/>
                </w:tcPr>
                <w:p w14:paraId="7370FA1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642" w:type="pct"/>
                  <w:shd w:val="clear" w:color="auto" w:fill="auto"/>
                  <w:noWrap w:val="0"/>
                  <w:tcMar>
                    <w:top w:w="15" w:type="dxa"/>
                    <w:left w:w="15" w:type="dxa"/>
                    <w:bottom w:w="0" w:type="dxa"/>
                    <w:right w:w="15" w:type="dxa"/>
                  </w:tcMar>
                  <w:vAlign w:val="center"/>
                </w:tcPr>
                <w:p w14:paraId="0C4ABB86">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75</w:t>
                  </w:r>
                </w:p>
              </w:tc>
              <w:tc>
                <w:tcPr>
                  <w:tcW w:w="703" w:type="pct"/>
                  <w:shd w:val="clear" w:color="auto" w:fill="auto"/>
                  <w:noWrap w:val="0"/>
                  <w:tcMar>
                    <w:top w:w="15" w:type="dxa"/>
                    <w:left w:w="15" w:type="dxa"/>
                    <w:bottom w:w="0" w:type="dxa"/>
                    <w:right w:w="15" w:type="dxa"/>
                  </w:tcMar>
                  <w:vAlign w:val="center"/>
                </w:tcPr>
                <w:p w14:paraId="68E24602">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684" w:type="pct"/>
                  <w:vMerge w:val="continue"/>
                  <w:shd w:val="clear" w:color="auto" w:fill="auto"/>
                  <w:noWrap w:val="0"/>
                  <w:tcMar>
                    <w:top w:w="15" w:type="dxa"/>
                    <w:left w:w="15" w:type="dxa"/>
                    <w:bottom w:w="0" w:type="dxa"/>
                    <w:right w:w="15" w:type="dxa"/>
                  </w:tcMar>
                  <w:vAlign w:val="center"/>
                </w:tcPr>
                <w:p w14:paraId="7473E0D8">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614" w:type="pct"/>
                  <w:vMerge w:val="continue"/>
                  <w:shd w:val="clear" w:color="auto" w:fill="auto"/>
                  <w:noWrap w:val="0"/>
                  <w:vAlign w:val="center"/>
                </w:tcPr>
                <w:p w14:paraId="04936787">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584" w:type="pct"/>
                  <w:vMerge w:val="continue"/>
                  <w:noWrap w:val="0"/>
                  <w:vAlign w:val="center"/>
                </w:tcPr>
                <w:p w14:paraId="008F6265">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rPr>
                      <w:rFonts w:hint="default" w:eastAsia="仿宋"/>
                      <w:color w:val="auto"/>
                      <w:sz w:val="18"/>
                      <w:szCs w:val="18"/>
                      <w:highlight w:val="none"/>
                    </w:rPr>
                  </w:pPr>
                </w:p>
              </w:tc>
            </w:tr>
            <w:tr w14:paraId="69A6E4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71072D45">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9</w:t>
                  </w:r>
                </w:p>
              </w:tc>
              <w:tc>
                <w:tcPr>
                  <w:tcW w:w="628" w:type="pct"/>
                  <w:shd w:val="clear" w:color="auto" w:fill="auto"/>
                  <w:noWrap w:val="0"/>
                  <w:tcMar>
                    <w:top w:w="15" w:type="dxa"/>
                    <w:left w:w="15" w:type="dxa"/>
                    <w:bottom w:w="0" w:type="dxa"/>
                    <w:right w:w="15" w:type="dxa"/>
                  </w:tcMar>
                  <w:vAlign w:val="center"/>
                </w:tcPr>
                <w:p w14:paraId="6C8C09E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热风机</w:t>
                  </w:r>
                  <w:r>
                    <w:rPr>
                      <w:rFonts w:hint="default" w:ascii="Times New Roman" w:hAnsi="Times New Roman" w:cs="Times New Roman"/>
                      <w:i w:val="0"/>
                      <w:iCs w:val="0"/>
                      <w:color w:val="auto"/>
                      <w:kern w:val="0"/>
                      <w:sz w:val="18"/>
                      <w:szCs w:val="18"/>
                      <w:highlight w:val="none"/>
                      <w:u w:val="none"/>
                      <w:lang w:val="en-US" w:eastAsia="zh-CN" w:bidi="ar"/>
                    </w:rPr>
                    <w:t>1</w:t>
                  </w:r>
                </w:p>
              </w:tc>
              <w:tc>
                <w:tcPr>
                  <w:tcW w:w="276" w:type="pct"/>
                  <w:shd w:val="clear" w:color="auto" w:fill="auto"/>
                  <w:noWrap w:val="0"/>
                  <w:vAlign w:val="center"/>
                </w:tcPr>
                <w:p w14:paraId="661FCBB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4</w:t>
                  </w:r>
                </w:p>
              </w:tc>
              <w:tc>
                <w:tcPr>
                  <w:tcW w:w="276" w:type="pct"/>
                  <w:shd w:val="clear" w:color="auto" w:fill="auto"/>
                  <w:noWrap w:val="0"/>
                  <w:vAlign w:val="center"/>
                </w:tcPr>
                <w:p w14:paraId="75CADF7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64</w:t>
                  </w:r>
                </w:p>
              </w:tc>
              <w:tc>
                <w:tcPr>
                  <w:tcW w:w="276" w:type="pct"/>
                  <w:shd w:val="clear" w:color="auto" w:fill="auto"/>
                  <w:noWrap w:val="0"/>
                  <w:vAlign w:val="center"/>
                </w:tcPr>
                <w:p w14:paraId="5717680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642" w:type="pct"/>
                  <w:shd w:val="clear" w:color="auto" w:fill="auto"/>
                  <w:noWrap w:val="0"/>
                  <w:tcMar>
                    <w:top w:w="15" w:type="dxa"/>
                    <w:left w:w="15" w:type="dxa"/>
                    <w:bottom w:w="0" w:type="dxa"/>
                    <w:right w:w="15" w:type="dxa"/>
                  </w:tcMar>
                  <w:vAlign w:val="center"/>
                </w:tcPr>
                <w:p w14:paraId="1630DE63">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85</w:t>
                  </w:r>
                </w:p>
              </w:tc>
              <w:tc>
                <w:tcPr>
                  <w:tcW w:w="703" w:type="pct"/>
                  <w:shd w:val="clear" w:color="auto" w:fill="auto"/>
                  <w:noWrap w:val="0"/>
                  <w:tcMar>
                    <w:top w:w="15" w:type="dxa"/>
                    <w:left w:w="15" w:type="dxa"/>
                    <w:bottom w:w="0" w:type="dxa"/>
                    <w:right w:w="15" w:type="dxa"/>
                  </w:tcMar>
                  <w:vAlign w:val="center"/>
                </w:tcPr>
                <w:p w14:paraId="2DCAA679">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684" w:type="pct"/>
                  <w:vMerge w:val="restart"/>
                  <w:shd w:val="clear" w:color="auto" w:fill="auto"/>
                  <w:noWrap w:val="0"/>
                  <w:tcMar>
                    <w:top w:w="15" w:type="dxa"/>
                    <w:left w:w="15" w:type="dxa"/>
                    <w:bottom w:w="0" w:type="dxa"/>
                    <w:right w:w="15" w:type="dxa"/>
                  </w:tcMar>
                  <w:vAlign w:val="center"/>
                </w:tcPr>
                <w:p w14:paraId="42CC9E56">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color w:val="auto"/>
                      <w:sz w:val="18"/>
                      <w:szCs w:val="18"/>
                      <w:highlight w:val="none"/>
                      <w:lang w:val="en-US" w:eastAsia="zh-CN"/>
                    </w:rPr>
                    <w:t>低噪声设备、基础减振、</w:t>
                  </w:r>
                  <w:r>
                    <w:rPr>
                      <w:rFonts w:hint="default" w:ascii="Times New Roman" w:hAnsi="Times New Roman" w:eastAsia="宋体" w:cs="Times New Roman"/>
                      <w:color w:val="auto"/>
                      <w:sz w:val="18"/>
                      <w:szCs w:val="18"/>
                      <w:highlight w:val="none"/>
                      <w:lang w:val="en-US" w:eastAsia="zh-CN"/>
                    </w:rPr>
                    <w:t>进风口消声器、管道外壳阻尼</w:t>
                  </w:r>
                </w:p>
              </w:tc>
              <w:tc>
                <w:tcPr>
                  <w:tcW w:w="614" w:type="pct"/>
                  <w:vMerge w:val="restart"/>
                  <w:shd w:val="clear" w:color="auto" w:fill="auto"/>
                  <w:noWrap w:val="0"/>
                  <w:vAlign w:val="center"/>
                </w:tcPr>
                <w:p w14:paraId="5674A642">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12</w:t>
                  </w:r>
                </w:p>
              </w:tc>
              <w:tc>
                <w:tcPr>
                  <w:tcW w:w="584" w:type="pct"/>
                  <w:vMerge w:val="continue"/>
                  <w:noWrap w:val="0"/>
                  <w:vAlign w:val="center"/>
                </w:tcPr>
                <w:p w14:paraId="5FBA6B2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rPr>
                      <w:rFonts w:hint="default" w:eastAsia="仿宋"/>
                      <w:color w:val="auto"/>
                      <w:sz w:val="18"/>
                      <w:szCs w:val="18"/>
                      <w:highlight w:val="none"/>
                    </w:rPr>
                  </w:pPr>
                </w:p>
              </w:tc>
            </w:tr>
            <w:tr w14:paraId="40C877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6ED0EFF4">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10</w:t>
                  </w:r>
                </w:p>
              </w:tc>
              <w:tc>
                <w:tcPr>
                  <w:tcW w:w="628" w:type="pct"/>
                  <w:shd w:val="clear" w:color="auto" w:fill="auto"/>
                  <w:noWrap w:val="0"/>
                  <w:tcMar>
                    <w:top w:w="15" w:type="dxa"/>
                    <w:left w:w="15" w:type="dxa"/>
                    <w:bottom w:w="0" w:type="dxa"/>
                    <w:right w:w="15" w:type="dxa"/>
                  </w:tcMar>
                  <w:vAlign w:val="center"/>
                </w:tcPr>
                <w:p w14:paraId="0DD52F3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热风机</w:t>
                  </w:r>
                  <w:r>
                    <w:rPr>
                      <w:rFonts w:hint="default" w:ascii="Times New Roman" w:hAnsi="Times New Roman" w:cs="Times New Roman"/>
                      <w:i w:val="0"/>
                      <w:iCs w:val="0"/>
                      <w:color w:val="auto"/>
                      <w:kern w:val="0"/>
                      <w:sz w:val="18"/>
                      <w:szCs w:val="18"/>
                      <w:highlight w:val="none"/>
                      <w:u w:val="none"/>
                      <w:lang w:val="en-US" w:eastAsia="zh-CN" w:bidi="ar"/>
                    </w:rPr>
                    <w:t>2</w:t>
                  </w:r>
                </w:p>
              </w:tc>
              <w:tc>
                <w:tcPr>
                  <w:tcW w:w="276" w:type="pct"/>
                  <w:shd w:val="clear" w:color="auto" w:fill="auto"/>
                  <w:noWrap w:val="0"/>
                  <w:vAlign w:val="center"/>
                </w:tcPr>
                <w:p w14:paraId="6A905A1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4</w:t>
                  </w:r>
                </w:p>
              </w:tc>
              <w:tc>
                <w:tcPr>
                  <w:tcW w:w="276" w:type="pct"/>
                  <w:shd w:val="clear" w:color="auto" w:fill="auto"/>
                  <w:noWrap w:val="0"/>
                  <w:vAlign w:val="center"/>
                </w:tcPr>
                <w:p w14:paraId="147B169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66</w:t>
                  </w:r>
                </w:p>
              </w:tc>
              <w:tc>
                <w:tcPr>
                  <w:tcW w:w="276" w:type="pct"/>
                  <w:shd w:val="clear" w:color="auto" w:fill="auto"/>
                  <w:noWrap w:val="0"/>
                  <w:vAlign w:val="center"/>
                </w:tcPr>
                <w:p w14:paraId="2044F1E7">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642" w:type="pct"/>
                  <w:shd w:val="clear" w:color="auto" w:fill="auto"/>
                  <w:noWrap w:val="0"/>
                  <w:tcMar>
                    <w:top w:w="15" w:type="dxa"/>
                    <w:left w:w="15" w:type="dxa"/>
                    <w:bottom w:w="0" w:type="dxa"/>
                    <w:right w:w="15" w:type="dxa"/>
                  </w:tcMar>
                  <w:vAlign w:val="center"/>
                </w:tcPr>
                <w:p w14:paraId="6B1EBD07">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85</w:t>
                  </w:r>
                </w:p>
              </w:tc>
              <w:tc>
                <w:tcPr>
                  <w:tcW w:w="703" w:type="pct"/>
                  <w:shd w:val="clear" w:color="auto" w:fill="auto"/>
                  <w:noWrap w:val="0"/>
                  <w:tcMar>
                    <w:top w:w="15" w:type="dxa"/>
                    <w:left w:w="15" w:type="dxa"/>
                    <w:bottom w:w="0" w:type="dxa"/>
                    <w:right w:w="15" w:type="dxa"/>
                  </w:tcMar>
                  <w:vAlign w:val="center"/>
                </w:tcPr>
                <w:p w14:paraId="4128C525">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684" w:type="pct"/>
                  <w:vMerge w:val="continue"/>
                  <w:shd w:val="clear" w:color="auto" w:fill="auto"/>
                  <w:noWrap w:val="0"/>
                  <w:tcMar>
                    <w:top w:w="15" w:type="dxa"/>
                    <w:left w:w="15" w:type="dxa"/>
                    <w:bottom w:w="0" w:type="dxa"/>
                    <w:right w:w="15" w:type="dxa"/>
                  </w:tcMar>
                  <w:vAlign w:val="center"/>
                </w:tcPr>
                <w:p w14:paraId="4AAF2464">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614" w:type="pct"/>
                  <w:vMerge w:val="continue"/>
                  <w:shd w:val="clear" w:color="auto" w:fill="auto"/>
                  <w:noWrap w:val="0"/>
                  <w:vAlign w:val="center"/>
                </w:tcPr>
                <w:p w14:paraId="7A63855C">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584" w:type="pct"/>
                  <w:vMerge w:val="continue"/>
                  <w:noWrap w:val="0"/>
                  <w:vAlign w:val="center"/>
                </w:tcPr>
                <w:p w14:paraId="52753AC1">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rPr>
                      <w:rFonts w:hint="default" w:eastAsia="仿宋"/>
                      <w:color w:val="auto"/>
                      <w:sz w:val="18"/>
                      <w:szCs w:val="18"/>
                      <w:highlight w:val="none"/>
                    </w:rPr>
                  </w:pPr>
                </w:p>
              </w:tc>
            </w:tr>
            <w:tr w14:paraId="35563B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03498123">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11</w:t>
                  </w:r>
                </w:p>
              </w:tc>
              <w:tc>
                <w:tcPr>
                  <w:tcW w:w="628" w:type="pct"/>
                  <w:shd w:val="clear" w:color="auto" w:fill="auto"/>
                  <w:noWrap w:val="0"/>
                  <w:tcMar>
                    <w:top w:w="15" w:type="dxa"/>
                    <w:left w:w="15" w:type="dxa"/>
                    <w:bottom w:w="0" w:type="dxa"/>
                    <w:right w:w="15" w:type="dxa"/>
                  </w:tcMar>
                  <w:vAlign w:val="center"/>
                </w:tcPr>
                <w:p w14:paraId="6E1FEAD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热风机</w:t>
                  </w:r>
                  <w:r>
                    <w:rPr>
                      <w:rFonts w:hint="default" w:ascii="Times New Roman" w:hAnsi="Times New Roman" w:cs="Times New Roman"/>
                      <w:i w:val="0"/>
                      <w:iCs w:val="0"/>
                      <w:color w:val="auto"/>
                      <w:kern w:val="0"/>
                      <w:sz w:val="18"/>
                      <w:szCs w:val="18"/>
                      <w:highlight w:val="none"/>
                      <w:u w:val="none"/>
                      <w:lang w:val="en-US" w:eastAsia="zh-CN" w:bidi="ar"/>
                    </w:rPr>
                    <w:t>3</w:t>
                  </w:r>
                </w:p>
              </w:tc>
              <w:tc>
                <w:tcPr>
                  <w:tcW w:w="276" w:type="pct"/>
                  <w:shd w:val="clear" w:color="auto" w:fill="auto"/>
                  <w:noWrap w:val="0"/>
                  <w:vAlign w:val="center"/>
                </w:tcPr>
                <w:p w14:paraId="04551F5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4</w:t>
                  </w:r>
                </w:p>
              </w:tc>
              <w:tc>
                <w:tcPr>
                  <w:tcW w:w="276" w:type="pct"/>
                  <w:shd w:val="clear" w:color="auto" w:fill="auto"/>
                  <w:noWrap w:val="0"/>
                  <w:vAlign w:val="center"/>
                </w:tcPr>
                <w:p w14:paraId="0275586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68</w:t>
                  </w:r>
                </w:p>
              </w:tc>
              <w:tc>
                <w:tcPr>
                  <w:tcW w:w="276" w:type="pct"/>
                  <w:shd w:val="clear" w:color="auto" w:fill="auto"/>
                  <w:noWrap w:val="0"/>
                  <w:vAlign w:val="center"/>
                </w:tcPr>
                <w:p w14:paraId="0C88BCB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642" w:type="pct"/>
                  <w:shd w:val="clear" w:color="auto" w:fill="auto"/>
                  <w:noWrap w:val="0"/>
                  <w:tcMar>
                    <w:top w:w="15" w:type="dxa"/>
                    <w:left w:w="15" w:type="dxa"/>
                    <w:bottom w:w="0" w:type="dxa"/>
                    <w:right w:w="15" w:type="dxa"/>
                  </w:tcMar>
                  <w:vAlign w:val="center"/>
                </w:tcPr>
                <w:p w14:paraId="71E1DB0C">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85</w:t>
                  </w:r>
                </w:p>
              </w:tc>
              <w:tc>
                <w:tcPr>
                  <w:tcW w:w="703" w:type="pct"/>
                  <w:shd w:val="clear" w:color="auto" w:fill="auto"/>
                  <w:noWrap w:val="0"/>
                  <w:tcMar>
                    <w:top w:w="15" w:type="dxa"/>
                    <w:left w:w="15" w:type="dxa"/>
                    <w:bottom w:w="0" w:type="dxa"/>
                    <w:right w:w="15" w:type="dxa"/>
                  </w:tcMar>
                  <w:vAlign w:val="center"/>
                </w:tcPr>
                <w:p w14:paraId="5CC7F6DA">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684" w:type="pct"/>
                  <w:vMerge w:val="continue"/>
                  <w:shd w:val="clear" w:color="auto" w:fill="auto"/>
                  <w:noWrap w:val="0"/>
                  <w:tcMar>
                    <w:top w:w="15" w:type="dxa"/>
                    <w:left w:w="15" w:type="dxa"/>
                    <w:bottom w:w="0" w:type="dxa"/>
                    <w:right w:w="15" w:type="dxa"/>
                  </w:tcMar>
                  <w:vAlign w:val="center"/>
                </w:tcPr>
                <w:p w14:paraId="0414F94C">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614" w:type="pct"/>
                  <w:vMerge w:val="continue"/>
                  <w:shd w:val="clear" w:color="auto" w:fill="auto"/>
                  <w:noWrap w:val="0"/>
                  <w:vAlign w:val="center"/>
                </w:tcPr>
                <w:p w14:paraId="354CC49A">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584" w:type="pct"/>
                  <w:vMerge w:val="continue"/>
                  <w:noWrap w:val="0"/>
                  <w:vAlign w:val="center"/>
                </w:tcPr>
                <w:p w14:paraId="322FCD92">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rPr>
                      <w:rFonts w:hint="default" w:eastAsia="仿宋"/>
                      <w:color w:val="auto"/>
                      <w:sz w:val="18"/>
                      <w:szCs w:val="18"/>
                      <w:highlight w:val="none"/>
                    </w:rPr>
                  </w:pPr>
                </w:p>
              </w:tc>
            </w:tr>
            <w:tr w14:paraId="52E00F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1B7DAFB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12</w:t>
                  </w:r>
                </w:p>
              </w:tc>
              <w:tc>
                <w:tcPr>
                  <w:tcW w:w="628" w:type="pct"/>
                  <w:shd w:val="clear" w:color="auto" w:fill="auto"/>
                  <w:noWrap w:val="0"/>
                  <w:tcMar>
                    <w:top w:w="15" w:type="dxa"/>
                    <w:left w:w="15" w:type="dxa"/>
                    <w:bottom w:w="0" w:type="dxa"/>
                    <w:right w:w="15" w:type="dxa"/>
                  </w:tcMar>
                  <w:vAlign w:val="center"/>
                </w:tcPr>
                <w:p w14:paraId="62635C6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冷风机</w:t>
                  </w:r>
                </w:p>
              </w:tc>
              <w:tc>
                <w:tcPr>
                  <w:tcW w:w="276" w:type="pct"/>
                  <w:shd w:val="clear" w:color="auto" w:fill="auto"/>
                  <w:noWrap w:val="0"/>
                  <w:vAlign w:val="center"/>
                </w:tcPr>
                <w:p w14:paraId="2A61EE1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4</w:t>
                  </w:r>
                </w:p>
              </w:tc>
              <w:tc>
                <w:tcPr>
                  <w:tcW w:w="276" w:type="pct"/>
                  <w:shd w:val="clear" w:color="auto" w:fill="auto"/>
                  <w:noWrap w:val="0"/>
                  <w:vAlign w:val="center"/>
                </w:tcPr>
                <w:p w14:paraId="001632B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70</w:t>
                  </w:r>
                </w:p>
              </w:tc>
              <w:tc>
                <w:tcPr>
                  <w:tcW w:w="276" w:type="pct"/>
                  <w:shd w:val="clear" w:color="auto" w:fill="auto"/>
                  <w:noWrap w:val="0"/>
                  <w:vAlign w:val="center"/>
                </w:tcPr>
                <w:p w14:paraId="1226DD75">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642" w:type="pct"/>
                  <w:shd w:val="clear" w:color="auto" w:fill="auto"/>
                  <w:noWrap w:val="0"/>
                  <w:tcMar>
                    <w:top w:w="15" w:type="dxa"/>
                    <w:left w:w="15" w:type="dxa"/>
                    <w:bottom w:w="0" w:type="dxa"/>
                    <w:right w:w="15" w:type="dxa"/>
                  </w:tcMar>
                  <w:vAlign w:val="center"/>
                </w:tcPr>
                <w:p w14:paraId="41DB59A4">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85</w:t>
                  </w:r>
                </w:p>
              </w:tc>
              <w:tc>
                <w:tcPr>
                  <w:tcW w:w="703" w:type="pct"/>
                  <w:shd w:val="clear" w:color="auto" w:fill="auto"/>
                  <w:noWrap w:val="0"/>
                  <w:tcMar>
                    <w:top w:w="15" w:type="dxa"/>
                    <w:left w:w="15" w:type="dxa"/>
                    <w:bottom w:w="0" w:type="dxa"/>
                    <w:right w:w="15" w:type="dxa"/>
                  </w:tcMar>
                  <w:vAlign w:val="center"/>
                </w:tcPr>
                <w:p w14:paraId="2F29F277">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684" w:type="pct"/>
                  <w:vMerge w:val="continue"/>
                  <w:shd w:val="clear" w:color="auto" w:fill="auto"/>
                  <w:noWrap w:val="0"/>
                  <w:tcMar>
                    <w:top w:w="15" w:type="dxa"/>
                    <w:left w:w="15" w:type="dxa"/>
                    <w:bottom w:w="0" w:type="dxa"/>
                    <w:right w:w="15" w:type="dxa"/>
                  </w:tcMar>
                  <w:vAlign w:val="center"/>
                </w:tcPr>
                <w:p w14:paraId="1B7F2B72">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614" w:type="pct"/>
                  <w:vMerge w:val="continue"/>
                  <w:shd w:val="clear" w:color="auto" w:fill="auto"/>
                  <w:noWrap w:val="0"/>
                  <w:vAlign w:val="center"/>
                </w:tcPr>
                <w:p w14:paraId="427B2B2B">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584" w:type="pct"/>
                  <w:vMerge w:val="continue"/>
                  <w:noWrap w:val="0"/>
                  <w:vAlign w:val="center"/>
                </w:tcPr>
                <w:p w14:paraId="5B800CE6">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rPr>
                      <w:rFonts w:hint="default" w:eastAsia="仿宋"/>
                      <w:color w:val="auto"/>
                      <w:sz w:val="18"/>
                      <w:szCs w:val="18"/>
                      <w:highlight w:val="none"/>
                    </w:rPr>
                  </w:pPr>
                </w:p>
              </w:tc>
            </w:tr>
            <w:tr w14:paraId="160E4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14" w:type="pct"/>
                  <w:shd w:val="clear" w:color="auto" w:fill="auto"/>
                  <w:noWrap w:val="0"/>
                  <w:tcMar>
                    <w:top w:w="15" w:type="dxa"/>
                    <w:left w:w="15" w:type="dxa"/>
                    <w:bottom w:w="0" w:type="dxa"/>
                    <w:right w:w="15" w:type="dxa"/>
                  </w:tcMar>
                  <w:vAlign w:val="center"/>
                </w:tcPr>
                <w:p w14:paraId="7A01C448">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r>
                    <w:rPr>
                      <w:rFonts w:hint="eastAsia" w:cs="Times New Roman"/>
                      <w:b w:val="0"/>
                      <w:bCs/>
                      <w:color w:val="auto"/>
                      <w:kern w:val="2"/>
                      <w:sz w:val="18"/>
                      <w:szCs w:val="18"/>
                      <w:highlight w:val="none"/>
                      <w:lang w:val="en-US" w:eastAsia="zh-CN" w:bidi="ar-SA"/>
                    </w:rPr>
                    <w:t>13</w:t>
                  </w:r>
                </w:p>
              </w:tc>
              <w:tc>
                <w:tcPr>
                  <w:tcW w:w="628" w:type="pct"/>
                  <w:shd w:val="clear" w:color="auto" w:fill="auto"/>
                  <w:noWrap w:val="0"/>
                  <w:tcMar>
                    <w:top w:w="15" w:type="dxa"/>
                    <w:left w:w="15" w:type="dxa"/>
                    <w:bottom w:w="0" w:type="dxa"/>
                    <w:right w:w="15" w:type="dxa"/>
                  </w:tcMar>
                  <w:vAlign w:val="center"/>
                </w:tcPr>
                <w:p w14:paraId="7331369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引风机</w:t>
                  </w:r>
                </w:p>
              </w:tc>
              <w:tc>
                <w:tcPr>
                  <w:tcW w:w="276" w:type="pct"/>
                  <w:shd w:val="clear" w:color="auto" w:fill="auto"/>
                  <w:noWrap w:val="0"/>
                  <w:vAlign w:val="center"/>
                </w:tcPr>
                <w:p w14:paraId="3A77796D">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6</w:t>
                  </w:r>
                </w:p>
              </w:tc>
              <w:tc>
                <w:tcPr>
                  <w:tcW w:w="276" w:type="pct"/>
                  <w:shd w:val="clear" w:color="auto" w:fill="auto"/>
                  <w:noWrap w:val="0"/>
                  <w:vAlign w:val="center"/>
                </w:tcPr>
                <w:p w14:paraId="0E8D219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79</w:t>
                  </w:r>
                </w:p>
              </w:tc>
              <w:tc>
                <w:tcPr>
                  <w:tcW w:w="276" w:type="pct"/>
                  <w:shd w:val="clear" w:color="auto" w:fill="auto"/>
                  <w:noWrap w:val="0"/>
                  <w:vAlign w:val="center"/>
                </w:tcPr>
                <w:p w14:paraId="16C480A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w:t>
                  </w:r>
                </w:p>
              </w:tc>
              <w:tc>
                <w:tcPr>
                  <w:tcW w:w="642" w:type="pct"/>
                  <w:shd w:val="clear" w:color="auto" w:fill="auto"/>
                  <w:noWrap w:val="0"/>
                  <w:tcMar>
                    <w:top w:w="15" w:type="dxa"/>
                    <w:left w:w="15" w:type="dxa"/>
                    <w:bottom w:w="0" w:type="dxa"/>
                    <w:right w:w="15" w:type="dxa"/>
                  </w:tcMar>
                  <w:vAlign w:val="center"/>
                </w:tcPr>
                <w:p w14:paraId="28195099">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lang w:val="en-US" w:eastAsia="zh-CN" w:bidi="ar-SA"/>
                    </w:rPr>
                    <w:t>8</w:t>
                  </w:r>
                  <w:r>
                    <w:rPr>
                      <w:rFonts w:hint="eastAsia" w:cs="Times New Roman"/>
                      <w:color w:val="auto"/>
                      <w:kern w:val="2"/>
                      <w:sz w:val="18"/>
                      <w:szCs w:val="18"/>
                      <w:highlight w:val="none"/>
                      <w:lang w:val="en-US" w:eastAsia="zh-CN" w:bidi="ar-SA"/>
                    </w:rPr>
                    <w:t>5</w:t>
                  </w:r>
                </w:p>
              </w:tc>
              <w:tc>
                <w:tcPr>
                  <w:tcW w:w="703" w:type="pct"/>
                  <w:shd w:val="clear" w:color="auto" w:fill="auto"/>
                  <w:noWrap w:val="0"/>
                  <w:tcMar>
                    <w:top w:w="15" w:type="dxa"/>
                    <w:left w:w="15" w:type="dxa"/>
                    <w:bottom w:w="0" w:type="dxa"/>
                    <w:right w:w="15" w:type="dxa"/>
                  </w:tcMar>
                  <w:vAlign w:val="center"/>
                </w:tcPr>
                <w:p w14:paraId="63A38475">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684" w:type="pct"/>
                  <w:vMerge w:val="continue"/>
                  <w:shd w:val="clear" w:color="auto" w:fill="auto"/>
                  <w:noWrap w:val="0"/>
                  <w:tcMar>
                    <w:top w:w="15" w:type="dxa"/>
                    <w:left w:w="15" w:type="dxa"/>
                    <w:bottom w:w="0" w:type="dxa"/>
                    <w:right w:w="15" w:type="dxa"/>
                  </w:tcMar>
                  <w:vAlign w:val="center"/>
                </w:tcPr>
                <w:p w14:paraId="32FBD670">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614" w:type="pct"/>
                  <w:vMerge w:val="continue"/>
                  <w:shd w:val="clear" w:color="auto" w:fill="auto"/>
                  <w:noWrap w:val="0"/>
                  <w:vAlign w:val="center"/>
                </w:tcPr>
                <w:p w14:paraId="26514A9A">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b w:val="0"/>
                      <w:bCs/>
                      <w:color w:val="auto"/>
                      <w:kern w:val="2"/>
                      <w:sz w:val="18"/>
                      <w:szCs w:val="18"/>
                      <w:highlight w:val="none"/>
                      <w:lang w:val="en-US" w:eastAsia="zh-CN" w:bidi="ar-SA"/>
                    </w:rPr>
                  </w:pPr>
                </w:p>
              </w:tc>
              <w:tc>
                <w:tcPr>
                  <w:tcW w:w="584" w:type="pct"/>
                  <w:vMerge w:val="continue"/>
                  <w:noWrap w:val="0"/>
                  <w:vAlign w:val="center"/>
                </w:tcPr>
                <w:p w14:paraId="0595E8DD">
                  <w:pPr>
                    <w:pStyle w:val="170"/>
                    <w:keepNext w:val="0"/>
                    <w:keepLines w:val="0"/>
                    <w:pageBreakBefore w:val="0"/>
                    <w:suppressLineNumbers w:val="0"/>
                    <w:kinsoku/>
                    <w:wordWrap/>
                    <w:overflowPunct/>
                    <w:topLinePunct w:val="0"/>
                    <w:autoSpaceDE/>
                    <w:autoSpaceDN/>
                    <w:bidi w:val="0"/>
                    <w:adjustRightInd/>
                    <w:snapToGrid w:val="0"/>
                    <w:spacing w:before="0" w:beforeLines="0" w:beforeAutospacing="0" w:after="0" w:afterLines="0" w:afterAutospacing="0"/>
                    <w:ind w:left="0" w:right="0"/>
                    <w:rPr>
                      <w:rFonts w:hint="default" w:eastAsia="仿宋"/>
                      <w:color w:val="auto"/>
                      <w:sz w:val="18"/>
                      <w:szCs w:val="18"/>
                      <w:highlight w:val="none"/>
                    </w:rPr>
                  </w:pPr>
                </w:p>
              </w:tc>
            </w:tr>
          </w:tbl>
          <w:p w14:paraId="661153CE">
            <w:pPr>
              <w:pStyle w:val="1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（2）影响预测</w:t>
            </w:r>
          </w:p>
          <w:p w14:paraId="233B8AAD">
            <w:pPr>
              <w:pStyle w:val="15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①预测模式</w:t>
            </w:r>
          </w:p>
          <w:p w14:paraId="0E78B4D2">
            <w:pPr>
              <w:pStyle w:val="15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1"/>
                <w:szCs w:val="21"/>
                <w:highlight w:val="none"/>
                <w:lang w:val="en-US" w:eastAsia="zh-CN" w:bidi="ar-SA"/>
              </w:rPr>
              <w:t>根据《环境影响评价技术导则声环境》（HJ2.4-2021），预测点的A声级</w:t>
            </w:r>
            <w:r>
              <w:rPr>
                <w:rFonts w:hint="default" w:ascii="Times New Roman" w:hAnsi="Times New Roman" w:eastAsia="宋体" w:cs="Times New Roman"/>
                <w:color w:val="auto"/>
                <w:kern w:val="2"/>
                <w:sz w:val="21"/>
                <w:szCs w:val="21"/>
                <w:highlight w:val="none"/>
                <w:lang w:val="en-US" w:eastAsia="zh-CN" w:bidi="ar-SA"/>
              </w:rPr>
              <w:object>
                <v:shape id="_x0000_i1027" o:spt="75" type="#_x0000_t75" style="height:17.25pt;width:30.75pt;" o:ole="t" fillcolor="#6D6D6D" filled="f" o:preferrelative="t" stroked="f" coordsize="21600,21600">
                  <v:path/>
                  <v:fill on="f" focussize="0,0"/>
                  <v:stroke on="f"/>
                  <v:imagedata r:id="rId23" o:title=""/>
                  <o:lock v:ext="edit" aspectratio="t"/>
                  <w10:wrap type="none"/>
                  <w10:anchorlock/>
                </v:shape>
                <o:OLEObject Type="Embed" ProgID="Equation.3" ShapeID="_x0000_i1027" DrawAspect="Content" ObjectID="_1468075727" r:id="rId22">
                  <o:LockedField>false</o:LockedField>
                </o:OLEObject>
              </w:object>
            </w:r>
            <w:r>
              <w:rPr>
                <w:rFonts w:hint="default" w:ascii="Times New Roman" w:hAnsi="Times New Roman" w:eastAsia="宋体" w:cs="Times New Roman"/>
                <w:color w:val="auto"/>
                <w:kern w:val="2"/>
                <w:sz w:val="21"/>
                <w:szCs w:val="21"/>
                <w:highlight w:val="none"/>
                <w:lang w:val="en-US" w:eastAsia="zh-CN" w:bidi="ar-SA"/>
              </w:rPr>
              <w:t>可按下式计算，即将8个倍频带声压级合成，计算出预测点的A声级</w:t>
            </w:r>
            <w:r>
              <w:rPr>
                <w:rFonts w:hint="default" w:ascii="Times New Roman" w:hAnsi="Times New Roman" w:eastAsia="宋体" w:cs="Times New Roman"/>
                <w:color w:val="auto"/>
                <w:kern w:val="2"/>
                <w:sz w:val="21"/>
                <w:szCs w:val="21"/>
                <w:highlight w:val="none"/>
                <w:lang w:val="en-US" w:eastAsia="zh-CN" w:bidi="ar-SA"/>
              </w:rPr>
              <w:object>
                <v:shape id="_x0000_i1028" o:spt="75" type="#_x0000_t75" style="height:17.25pt;width:30.75pt;" o:ole="t" fillcolor="#6D6D6D" filled="f" o:preferrelative="t" stroked="f" coordsize="21600,21600">
                  <v:path/>
                  <v:fill on="f" focussize="0,0"/>
                  <v:stroke on="f"/>
                  <v:imagedata r:id="rId25" o:title=""/>
                  <o:lock v:ext="edit" aspectratio="t"/>
                  <w10:wrap type="none"/>
                  <w10:anchorlock/>
                </v:shape>
                <o:OLEObject Type="Embed" ProgID="Equation.3" ShapeID="_x0000_i1028" DrawAspect="Content" ObjectID="_1468075728" r:id="rId24">
                  <o:LockedField>false</o:LockedField>
                </o:OLEObject>
              </w:object>
            </w:r>
            <w:r>
              <w:rPr>
                <w:rFonts w:hint="default" w:ascii="Times New Roman" w:hAnsi="Times New Roman" w:eastAsia="宋体" w:cs="Times New Roman"/>
                <w:color w:val="auto"/>
                <w:kern w:val="2"/>
                <w:sz w:val="21"/>
                <w:szCs w:val="21"/>
                <w:highlight w:val="none"/>
                <w:lang w:val="en-US" w:eastAsia="zh-CN" w:bidi="ar-SA"/>
              </w:rPr>
              <w:t>：</w:t>
            </w:r>
          </w:p>
          <w:p w14:paraId="2B87CB14">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position w:val="-28"/>
                <w:highlight w:val="none"/>
              </w:rPr>
              <w:object>
                <v:shape id="_x0000_i1029" o:spt="75" type="#_x0000_t75" style="height:36pt;width:148pt;" o:ole="t" filled="f" o:preferrelative="t" stroked="f" coordsize="21600,21600">
                  <v:path/>
                  <v:fill on="f" focussize="0,0"/>
                  <v:stroke on="f"/>
                  <v:imagedata r:id="rId27" o:title=""/>
                  <o:lock v:ext="edit" aspectratio="t"/>
                  <w10:wrap type="none"/>
                  <w10:anchorlock/>
                </v:shape>
                <o:OLEObject Type="Embed" ProgID="Equation.3" ShapeID="_x0000_i1029" DrawAspect="Content" ObjectID="_1468075729" r:id="rId26">
                  <o:LockedField>false</o:LockedField>
                </o:OLEObject>
              </w:object>
            </w:r>
          </w:p>
          <w:p w14:paraId="410DFB0E">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式中：LA(r) ——距声源r 处的A 声级，dB(A)；</w:t>
            </w:r>
          </w:p>
          <w:p w14:paraId="608268E0">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Lpi(r) ——预测点（r）处，第i 倍频带声压级，dB；</w:t>
            </w:r>
          </w:p>
          <w:p w14:paraId="6588F774">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ΔLi ——第 i 倍频带的A 计权网络修正值，dB。</w:t>
            </w:r>
          </w:p>
          <w:p w14:paraId="2EA1C2F3">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预测点声压级公式为：</w:t>
            </w:r>
          </w:p>
          <w:p w14:paraId="440A2B2A">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drawing>
                <wp:inline distT="0" distB="0" distL="114300" distR="114300">
                  <wp:extent cx="3647440" cy="304800"/>
                  <wp:effectExtent l="0" t="0" r="10160" b="0"/>
                  <wp:docPr id="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
                          <pic:cNvPicPr>
                            <a:picLocks noChangeAspect="1"/>
                          </pic:cNvPicPr>
                        </pic:nvPicPr>
                        <pic:blipFill>
                          <a:blip r:embed="rId28"/>
                          <a:stretch>
                            <a:fillRect/>
                          </a:stretch>
                        </pic:blipFill>
                        <pic:spPr>
                          <a:xfrm>
                            <a:off x="0" y="0"/>
                            <a:ext cx="3647440" cy="304800"/>
                          </a:xfrm>
                          <a:prstGeom prst="rect">
                            <a:avLst/>
                          </a:prstGeom>
                          <a:noFill/>
                          <a:ln>
                            <a:noFill/>
                          </a:ln>
                        </pic:spPr>
                      </pic:pic>
                    </a:graphicData>
                  </a:graphic>
                </wp:inline>
              </w:drawing>
            </w:r>
          </w:p>
          <w:p w14:paraId="0FF9B8A7">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式中：Lp(r)——预测点处声压级，dB；</w:t>
            </w:r>
          </w:p>
          <w:p w14:paraId="0BA06667">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Lp(r0)——参考位置r0处的声压级，dB；</w:t>
            </w:r>
          </w:p>
          <w:p w14:paraId="63EB70A9">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DC ——指向性校正，它描述点声源的等效连续声压级与产生声功率级Lw的全向点声源在规定方向的声级的偏差程度，dB；</w:t>
            </w:r>
          </w:p>
          <w:p w14:paraId="62EB8727">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Adiv——几何发散引起的衰减，dB；</w:t>
            </w:r>
          </w:p>
          <w:p w14:paraId="1DB4A3BE">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Aatm——大气吸收引起的衰减，dB；</w:t>
            </w:r>
          </w:p>
          <w:p w14:paraId="4041F202">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Agr——地面效应引起的衰减，dB；</w:t>
            </w:r>
          </w:p>
          <w:p w14:paraId="56AA9FFA">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Abar——障碍物屏蔽引起的衰减，dB；</w:t>
            </w:r>
          </w:p>
          <w:p w14:paraId="3F5D0E69">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Amisc——其他多方面效应引起的衰减，dB。</w:t>
            </w:r>
          </w:p>
          <w:p w14:paraId="1C725826">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A.无指向性点声源几何发散衰减公式</w:t>
            </w:r>
          </w:p>
          <w:p w14:paraId="19B100EA">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drawing>
                <wp:inline distT="0" distB="0" distL="114300" distR="114300">
                  <wp:extent cx="2106295" cy="361950"/>
                  <wp:effectExtent l="0" t="0" r="8255" b="0"/>
                  <wp:docPr id="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
                          <pic:cNvPicPr>
                            <a:picLocks noChangeAspect="1"/>
                          </pic:cNvPicPr>
                        </pic:nvPicPr>
                        <pic:blipFill>
                          <a:blip r:embed="rId29"/>
                          <a:stretch>
                            <a:fillRect/>
                          </a:stretch>
                        </pic:blipFill>
                        <pic:spPr>
                          <a:xfrm>
                            <a:off x="0" y="0"/>
                            <a:ext cx="2106295" cy="361950"/>
                          </a:xfrm>
                          <a:prstGeom prst="rect">
                            <a:avLst/>
                          </a:prstGeom>
                          <a:noFill/>
                          <a:ln>
                            <a:noFill/>
                          </a:ln>
                        </pic:spPr>
                      </pic:pic>
                    </a:graphicData>
                  </a:graphic>
                </wp:inline>
              </w:drawing>
            </w:r>
          </w:p>
          <w:p w14:paraId="44CED2DD">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式中：Lp(r) ——预测点处声压级，dB；</w:t>
            </w:r>
          </w:p>
          <w:p w14:paraId="712C2997">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Lp(r0) ——参考位置r0处的声压级，dB； </w:t>
            </w:r>
          </w:p>
          <w:p w14:paraId="438937C3">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r ——预测点距声源的距离； </w:t>
            </w:r>
          </w:p>
          <w:p w14:paraId="2E8D5890">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r0——参考位置距声源的距离。</w:t>
            </w:r>
          </w:p>
          <w:p w14:paraId="11974163">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B.大气吸收引起的衰减</w:t>
            </w:r>
          </w:p>
          <w:p w14:paraId="05A38CA7">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drawing>
                <wp:inline distT="0" distB="0" distL="114300" distR="114300">
                  <wp:extent cx="1209675" cy="476250"/>
                  <wp:effectExtent l="0" t="0" r="9525" b="0"/>
                  <wp:docPr id="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0"/>
                          <pic:cNvPicPr>
                            <a:picLocks noChangeAspect="1"/>
                          </pic:cNvPicPr>
                        </pic:nvPicPr>
                        <pic:blipFill>
                          <a:blip r:embed="rId30"/>
                          <a:stretch>
                            <a:fillRect/>
                          </a:stretch>
                        </pic:blipFill>
                        <pic:spPr>
                          <a:xfrm>
                            <a:off x="0" y="0"/>
                            <a:ext cx="1209675" cy="476250"/>
                          </a:xfrm>
                          <a:prstGeom prst="rect">
                            <a:avLst/>
                          </a:prstGeom>
                          <a:noFill/>
                          <a:ln>
                            <a:noFill/>
                          </a:ln>
                        </pic:spPr>
                      </pic:pic>
                    </a:graphicData>
                  </a:graphic>
                </wp:inline>
              </w:drawing>
            </w:r>
          </w:p>
          <w:p w14:paraId="7FD0FFD3">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式中：a——与温度、湿度和声波频率有关的大气吸收衰减系数。</w:t>
            </w:r>
          </w:p>
          <w:p w14:paraId="15BB68A4">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C.地面效应衰减</w:t>
            </w:r>
          </w:p>
          <w:p w14:paraId="6C1E44C9">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object>
                <v:shape id="_x0000_i1030" o:spt="75" type="#_x0000_t75" style="height:30.75pt;width:143.3pt;" o:ole="t" fillcolor="#6D6D6D" filled="f" o:preferrelative="t" stroked="f" coordsize="21600,21600">
                  <v:path/>
                  <v:fill on="f" focussize="0,0"/>
                  <v:stroke on="f"/>
                  <v:imagedata r:id="rId32" o:title=""/>
                  <o:lock v:ext="edit" aspectratio="t"/>
                  <w10:wrap type="none"/>
                  <w10:anchorlock/>
                </v:shape>
                <o:OLEObject Type="Embed" ProgID="Equation.3" ShapeID="_x0000_i1030" DrawAspect="Content" ObjectID="_1468075730" r:id="rId31">
                  <o:LockedField>false</o:LockedField>
                </o:OLEObject>
              </w:object>
            </w:r>
          </w:p>
          <w:p w14:paraId="5B1DD011">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式中：hm—— 传播路径的平均离地高度，m。</w:t>
            </w:r>
          </w:p>
          <w:p w14:paraId="2DC507CD">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D.障碍物屏障引起的衰减</w:t>
            </w:r>
          </w:p>
          <w:p w14:paraId="1504603C">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object>
                <v:shape id="_x0000_i1031" o:spt="75" type="#_x0000_t75" style="height:33.75pt;width:227.25pt;" o:ole="t" fillcolor="#6D6D6D" filled="f" o:preferrelative="t" stroked="f" coordsize="21600,21600">
                  <v:path/>
                  <v:fill on="f" focussize="0,0"/>
                  <v:stroke on="f"/>
                  <v:imagedata r:id="rId34" o:title=""/>
                  <o:lock v:ext="edit" aspectratio="t"/>
                  <w10:wrap type="none"/>
                  <w10:anchorlock/>
                </v:shape>
                <o:OLEObject Type="Embed" ProgID="Equation.3" ShapeID="_x0000_i1031" DrawAspect="Content" ObjectID="_1468075731" r:id="rId33">
                  <o:LockedField>false</o:LockedField>
                </o:OLEObject>
              </w:object>
            </w:r>
          </w:p>
          <w:p w14:paraId="40534DA5">
            <w:pPr>
              <w:pStyle w:val="171"/>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式中：N1、N2、N3——三个传播途径的声程差δ1、δ2、δ3相应的菲涅尔数。</w:t>
            </w:r>
          </w:p>
          <w:p w14:paraId="7D8D929D">
            <w:pPr>
              <w:pStyle w:val="15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②</w:t>
            </w:r>
            <w:r>
              <w:rPr>
                <w:rFonts w:hint="default" w:ascii="Times New Roman" w:hAnsi="Times New Roman" w:eastAsia="宋体" w:cs="Times New Roman"/>
                <w:color w:val="auto"/>
                <w:kern w:val="2"/>
                <w:sz w:val="21"/>
                <w:szCs w:val="21"/>
                <w:highlight w:val="none"/>
                <w:lang w:val="en-US" w:eastAsia="zh-CN" w:bidi="ar-SA"/>
              </w:rPr>
              <w:t>预测结果</w:t>
            </w:r>
          </w:p>
          <w:p w14:paraId="38A46836">
            <w:pPr>
              <w:pStyle w:val="15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本次预测不考虑大气吸收、地面效应等衰减因素，仅考虑建筑隔声及距离衰减，预测结果见表4-</w:t>
            </w:r>
            <w:r>
              <w:rPr>
                <w:rFonts w:hint="eastAsia" w:cs="Times New Roman"/>
                <w:color w:val="auto"/>
                <w:kern w:val="2"/>
                <w:sz w:val="21"/>
                <w:szCs w:val="21"/>
                <w:highlight w:val="none"/>
                <w:lang w:val="en-US" w:eastAsia="zh-CN" w:bidi="ar-SA"/>
              </w:rPr>
              <w:t>9、4-10</w:t>
            </w:r>
            <w:r>
              <w:rPr>
                <w:rFonts w:hint="default" w:ascii="Times New Roman" w:hAnsi="Times New Roman" w:eastAsia="宋体" w:cs="Times New Roman"/>
                <w:color w:val="auto"/>
                <w:kern w:val="2"/>
                <w:sz w:val="21"/>
                <w:szCs w:val="21"/>
                <w:highlight w:val="none"/>
                <w:lang w:val="en-US" w:eastAsia="zh-CN" w:bidi="ar-SA"/>
              </w:rPr>
              <w:t>。</w:t>
            </w:r>
          </w:p>
          <w:p w14:paraId="6B7F6EAC">
            <w:pPr>
              <w:pStyle w:val="73"/>
              <w:keepNext w:val="0"/>
              <w:keepLines w:val="0"/>
              <w:suppressLineNumbers w:val="0"/>
              <w:kinsoku w:val="0"/>
              <w:overflowPunct w:val="0"/>
              <w:autoSpaceDE w:val="0"/>
              <w:autoSpaceDN w:val="0"/>
              <w:snapToGrid/>
              <w:spacing w:before="0" w:beforeAutospacing="0" w:after="0" w:afterAutospacing="0" w:line="240" w:lineRule="auto"/>
              <w:ind w:left="0" w:right="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表4</w:t>
            </w:r>
            <w:r>
              <w:rPr>
                <w:rFonts w:hint="eastAsia" w:ascii="Times New Roman" w:hAnsi="Times New Roman" w:eastAsia="宋体" w:cs="Times New Roman"/>
                <w:b/>
                <w:color w:val="auto"/>
                <w:kern w:val="2"/>
                <w:sz w:val="21"/>
                <w:szCs w:val="21"/>
                <w:highlight w:val="none"/>
                <w:lang w:val="en-US" w:eastAsia="zh-CN" w:bidi="ar-SA"/>
              </w:rPr>
              <w:t>-</w:t>
            </w:r>
            <w:r>
              <w:rPr>
                <w:rFonts w:hint="eastAsia" w:ascii="Times New Roman" w:eastAsia="宋体" w:cs="Times New Roman"/>
                <w:b/>
                <w:color w:val="auto"/>
                <w:kern w:val="2"/>
                <w:sz w:val="21"/>
                <w:szCs w:val="21"/>
                <w:highlight w:val="none"/>
                <w:lang w:val="en-US" w:eastAsia="zh-CN" w:bidi="ar-SA"/>
              </w:rPr>
              <w:t>9</w:t>
            </w:r>
            <w:r>
              <w:rPr>
                <w:rFonts w:hint="eastAsia" w:ascii="Times New Roman" w:hAnsi="Times New Roman" w:eastAsia="宋体" w:cs="Times New Roman"/>
                <w:b/>
                <w:color w:val="auto"/>
                <w:kern w:val="2"/>
                <w:sz w:val="21"/>
                <w:szCs w:val="21"/>
                <w:highlight w:val="none"/>
                <w:lang w:val="en-US" w:eastAsia="zh-CN" w:bidi="ar-SA"/>
              </w:rPr>
              <w:t xml:space="preserve"> </w:t>
            </w:r>
            <w:r>
              <w:rPr>
                <w:rFonts w:hint="default" w:ascii="Times New Roman" w:hAnsi="Times New Roman" w:eastAsia="宋体" w:cs="Times New Roman"/>
                <w:b/>
                <w:color w:val="auto"/>
                <w:kern w:val="2"/>
                <w:sz w:val="21"/>
                <w:szCs w:val="21"/>
                <w:highlight w:val="none"/>
                <w:lang w:val="en-US" w:eastAsia="zh-CN" w:bidi="ar-SA"/>
              </w:rPr>
              <w:t>运营期间厂界噪声预测结果    单位：dB（A）</w:t>
            </w:r>
          </w:p>
          <w:tbl>
            <w:tblPr>
              <w:tblStyle w:val="37"/>
              <w:tblW w:w="8054"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964"/>
              <w:gridCol w:w="1342"/>
              <w:gridCol w:w="1342"/>
              <w:gridCol w:w="1343"/>
              <w:gridCol w:w="1343"/>
            </w:tblGrid>
            <w:tr w14:paraId="7699CC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vMerge w:val="restart"/>
                  <w:tcBorders>
                    <w:top w:val="single" w:color="auto" w:sz="12" w:space="0"/>
                  </w:tcBorders>
                </w:tcPr>
                <w:p w14:paraId="57BFAC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编号</w:t>
                  </w:r>
                </w:p>
              </w:tc>
              <w:tc>
                <w:tcPr>
                  <w:tcW w:w="1964" w:type="dxa"/>
                  <w:vMerge w:val="restart"/>
                  <w:tcBorders>
                    <w:top w:val="single" w:color="auto" w:sz="12" w:space="0"/>
                  </w:tcBorders>
                </w:tcPr>
                <w:p w14:paraId="07368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预测点</w:t>
                  </w:r>
                </w:p>
              </w:tc>
              <w:tc>
                <w:tcPr>
                  <w:tcW w:w="2684" w:type="dxa"/>
                  <w:gridSpan w:val="2"/>
                  <w:tcBorders>
                    <w:top w:val="single" w:color="auto" w:sz="12" w:space="0"/>
                  </w:tcBorders>
                </w:tcPr>
                <w:p w14:paraId="25EBBB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贡献值</w:t>
                  </w:r>
                </w:p>
              </w:tc>
              <w:tc>
                <w:tcPr>
                  <w:tcW w:w="2686" w:type="dxa"/>
                  <w:gridSpan w:val="2"/>
                  <w:tcBorders>
                    <w:top w:val="single" w:color="auto" w:sz="12" w:space="0"/>
                  </w:tcBorders>
                </w:tcPr>
                <w:p w14:paraId="2B0B04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标准值</w:t>
                  </w:r>
                </w:p>
              </w:tc>
            </w:tr>
            <w:tr w14:paraId="5D7CF5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vMerge w:val="continue"/>
                </w:tcPr>
                <w:p w14:paraId="45B3F8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bCs/>
                      <w:color w:val="auto"/>
                      <w:sz w:val="18"/>
                      <w:szCs w:val="18"/>
                      <w:highlight w:val="none"/>
                      <w:vertAlign w:val="baseline"/>
                    </w:rPr>
                  </w:pPr>
                </w:p>
              </w:tc>
              <w:tc>
                <w:tcPr>
                  <w:tcW w:w="1964" w:type="dxa"/>
                  <w:vMerge w:val="continue"/>
                </w:tcPr>
                <w:p w14:paraId="440D35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bCs/>
                      <w:color w:val="auto"/>
                      <w:sz w:val="18"/>
                      <w:szCs w:val="18"/>
                      <w:highlight w:val="none"/>
                      <w:vertAlign w:val="baseline"/>
                    </w:rPr>
                  </w:pPr>
                </w:p>
              </w:tc>
              <w:tc>
                <w:tcPr>
                  <w:tcW w:w="1342" w:type="dxa"/>
                </w:tcPr>
                <w:p w14:paraId="3F62FD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昼间</w:t>
                  </w:r>
                </w:p>
              </w:tc>
              <w:tc>
                <w:tcPr>
                  <w:tcW w:w="1342" w:type="dxa"/>
                </w:tcPr>
                <w:p w14:paraId="2370EA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bCs/>
                      <w:color w:val="auto"/>
                      <w:sz w:val="18"/>
                      <w:szCs w:val="18"/>
                      <w:highlight w:val="none"/>
                      <w:vertAlign w:val="baseline"/>
                      <w:lang w:val="en-US" w:eastAsia="zh-CN"/>
                    </w:rPr>
                  </w:pPr>
                  <w:r>
                    <w:rPr>
                      <w:rFonts w:hint="eastAsia"/>
                      <w:bCs/>
                      <w:color w:val="auto"/>
                      <w:sz w:val="18"/>
                      <w:szCs w:val="18"/>
                      <w:highlight w:val="none"/>
                      <w:vertAlign w:val="baseline"/>
                      <w:lang w:val="en-US" w:eastAsia="zh-CN"/>
                    </w:rPr>
                    <w:t>夜间</w:t>
                  </w:r>
                </w:p>
              </w:tc>
              <w:tc>
                <w:tcPr>
                  <w:tcW w:w="1343" w:type="dxa"/>
                  <w:shd w:val="clear" w:color="auto" w:fill="auto"/>
                  <w:vAlign w:val="top"/>
                </w:tcPr>
                <w:p w14:paraId="4D1C2F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bCs/>
                      <w:color w:val="auto"/>
                      <w:sz w:val="18"/>
                      <w:szCs w:val="18"/>
                      <w:highlight w:val="none"/>
                      <w:vertAlign w:val="baseline"/>
                      <w:lang w:val="en-US" w:eastAsia="zh-CN"/>
                    </w:rPr>
                    <w:t>昼间</w:t>
                  </w:r>
                </w:p>
              </w:tc>
              <w:tc>
                <w:tcPr>
                  <w:tcW w:w="1343" w:type="dxa"/>
                  <w:shd w:val="clear" w:color="auto" w:fill="auto"/>
                  <w:vAlign w:val="top"/>
                </w:tcPr>
                <w:p w14:paraId="11D96B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Cs/>
                      <w:color w:val="auto"/>
                      <w:kern w:val="2"/>
                      <w:sz w:val="18"/>
                      <w:szCs w:val="18"/>
                      <w:highlight w:val="none"/>
                      <w:vertAlign w:val="baseline"/>
                      <w:lang w:val="en-US" w:eastAsia="zh-CN" w:bidi="ar-SA"/>
                    </w:rPr>
                  </w:pPr>
                  <w:r>
                    <w:rPr>
                      <w:rFonts w:hint="eastAsia"/>
                      <w:bCs/>
                      <w:color w:val="auto"/>
                      <w:sz w:val="18"/>
                      <w:szCs w:val="18"/>
                      <w:highlight w:val="none"/>
                      <w:vertAlign w:val="baseline"/>
                      <w:lang w:val="en-US" w:eastAsia="zh-CN"/>
                    </w:rPr>
                    <w:t>夜间</w:t>
                  </w:r>
                </w:p>
              </w:tc>
            </w:tr>
            <w:tr w14:paraId="0BF6CF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57EC4AD9">
                  <w:pPr>
                    <w:pStyle w:val="93"/>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2"/>
                      <w:rFonts w:eastAsia="仿宋"/>
                      <w:color w:val="auto"/>
                      <w:sz w:val="18"/>
                      <w:szCs w:val="18"/>
                      <w:highlight w:val="none"/>
                    </w:rPr>
                    <w:t>1</w:t>
                  </w:r>
                </w:p>
              </w:tc>
              <w:tc>
                <w:tcPr>
                  <w:tcW w:w="1964" w:type="dxa"/>
                  <w:vAlign w:val="center"/>
                </w:tcPr>
                <w:p w14:paraId="791FFA7E">
                  <w:pPr>
                    <w:pStyle w:val="149"/>
                    <w:keepNext w:val="0"/>
                    <w:keepLines w:val="0"/>
                    <w:suppressLineNumbers w:val="0"/>
                    <w:spacing w:before="0" w:beforeAutospacing="0" w:after="0" w:afterAutospacing="0"/>
                    <w:ind w:left="0" w:right="0"/>
                    <w:jc w:val="center"/>
                    <w:rPr>
                      <w:rFonts w:hint="default"/>
                      <w:bCs/>
                      <w:color w:val="auto"/>
                      <w:sz w:val="18"/>
                      <w:szCs w:val="18"/>
                      <w:highlight w:val="none"/>
                      <w:vertAlign w:val="baseline"/>
                    </w:rPr>
                  </w:pPr>
                  <w:r>
                    <w:rPr>
                      <w:rStyle w:val="172"/>
                      <w:color w:val="auto"/>
                      <w:sz w:val="18"/>
                      <w:szCs w:val="18"/>
                      <w:highlight w:val="none"/>
                    </w:rPr>
                    <w:t>东侧厂界外1m</w:t>
                  </w:r>
                </w:p>
              </w:tc>
              <w:tc>
                <w:tcPr>
                  <w:tcW w:w="1342" w:type="dxa"/>
                  <w:vAlign w:val="center"/>
                </w:tcPr>
                <w:p w14:paraId="3F004221">
                  <w:pPr>
                    <w:pStyle w:val="93"/>
                    <w:keepNext w:val="0"/>
                    <w:keepLines w:val="0"/>
                    <w:suppressLineNumbers w:val="0"/>
                    <w:spacing w:before="0" w:beforeAutospacing="0" w:after="0" w:afterAutospacing="0"/>
                    <w:ind w:left="0" w:leftChars="0" w:right="0" w:firstLine="0" w:firstLineChars="0"/>
                    <w:jc w:val="center"/>
                    <w:rPr>
                      <w:rStyle w:val="172"/>
                      <w:rFonts w:hint="default" w:ascii="Times New Roman" w:hAnsi="Times New Roman" w:eastAsia="仿宋" w:cs="Times New Roman"/>
                      <w:color w:val="auto"/>
                      <w:sz w:val="18"/>
                      <w:szCs w:val="18"/>
                      <w:highlight w:val="none"/>
                      <w:lang w:val="en-US" w:eastAsia="zh-CN"/>
                    </w:rPr>
                  </w:pPr>
                  <w:r>
                    <w:rPr>
                      <w:rStyle w:val="172"/>
                      <w:rFonts w:hint="eastAsia" w:eastAsia="仿宋" w:cs="Times New Roman"/>
                      <w:color w:val="auto"/>
                      <w:sz w:val="18"/>
                      <w:szCs w:val="18"/>
                      <w:highlight w:val="none"/>
                      <w:lang w:val="en-US" w:eastAsia="zh-CN"/>
                    </w:rPr>
                    <w:t>33.7</w:t>
                  </w:r>
                </w:p>
              </w:tc>
              <w:tc>
                <w:tcPr>
                  <w:tcW w:w="1342" w:type="dxa"/>
                  <w:vAlign w:val="center"/>
                </w:tcPr>
                <w:p w14:paraId="7E482BBD">
                  <w:pPr>
                    <w:pStyle w:val="93"/>
                    <w:keepNext w:val="0"/>
                    <w:keepLines w:val="0"/>
                    <w:suppressLineNumbers w:val="0"/>
                    <w:spacing w:before="0" w:beforeAutospacing="0" w:after="0" w:afterAutospacing="0"/>
                    <w:ind w:left="0" w:leftChars="0" w:right="0" w:rightChars="0" w:firstLine="0" w:firstLineChars="0"/>
                    <w:jc w:val="center"/>
                    <w:rPr>
                      <w:rStyle w:val="172"/>
                      <w:rFonts w:hint="default" w:ascii="Times New Roman" w:hAnsi="Times New Roman" w:eastAsia="仿宋" w:cs="Times New Roman"/>
                      <w:color w:val="auto"/>
                      <w:sz w:val="18"/>
                      <w:szCs w:val="18"/>
                      <w:highlight w:val="none"/>
                      <w:lang w:val="en-US" w:eastAsia="zh-CN"/>
                    </w:rPr>
                  </w:pPr>
                  <w:r>
                    <w:rPr>
                      <w:rStyle w:val="172"/>
                      <w:rFonts w:hint="eastAsia" w:eastAsia="仿宋" w:cs="Times New Roman"/>
                      <w:color w:val="auto"/>
                      <w:sz w:val="18"/>
                      <w:szCs w:val="18"/>
                      <w:highlight w:val="none"/>
                      <w:lang w:val="en-US" w:eastAsia="zh-CN"/>
                    </w:rPr>
                    <w:t>33.7</w:t>
                  </w:r>
                </w:p>
              </w:tc>
              <w:tc>
                <w:tcPr>
                  <w:tcW w:w="1343" w:type="dxa"/>
                  <w:vAlign w:val="center"/>
                </w:tcPr>
                <w:p w14:paraId="37AA8535">
                  <w:pPr>
                    <w:pStyle w:val="93"/>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lang w:val="en-US"/>
                    </w:rPr>
                  </w:pPr>
                  <w:r>
                    <w:rPr>
                      <w:rStyle w:val="172"/>
                      <w:rFonts w:hint="eastAsia" w:eastAsia="仿宋"/>
                      <w:color w:val="auto"/>
                      <w:sz w:val="18"/>
                      <w:szCs w:val="18"/>
                      <w:highlight w:val="none"/>
                      <w:lang w:val="en-US" w:eastAsia="zh-CN"/>
                    </w:rPr>
                    <w:t>60</w:t>
                  </w:r>
                </w:p>
              </w:tc>
              <w:tc>
                <w:tcPr>
                  <w:tcW w:w="1343" w:type="dxa"/>
                  <w:vAlign w:val="center"/>
                </w:tcPr>
                <w:p w14:paraId="53EE99DB">
                  <w:pPr>
                    <w:pStyle w:val="93"/>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lang w:val="en-US"/>
                    </w:rPr>
                  </w:pPr>
                  <w:r>
                    <w:rPr>
                      <w:rStyle w:val="172"/>
                      <w:rFonts w:hint="eastAsia" w:eastAsia="仿宋"/>
                      <w:color w:val="auto"/>
                      <w:sz w:val="18"/>
                      <w:szCs w:val="18"/>
                      <w:highlight w:val="none"/>
                      <w:lang w:val="en-US" w:eastAsia="zh-CN"/>
                    </w:rPr>
                    <w:t>50</w:t>
                  </w:r>
                </w:p>
              </w:tc>
            </w:tr>
            <w:tr w14:paraId="49B7C8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2D62C27F">
                  <w:pPr>
                    <w:pStyle w:val="93"/>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2"/>
                      <w:rFonts w:eastAsia="仿宋"/>
                      <w:color w:val="auto"/>
                      <w:sz w:val="18"/>
                      <w:szCs w:val="18"/>
                      <w:highlight w:val="none"/>
                    </w:rPr>
                    <w:t>2</w:t>
                  </w:r>
                </w:p>
              </w:tc>
              <w:tc>
                <w:tcPr>
                  <w:tcW w:w="1964" w:type="dxa"/>
                  <w:vAlign w:val="center"/>
                </w:tcPr>
                <w:p w14:paraId="1BC5E37F">
                  <w:pPr>
                    <w:pStyle w:val="149"/>
                    <w:keepNext w:val="0"/>
                    <w:keepLines w:val="0"/>
                    <w:suppressLineNumbers w:val="0"/>
                    <w:spacing w:before="0" w:beforeAutospacing="0" w:after="0" w:afterAutospacing="0"/>
                    <w:ind w:left="0" w:right="0"/>
                    <w:jc w:val="center"/>
                    <w:rPr>
                      <w:rFonts w:hint="default"/>
                      <w:bCs/>
                      <w:color w:val="auto"/>
                      <w:sz w:val="18"/>
                      <w:szCs w:val="18"/>
                      <w:highlight w:val="none"/>
                      <w:vertAlign w:val="baseline"/>
                    </w:rPr>
                  </w:pPr>
                  <w:r>
                    <w:rPr>
                      <w:rStyle w:val="172"/>
                      <w:color w:val="auto"/>
                      <w:sz w:val="18"/>
                      <w:szCs w:val="18"/>
                      <w:highlight w:val="none"/>
                    </w:rPr>
                    <w:t>南侧厂界外1m</w:t>
                  </w:r>
                </w:p>
              </w:tc>
              <w:tc>
                <w:tcPr>
                  <w:tcW w:w="1342" w:type="dxa"/>
                  <w:vAlign w:val="center"/>
                </w:tcPr>
                <w:p w14:paraId="1F86BCFD">
                  <w:pPr>
                    <w:pStyle w:val="93"/>
                    <w:keepNext w:val="0"/>
                    <w:keepLines w:val="0"/>
                    <w:suppressLineNumbers w:val="0"/>
                    <w:spacing w:before="0" w:beforeAutospacing="0" w:after="0" w:afterAutospacing="0"/>
                    <w:ind w:left="0" w:leftChars="0" w:right="0" w:firstLine="0" w:firstLineChars="0"/>
                    <w:jc w:val="center"/>
                    <w:rPr>
                      <w:rStyle w:val="172"/>
                      <w:rFonts w:hint="default" w:ascii="Times New Roman" w:hAnsi="Times New Roman" w:eastAsia="仿宋" w:cs="Times New Roman"/>
                      <w:color w:val="auto"/>
                      <w:sz w:val="18"/>
                      <w:szCs w:val="18"/>
                      <w:highlight w:val="none"/>
                      <w:lang w:val="en-US" w:eastAsia="zh-CN"/>
                    </w:rPr>
                  </w:pPr>
                  <w:r>
                    <w:rPr>
                      <w:rStyle w:val="172"/>
                      <w:rFonts w:hint="eastAsia" w:eastAsia="仿宋" w:cs="Times New Roman"/>
                      <w:color w:val="auto"/>
                      <w:sz w:val="18"/>
                      <w:szCs w:val="18"/>
                      <w:highlight w:val="none"/>
                      <w:lang w:val="en-US" w:eastAsia="zh-CN"/>
                    </w:rPr>
                    <w:t>29.6</w:t>
                  </w:r>
                </w:p>
              </w:tc>
              <w:tc>
                <w:tcPr>
                  <w:tcW w:w="1342" w:type="dxa"/>
                  <w:shd w:val="clear" w:color="auto" w:fill="auto"/>
                  <w:vAlign w:val="center"/>
                </w:tcPr>
                <w:p w14:paraId="67083545">
                  <w:pPr>
                    <w:pStyle w:val="93"/>
                    <w:keepNext w:val="0"/>
                    <w:keepLines w:val="0"/>
                    <w:suppressLineNumbers w:val="0"/>
                    <w:spacing w:before="0" w:beforeAutospacing="0" w:after="0" w:afterAutospacing="0"/>
                    <w:ind w:left="0" w:leftChars="0" w:right="0" w:rightChars="0" w:firstLine="0" w:firstLineChars="0"/>
                    <w:jc w:val="center"/>
                    <w:rPr>
                      <w:rStyle w:val="172"/>
                      <w:rFonts w:hint="default" w:ascii="Times New Roman" w:hAnsi="Times New Roman" w:eastAsia="仿宋" w:cs="Times New Roman"/>
                      <w:color w:val="auto"/>
                      <w:sz w:val="18"/>
                      <w:szCs w:val="18"/>
                      <w:highlight w:val="none"/>
                      <w:lang w:val="en-US" w:eastAsia="zh-CN"/>
                    </w:rPr>
                  </w:pPr>
                  <w:r>
                    <w:rPr>
                      <w:rStyle w:val="172"/>
                      <w:rFonts w:hint="eastAsia" w:eastAsia="仿宋" w:cs="Times New Roman"/>
                      <w:color w:val="auto"/>
                      <w:sz w:val="18"/>
                      <w:szCs w:val="18"/>
                      <w:highlight w:val="none"/>
                      <w:lang w:val="en-US" w:eastAsia="zh-CN"/>
                    </w:rPr>
                    <w:t>26.2</w:t>
                  </w:r>
                </w:p>
              </w:tc>
              <w:tc>
                <w:tcPr>
                  <w:tcW w:w="1343" w:type="dxa"/>
                  <w:vAlign w:val="center"/>
                </w:tcPr>
                <w:p w14:paraId="5A78BBB4">
                  <w:pPr>
                    <w:pStyle w:val="93"/>
                    <w:keepNext w:val="0"/>
                    <w:keepLines w:val="0"/>
                    <w:suppressLineNumbers w:val="0"/>
                    <w:spacing w:before="0" w:beforeAutospacing="0" w:after="0" w:afterAutospacing="0"/>
                    <w:ind w:left="0" w:leftChars="0" w:right="0" w:rightChars="0" w:firstLine="0" w:firstLineChars="0"/>
                    <w:jc w:val="center"/>
                    <w:rPr>
                      <w:rFonts w:hint="default"/>
                      <w:bCs/>
                      <w:color w:val="auto"/>
                      <w:sz w:val="18"/>
                      <w:szCs w:val="18"/>
                      <w:highlight w:val="none"/>
                      <w:vertAlign w:val="baseline"/>
                    </w:rPr>
                  </w:pPr>
                  <w:r>
                    <w:rPr>
                      <w:rStyle w:val="172"/>
                      <w:rFonts w:hint="eastAsia" w:eastAsia="仿宋"/>
                      <w:color w:val="auto"/>
                      <w:sz w:val="18"/>
                      <w:szCs w:val="18"/>
                      <w:highlight w:val="none"/>
                      <w:lang w:val="en-US" w:eastAsia="zh-CN"/>
                    </w:rPr>
                    <w:t>60</w:t>
                  </w:r>
                </w:p>
              </w:tc>
              <w:tc>
                <w:tcPr>
                  <w:tcW w:w="1343" w:type="dxa"/>
                  <w:vAlign w:val="center"/>
                </w:tcPr>
                <w:p w14:paraId="06883C32">
                  <w:pPr>
                    <w:pStyle w:val="93"/>
                    <w:keepNext w:val="0"/>
                    <w:keepLines w:val="0"/>
                    <w:suppressLineNumbers w:val="0"/>
                    <w:spacing w:before="0" w:beforeAutospacing="0" w:after="0" w:afterAutospacing="0"/>
                    <w:ind w:left="0" w:leftChars="0" w:right="0" w:rightChars="0" w:firstLine="0" w:firstLineChars="0"/>
                    <w:jc w:val="center"/>
                    <w:rPr>
                      <w:rFonts w:hint="default"/>
                      <w:bCs/>
                      <w:color w:val="auto"/>
                      <w:sz w:val="18"/>
                      <w:szCs w:val="18"/>
                      <w:highlight w:val="none"/>
                      <w:vertAlign w:val="baseline"/>
                    </w:rPr>
                  </w:pPr>
                  <w:r>
                    <w:rPr>
                      <w:rStyle w:val="172"/>
                      <w:rFonts w:hint="eastAsia" w:eastAsia="仿宋"/>
                      <w:color w:val="auto"/>
                      <w:sz w:val="18"/>
                      <w:szCs w:val="18"/>
                      <w:highlight w:val="none"/>
                      <w:lang w:val="en-US" w:eastAsia="zh-CN"/>
                    </w:rPr>
                    <w:t>50</w:t>
                  </w:r>
                </w:p>
              </w:tc>
            </w:tr>
            <w:tr w14:paraId="29ADDF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vAlign w:val="center"/>
                </w:tcPr>
                <w:p w14:paraId="76D31ECC">
                  <w:pPr>
                    <w:pStyle w:val="93"/>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2"/>
                      <w:rFonts w:eastAsia="仿宋"/>
                      <w:color w:val="auto"/>
                      <w:sz w:val="18"/>
                      <w:szCs w:val="18"/>
                      <w:highlight w:val="none"/>
                    </w:rPr>
                    <w:t>3</w:t>
                  </w:r>
                </w:p>
              </w:tc>
              <w:tc>
                <w:tcPr>
                  <w:tcW w:w="1964" w:type="dxa"/>
                  <w:vAlign w:val="center"/>
                </w:tcPr>
                <w:p w14:paraId="03C5636C">
                  <w:pPr>
                    <w:pStyle w:val="149"/>
                    <w:keepNext w:val="0"/>
                    <w:keepLines w:val="0"/>
                    <w:suppressLineNumbers w:val="0"/>
                    <w:spacing w:before="0" w:beforeAutospacing="0" w:after="0" w:afterAutospacing="0"/>
                    <w:ind w:left="0" w:right="0"/>
                    <w:jc w:val="center"/>
                    <w:rPr>
                      <w:rFonts w:hint="default"/>
                      <w:bCs/>
                      <w:color w:val="auto"/>
                      <w:sz w:val="18"/>
                      <w:szCs w:val="18"/>
                      <w:highlight w:val="none"/>
                      <w:vertAlign w:val="baseline"/>
                    </w:rPr>
                  </w:pPr>
                  <w:r>
                    <w:rPr>
                      <w:rStyle w:val="172"/>
                      <w:color w:val="auto"/>
                      <w:sz w:val="18"/>
                      <w:szCs w:val="18"/>
                      <w:highlight w:val="none"/>
                    </w:rPr>
                    <w:t>西侧厂界外1m</w:t>
                  </w:r>
                </w:p>
              </w:tc>
              <w:tc>
                <w:tcPr>
                  <w:tcW w:w="1342" w:type="dxa"/>
                  <w:vAlign w:val="center"/>
                </w:tcPr>
                <w:p w14:paraId="079C2397">
                  <w:pPr>
                    <w:pStyle w:val="93"/>
                    <w:keepNext w:val="0"/>
                    <w:keepLines w:val="0"/>
                    <w:suppressLineNumbers w:val="0"/>
                    <w:spacing w:before="0" w:beforeAutospacing="0" w:after="0" w:afterAutospacing="0"/>
                    <w:ind w:left="0" w:leftChars="0" w:right="0" w:firstLine="0" w:firstLineChars="0"/>
                    <w:jc w:val="center"/>
                    <w:rPr>
                      <w:rStyle w:val="172"/>
                      <w:rFonts w:hint="default" w:ascii="Times New Roman" w:hAnsi="Times New Roman" w:eastAsia="仿宋" w:cs="Times New Roman"/>
                      <w:color w:val="auto"/>
                      <w:sz w:val="18"/>
                      <w:szCs w:val="18"/>
                      <w:highlight w:val="none"/>
                      <w:lang w:val="en-US" w:eastAsia="zh-CN"/>
                    </w:rPr>
                  </w:pPr>
                  <w:r>
                    <w:rPr>
                      <w:rStyle w:val="172"/>
                      <w:rFonts w:hint="eastAsia" w:eastAsia="仿宋" w:cs="Times New Roman"/>
                      <w:color w:val="auto"/>
                      <w:sz w:val="18"/>
                      <w:szCs w:val="18"/>
                      <w:highlight w:val="none"/>
                      <w:lang w:val="en-US" w:eastAsia="zh-CN"/>
                    </w:rPr>
                    <w:t>39.3</w:t>
                  </w:r>
                </w:p>
              </w:tc>
              <w:tc>
                <w:tcPr>
                  <w:tcW w:w="1342" w:type="dxa"/>
                  <w:vAlign w:val="center"/>
                </w:tcPr>
                <w:p w14:paraId="377338C3">
                  <w:pPr>
                    <w:pStyle w:val="93"/>
                    <w:keepNext w:val="0"/>
                    <w:keepLines w:val="0"/>
                    <w:suppressLineNumbers w:val="0"/>
                    <w:spacing w:before="0" w:beforeAutospacing="0" w:after="0" w:afterAutospacing="0"/>
                    <w:ind w:left="0" w:leftChars="0" w:right="0" w:rightChars="0" w:firstLine="0" w:firstLineChars="0"/>
                    <w:jc w:val="center"/>
                    <w:rPr>
                      <w:rStyle w:val="172"/>
                      <w:rFonts w:hint="default" w:ascii="Times New Roman" w:hAnsi="Times New Roman" w:eastAsia="仿宋" w:cs="Times New Roman"/>
                      <w:color w:val="auto"/>
                      <w:sz w:val="18"/>
                      <w:szCs w:val="18"/>
                      <w:highlight w:val="none"/>
                      <w:lang w:val="en-US" w:eastAsia="zh-CN"/>
                    </w:rPr>
                  </w:pPr>
                  <w:r>
                    <w:rPr>
                      <w:rStyle w:val="172"/>
                      <w:rFonts w:hint="eastAsia" w:eastAsia="仿宋" w:cs="Times New Roman"/>
                      <w:color w:val="auto"/>
                      <w:sz w:val="18"/>
                      <w:szCs w:val="18"/>
                      <w:highlight w:val="none"/>
                      <w:lang w:val="en-US" w:eastAsia="zh-CN"/>
                    </w:rPr>
                    <w:t>39.3</w:t>
                  </w:r>
                </w:p>
              </w:tc>
              <w:tc>
                <w:tcPr>
                  <w:tcW w:w="1343" w:type="dxa"/>
                  <w:vAlign w:val="center"/>
                </w:tcPr>
                <w:p w14:paraId="683AF76E">
                  <w:pPr>
                    <w:pStyle w:val="93"/>
                    <w:keepNext w:val="0"/>
                    <w:keepLines w:val="0"/>
                    <w:suppressLineNumbers w:val="0"/>
                    <w:spacing w:before="0" w:beforeAutospacing="0" w:after="0" w:afterAutospacing="0"/>
                    <w:ind w:left="0" w:leftChars="0" w:right="0" w:rightChars="0" w:firstLine="0" w:firstLineChars="0"/>
                    <w:jc w:val="center"/>
                    <w:rPr>
                      <w:rFonts w:hint="default"/>
                      <w:bCs/>
                      <w:color w:val="auto"/>
                      <w:sz w:val="18"/>
                      <w:szCs w:val="18"/>
                      <w:highlight w:val="none"/>
                      <w:vertAlign w:val="baseline"/>
                    </w:rPr>
                  </w:pPr>
                  <w:r>
                    <w:rPr>
                      <w:rStyle w:val="172"/>
                      <w:rFonts w:hint="eastAsia" w:eastAsia="仿宋"/>
                      <w:color w:val="auto"/>
                      <w:sz w:val="18"/>
                      <w:szCs w:val="18"/>
                      <w:highlight w:val="none"/>
                      <w:lang w:val="en-US" w:eastAsia="zh-CN"/>
                    </w:rPr>
                    <w:t>60</w:t>
                  </w:r>
                </w:p>
              </w:tc>
              <w:tc>
                <w:tcPr>
                  <w:tcW w:w="1343" w:type="dxa"/>
                  <w:vAlign w:val="center"/>
                </w:tcPr>
                <w:p w14:paraId="3F0DD235">
                  <w:pPr>
                    <w:pStyle w:val="93"/>
                    <w:keepNext w:val="0"/>
                    <w:keepLines w:val="0"/>
                    <w:suppressLineNumbers w:val="0"/>
                    <w:spacing w:before="0" w:beforeAutospacing="0" w:after="0" w:afterAutospacing="0"/>
                    <w:ind w:left="0" w:leftChars="0" w:right="0" w:rightChars="0" w:firstLine="0" w:firstLineChars="0"/>
                    <w:jc w:val="center"/>
                    <w:rPr>
                      <w:rFonts w:hint="default"/>
                      <w:bCs/>
                      <w:color w:val="auto"/>
                      <w:sz w:val="18"/>
                      <w:szCs w:val="18"/>
                      <w:highlight w:val="none"/>
                      <w:vertAlign w:val="baseline"/>
                    </w:rPr>
                  </w:pPr>
                  <w:r>
                    <w:rPr>
                      <w:rStyle w:val="172"/>
                      <w:rFonts w:hint="eastAsia" w:eastAsia="仿宋"/>
                      <w:color w:val="auto"/>
                      <w:sz w:val="18"/>
                      <w:szCs w:val="18"/>
                      <w:highlight w:val="none"/>
                      <w:lang w:val="en-US" w:eastAsia="zh-CN"/>
                    </w:rPr>
                    <w:t>50</w:t>
                  </w:r>
                </w:p>
              </w:tc>
            </w:tr>
            <w:tr w14:paraId="294526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0" w:type="dxa"/>
                  <w:tcBorders>
                    <w:bottom w:val="single" w:color="auto" w:sz="12" w:space="0"/>
                  </w:tcBorders>
                  <w:vAlign w:val="center"/>
                </w:tcPr>
                <w:p w14:paraId="216200AA">
                  <w:pPr>
                    <w:pStyle w:val="93"/>
                    <w:keepNext w:val="0"/>
                    <w:keepLines w:val="0"/>
                    <w:suppressLineNumbers w:val="0"/>
                    <w:spacing w:before="0" w:beforeAutospacing="0" w:after="0" w:afterAutospacing="0"/>
                    <w:ind w:left="0" w:leftChars="0" w:right="0" w:firstLine="0" w:firstLineChars="0"/>
                    <w:jc w:val="center"/>
                    <w:rPr>
                      <w:rFonts w:hint="default"/>
                      <w:bCs/>
                      <w:color w:val="auto"/>
                      <w:sz w:val="18"/>
                      <w:szCs w:val="18"/>
                      <w:highlight w:val="none"/>
                      <w:vertAlign w:val="baseline"/>
                    </w:rPr>
                  </w:pPr>
                  <w:r>
                    <w:rPr>
                      <w:rStyle w:val="172"/>
                      <w:rFonts w:eastAsia="仿宋"/>
                      <w:color w:val="auto"/>
                      <w:sz w:val="18"/>
                      <w:szCs w:val="18"/>
                      <w:highlight w:val="none"/>
                    </w:rPr>
                    <w:t>4</w:t>
                  </w:r>
                </w:p>
              </w:tc>
              <w:tc>
                <w:tcPr>
                  <w:tcW w:w="1964" w:type="dxa"/>
                  <w:tcBorders>
                    <w:bottom w:val="single" w:color="auto" w:sz="12" w:space="0"/>
                  </w:tcBorders>
                  <w:vAlign w:val="center"/>
                </w:tcPr>
                <w:p w14:paraId="10195D08">
                  <w:pPr>
                    <w:pStyle w:val="149"/>
                    <w:keepNext w:val="0"/>
                    <w:keepLines w:val="0"/>
                    <w:suppressLineNumbers w:val="0"/>
                    <w:spacing w:before="0" w:beforeAutospacing="0" w:after="0" w:afterAutospacing="0"/>
                    <w:ind w:left="0" w:right="0"/>
                    <w:jc w:val="center"/>
                    <w:rPr>
                      <w:rFonts w:hint="default"/>
                      <w:bCs/>
                      <w:color w:val="auto"/>
                      <w:sz w:val="18"/>
                      <w:szCs w:val="18"/>
                      <w:highlight w:val="none"/>
                      <w:vertAlign w:val="baseline"/>
                    </w:rPr>
                  </w:pPr>
                  <w:r>
                    <w:rPr>
                      <w:rStyle w:val="172"/>
                      <w:color w:val="auto"/>
                      <w:sz w:val="18"/>
                      <w:szCs w:val="18"/>
                      <w:highlight w:val="none"/>
                    </w:rPr>
                    <w:t>北侧厂界外1m</w:t>
                  </w:r>
                </w:p>
              </w:tc>
              <w:tc>
                <w:tcPr>
                  <w:tcW w:w="1342" w:type="dxa"/>
                  <w:tcBorders>
                    <w:bottom w:val="single" w:color="auto" w:sz="12" w:space="0"/>
                  </w:tcBorders>
                  <w:vAlign w:val="center"/>
                </w:tcPr>
                <w:p w14:paraId="700C4ADD">
                  <w:pPr>
                    <w:pStyle w:val="93"/>
                    <w:keepNext w:val="0"/>
                    <w:keepLines w:val="0"/>
                    <w:suppressLineNumbers w:val="0"/>
                    <w:spacing w:before="0" w:beforeAutospacing="0" w:after="0" w:afterAutospacing="0"/>
                    <w:ind w:left="0" w:leftChars="0" w:right="0" w:firstLine="0" w:firstLineChars="0"/>
                    <w:jc w:val="center"/>
                    <w:rPr>
                      <w:rStyle w:val="172"/>
                      <w:rFonts w:hint="default" w:ascii="Times New Roman" w:hAnsi="Times New Roman" w:eastAsia="仿宋" w:cs="Times New Roman"/>
                      <w:color w:val="auto"/>
                      <w:sz w:val="18"/>
                      <w:szCs w:val="18"/>
                      <w:highlight w:val="none"/>
                      <w:lang w:val="en-US" w:eastAsia="zh-CN"/>
                    </w:rPr>
                  </w:pPr>
                  <w:r>
                    <w:rPr>
                      <w:rStyle w:val="172"/>
                      <w:rFonts w:hint="eastAsia" w:eastAsia="仿宋" w:cs="Times New Roman"/>
                      <w:color w:val="auto"/>
                      <w:sz w:val="18"/>
                      <w:szCs w:val="18"/>
                      <w:highlight w:val="none"/>
                      <w:lang w:val="en-US" w:eastAsia="zh-CN"/>
                    </w:rPr>
                    <w:t>41.7</w:t>
                  </w:r>
                </w:p>
              </w:tc>
              <w:tc>
                <w:tcPr>
                  <w:tcW w:w="1342" w:type="dxa"/>
                  <w:tcBorders>
                    <w:bottom w:val="single" w:color="auto" w:sz="12" w:space="0"/>
                  </w:tcBorders>
                  <w:shd w:val="clear" w:color="auto" w:fill="auto"/>
                  <w:vAlign w:val="center"/>
                </w:tcPr>
                <w:p w14:paraId="3DE7DECC">
                  <w:pPr>
                    <w:pStyle w:val="93"/>
                    <w:keepNext w:val="0"/>
                    <w:keepLines w:val="0"/>
                    <w:suppressLineNumbers w:val="0"/>
                    <w:spacing w:before="0" w:beforeAutospacing="0" w:after="0" w:afterAutospacing="0"/>
                    <w:ind w:left="0" w:leftChars="0" w:right="0" w:rightChars="0" w:firstLine="0" w:firstLineChars="0"/>
                    <w:jc w:val="center"/>
                    <w:rPr>
                      <w:rStyle w:val="172"/>
                      <w:rFonts w:hint="default" w:ascii="Times New Roman" w:hAnsi="Times New Roman" w:eastAsia="仿宋" w:cs="Times New Roman"/>
                      <w:color w:val="auto"/>
                      <w:sz w:val="18"/>
                      <w:szCs w:val="18"/>
                      <w:highlight w:val="none"/>
                      <w:lang w:val="en-US" w:eastAsia="zh-CN"/>
                    </w:rPr>
                  </w:pPr>
                  <w:r>
                    <w:rPr>
                      <w:rStyle w:val="172"/>
                      <w:rFonts w:hint="eastAsia" w:eastAsia="仿宋" w:cs="Times New Roman"/>
                      <w:color w:val="auto"/>
                      <w:sz w:val="18"/>
                      <w:szCs w:val="18"/>
                      <w:highlight w:val="none"/>
                      <w:lang w:val="en-US" w:eastAsia="zh-CN"/>
                    </w:rPr>
                    <w:t>41.7</w:t>
                  </w:r>
                </w:p>
              </w:tc>
              <w:tc>
                <w:tcPr>
                  <w:tcW w:w="1343" w:type="dxa"/>
                  <w:tcBorders>
                    <w:bottom w:val="single" w:color="auto" w:sz="12" w:space="0"/>
                  </w:tcBorders>
                  <w:vAlign w:val="center"/>
                </w:tcPr>
                <w:p w14:paraId="6096FBB0">
                  <w:pPr>
                    <w:pStyle w:val="93"/>
                    <w:keepNext w:val="0"/>
                    <w:keepLines w:val="0"/>
                    <w:suppressLineNumbers w:val="0"/>
                    <w:spacing w:before="0" w:beforeAutospacing="0" w:after="0" w:afterAutospacing="0"/>
                    <w:ind w:left="0" w:leftChars="0" w:right="0" w:rightChars="0" w:firstLine="0" w:firstLineChars="0"/>
                    <w:jc w:val="center"/>
                    <w:rPr>
                      <w:rFonts w:hint="default"/>
                      <w:bCs/>
                      <w:color w:val="auto"/>
                      <w:sz w:val="18"/>
                      <w:szCs w:val="18"/>
                      <w:highlight w:val="none"/>
                      <w:vertAlign w:val="baseline"/>
                    </w:rPr>
                  </w:pPr>
                  <w:r>
                    <w:rPr>
                      <w:rStyle w:val="172"/>
                      <w:rFonts w:hint="eastAsia" w:eastAsia="仿宋"/>
                      <w:color w:val="auto"/>
                      <w:sz w:val="18"/>
                      <w:szCs w:val="18"/>
                      <w:highlight w:val="none"/>
                      <w:lang w:val="en-US" w:eastAsia="zh-CN"/>
                    </w:rPr>
                    <w:t>60</w:t>
                  </w:r>
                </w:p>
              </w:tc>
              <w:tc>
                <w:tcPr>
                  <w:tcW w:w="1343" w:type="dxa"/>
                  <w:tcBorders>
                    <w:bottom w:val="single" w:color="auto" w:sz="12" w:space="0"/>
                  </w:tcBorders>
                  <w:vAlign w:val="center"/>
                </w:tcPr>
                <w:p w14:paraId="7049F619">
                  <w:pPr>
                    <w:pStyle w:val="93"/>
                    <w:keepNext w:val="0"/>
                    <w:keepLines w:val="0"/>
                    <w:suppressLineNumbers w:val="0"/>
                    <w:spacing w:before="0" w:beforeAutospacing="0" w:after="0" w:afterAutospacing="0"/>
                    <w:ind w:left="0" w:leftChars="0" w:right="0" w:rightChars="0" w:firstLine="0" w:firstLineChars="0"/>
                    <w:jc w:val="center"/>
                    <w:rPr>
                      <w:rFonts w:hint="default"/>
                      <w:bCs/>
                      <w:color w:val="auto"/>
                      <w:sz w:val="18"/>
                      <w:szCs w:val="18"/>
                      <w:highlight w:val="none"/>
                      <w:vertAlign w:val="baseline"/>
                    </w:rPr>
                  </w:pPr>
                  <w:r>
                    <w:rPr>
                      <w:rStyle w:val="172"/>
                      <w:rFonts w:hint="eastAsia" w:eastAsia="仿宋"/>
                      <w:color w:val="auto"/>
                      <w:sz w:val="18"/>
                      <w:szCs w:val="18"/>
                      <w:highlight w:val="none"/>
                      <w:lang w:val="en-US" w:eastAsia="zh-CN"/>
                    </w:rPr>
                    <w:t>50</w:t>
                  </w:r>
                </w:p>
              </w:tc>
            </w:tr>
          </w:tbl>
          <w:p w14:paraId="1F31B74C">
            <w:pPr>
              <w:pStyle w:val="73"/>
              <w:keepNext w:val="0"/>
              <w:keepLines w:val="0"/>
              <w:suppressLineNumbers w:val="0"/>
              <w:kinsoku w:val="0"/>
              <w:overflowPunct w:val="0"/>
              <w:autoSpaceDE w:val="0"/>
              <w:autoSpaceDN w:val="0"/>
              <w:snapToGrid/>
              <w:spacing w:before="0" w:beforeAutospacing="0" w:after="0" w:afterAutospacing="0" w:line="240" w:lineRule="auto"/>
              <w:ind w:left="0" w:right="0"/>
              <w:jc w:val="center"/>
              <w:rPr>
                <w:rFonts w:hint="default"/>
                <w:bCs/>
                <w:color w:val="FF0000"/>
                <w:szCs w:val="21"/>
                <w:highlight w:val="none"/>
              </w:rPr>
            </w:pPr>
            <w:r>
              <w:rPr>
                <w:rFonts w:hint="eastAsia" w:ascii="Times New Roman" w:hAnsi="Times New Roman" w:eastAsia="宋体" w:cs="Times New Roman"/>
                <w:b/>
                <w:color w:val="FF0000"/>
                <w:kern w:val="2"/>
                <w:sz w:val="21"/>
                <w:szCs w:val="21"/>
                <w:highlight w:val="none"/>
                <w:lang w:val="en-US" w:eastAsia="zh-CN" w:bidi="ar-SA"/>
              </w:rPr>
              <w:t>表4-</w:t>
            </w:r>
            <w:r>
              <w:rPr>
                <w:rFonts w:hint="eastAsia" w:ascii="Times New Roman" w:eastAsia="宋体" w:cs="Times New Roman"/>
                <w:b/>
                <w:color w:val="FF0000"/>
                <w:kern w:val="2"/>
                <w:sz w:val="21"/>
                <w:szCs w:val="21"/>
                <w:highlight w:val="none"/>
                <w:lang w:val="en-US" w:eastAsia="zh-CN" w:bidi="ar-SA"/>
              </w:rPr>
              <w:t>10</w:t>
            </w:r>
            <w:r>
              <w:rPr>
                <w:rFonts w:hint="eastAsia" w:ascii="Times New Roman" w:hAnsi="Times New Roman" w:eastAsia="宋体" w:cs="Times New Roman"/>
                <w:b/>
                <w:color w:val="FF0000"/>
                <w:kern w:val="2"/>
                <w:sz w:val="21"/>
                <w:szCs w:val="21"/>
                <w:highlight w:val="none"/>
                <w:lang w:val="en-US" w:eastAsia="zh-CN" w:bidi="ar-SA"/>
              </w:rPr>
              <w:t>声环境保护目标噪声预测结果与达标分析表</w:t>
            </w:r>
            <w:r>
              <w:rPr>
                <w:rFonts w:hint="default" w:ascii="Times New Roman" w:hAnsi="Times New Roman" w:eastAsia="宋体" w:cs="Times New Roman"/>
                <w:b/>
                <w:color w:val="FF0000"/>
                <w:kern w:val="2"/>
                <w:sz w:val="21"/>
                <w:szCs w:val="21"/>
                <w:highlight w:val="none"/>
                <w:lang w:val="en-US" w:eastAsia="zh-CN" w:bidi="ar-SA"/>
              </w:rPr>
              <w:t xml:space="preserve"> </w:t>
            </w:r>
            <w:r>
              <w:rPr>
                <w:rFonts w:hint="eastAsia" w:ascii="Times New Roman" w:eastAsia="宋体" w:cs="Times New Roman"/>
                <w:b/>
                <w:color w:val="FF0000"/>
                <w:kern w:val="2"/>
                <w:sz w:val="21"/>
                <w:szCs w:val="21"/>
                <w:highlight w:val="none"/>
                <w:lang w:val="en-US" w:eastAsia="zh-CN" w:bidi="ar-SA"/>
              </w:rPr>
              <w:t xml:space="preserve"> </w:t>
            </w:r>
            <w:r>
              <w:rPr>
                <w:rFonts w:hint="default" w:ascii="Times New Roman" w:hAnsi="Times New Roman" w:eastAsia="宋体" w:cs="Times New Roman"/>
                <w:b/>
                <w:color w:val="FF0000"/>
                <w:kern w:val="2"/>
                <w:sz w:val="21"/>
                <w:szCs w:val="21"/>
                <w:highlight w:val="none"/>
                <w:lang w:val="en-US" w:eastAsia="zh-CN" w:bidi="ar-SA"/>
              </w:rPr>
              <w:t>单位：dB（A）</w:t>
            </w:r>
          </w:p>
          <w:tbl>
            <w:tblPr>
              <w:tblStyle w:val="37"/>
              <w:tblW w:w="8035"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4"/>
              <w:gridCol w:w="823"/>
              <w:gridCol w:w="613"/>
              <w:gridCol w:w="614"/>
              <w:gridCol w:w="553"/>
              <w:gridCol w:w="599"/>
              <w:gridCol w:w="568"/>
              <w:gridCol w:w="614"/>
              <w:gridCol w:w="568"/>
              <w:gridCol w:w="554"/>
              <w:gridCol w:w="489"/>
              <w:gridCol w:w="542"/>
              <w:gridCol w:w="547"/>
              <w:gridCol w:w="577"/>
            </w:tblGrid>
            <w:tr w14:paraId="2B4C48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374" w:type="dxa"/>
                  <w:vMerge w:val="restart"/>
                  <w:tcBorders>
                    <w:top w:val="single" w:color="auto" w:sz="12" w:space="0"/>
                  </w:tcBorders>
                  <w:vAlign w:val="center"/>
                </w:tcPr>
                <w:p w14:paraId="3C971972">
                  <w:pPr>
                    <w:pStyle w:val="47"/>
                    <w:keepNext w:val="0"/>
                    <w:keepLines w:val="0"/>
                    <w:pageBreakBefore w:val="0"/>
                    <w:widowControl w:val="0"/>
                    <w:suppressLineNumbers w:val="0"/>
                    <w:wordWrap/>
                    <w:topLinePunct w:val="0"/>
                    <w:bidi w:val="0"/>
                    <w:adjustRightInd/>
                    <w:snapToGrid w:val="0"/>
                    <w:spacing w:before="0" w:beforeAutospacing="0" w:after="0" w:afterAutospacing="0" w:line="240" w:lineRule="auto"/>
                    <w:ind w:left="0" w:right="0"/>
                    <w:jc w:val="center"/>
                    <w:rPr>
                      <w:rFonts w:hint="eastAsia"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序号</w:t>
                  </w:r>
                </w:p>
              </w:tc>
              <w:tc>
                <w:tcPr>
                  <w:tcW w:w="823" w:type="dxa"/>
                  <w:vMerge w:val="restart"/>
                  <w:tcBorders>
                    <w:top w:val="single" w:color="auto" w:sz="12" w:space="0"/>
                  </w:tcBorders>
                  <w:vAlign w:val="center"/>
                </w:tcPr>
                <w:p w14:paraId="01861B1D">
                  <w:pPr>
                    <w:pStyle w:val="47"/>
                    <w:keepNext w:val="0"/>
                    <w:keepLines w:val="0"/>
                    <w:pageBreakBefore w:val="0"/>
                    <w:widowControl w:val="0"/>
                    <w:suppressLineNumbers w:val="0"/>
                    <w:wordWrap/>
                    <w:topLinePunct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环境保护目标名称</w:t>
                  </w:r>
                </w:p>
              </w:tc>
              <w:tc>
                <w:tcPr>
                  <w:tcW w:w="1227" w:type="dxa"/>
                  <w:gridSpan w:val="2"/>
                  <w:tcBorders>
                    <w:top w:val="single" w:color="auto" w:sz="12" w:space="0"/>
                  </w:tcBorders>
                  <w:vAlign w:val="center"/>
                </w:tcPr>
                <w:p w14:paraId="27986802">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eastAsia"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噪声</w:t>
                  </w:r>
                </w:p>
                <w:p w14:paraId="3129174A">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现状值</w:t>
                  </w:r>
                </w:p>
              </w:tc>
              <w:tc>
                <w:tcPr>
                  <w:tcW w:w="1152" w:type="dxa"/>
                  <w:gridSpan w:val="2"/>
                  <w:tcBorders>
                    <w:top w:val="single" w:color="auto" w:sz="12" w:space="0"/>
                  </w:tcBorders>
                  <w:vAlign w:val="center"/>
                </w:tcPr>
                <w:p w14:paraId="55E126EC">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eastAsia"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噪声</w:t>
                  </w:r>
                </w:p>
                <w:p w14:paraId="69066C2B">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标准</w:t>
                  </w:r>
                </w:p>
              </w:tc>
              <w:tc>
                <w:tcPr>
                  <w:tcW w:w="1182" w:type="dxa"/>
                  <w:gridSpan w:val="2"/>
                  <w:tcBorders>
                    <w:top w:val="single" w:color="auto" w:sz="12" w:space="0"/>
                  </w:tcBorders>
                  <w:vAlign w:val="center"/>
                </w:tcPr>
                <w:p w14:paraId="5372F854">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eastAsia"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噪声</w:t>
                  </w:r>
                </w:p>
                <w:p w14:paraId="432268A1">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贡献值</w:t>
                  </w:r>
                </w:p>
              </w:tc>
              <w:tc>
                <w:tcPr>
                  <w:tcW w:w="1122" w:type="dxa"/>
                  <w:gridSpan w:val="2"/>
                  <w:tcBorders>
                    <w:top w:val="single" w:color="auto" w:sz="12" w:space="0"/>
                  </w:tcBorders>
                  <w:vAlign w:val="center"/>
                </w:tcPr>
                <w:p w14:paraId="4D37B294">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eastAsia"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噪声</w:t>
                  </w:r>
                </w:p>
                <w:p w14:paraId="4A99A72C">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预测值</w:t>
                  </w:r>
                </w:p>
              </w:tc>
              <w:tc>
                <w:tcPr>
                  <w:tcW w:w="1031" w:type="dxa"/>
                  <w:gridSpan w:val="2"/>
                  <w:tcBorders>
                    <w:top w:val="single" w:color="auto" w:sz="12" w:space="0"/>
                  </w:tcBorders>
                  <w:vAlign w:val="center"/>
                </w:tcPr>
                <w:p w14:paraId="1D4F376A">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较现状增量</w:t>
                  </w:r>
                </w:p>
              </w:tc>
              <w:tc>
                <w:tcPr>
                  <w:tcW w:w="1124" w:type="dxa"/>
                  <w:gridSpan w:val="2"/>
                  <w:tcBorders>
                    <w:top w:val="single" w:color="auto" w:sz="12" w:space="0"/>
                  </w:tcBorders>
                  <w:vAlign w:val="center"/>
                </w:tcPr>
                <w:p w14:paraId="59182F77">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超标和达标情况</w:t>
                  </w:r>
                </w:p>
              </w:tc>
            </w:tr>
            <w:tr w14:paraId="3430AB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374" w:type="dxa"/>
                  <w:vMerge w:val="continue"/>
                  <w:vAlign w:val="center"/>
                </w:tcPr>
                <w:p w14:paraId="3E37AC33">
                  <w:pPr>
                    <w:pStyle w:val="47"/>
                    <w:keepNext w:val="0"/>
                    <w:keepLines w:val="0"/>
                    <w:pageBreakBefore w:val="0"/>
                    <w:widowControl w:val="0"/>
                    <w:suppressLineNumbers w:val="0"/>
                    <w:wordWrap/>
                    <w:topLinePunct w:val="0"/>
                    <w:bidi w:val="0"/>
                    <w:adjustRightInd/>
                    <w:snapToGrid w:val="0"/>
                    <w:spacing w:before="0" w:beforeAutospacing="0" w:after="0" w:afterAutospacing="0" w:line="240" w:lineRule="auto"/>
                    <w:ind w:left="0" w:right="0"/>
                    <w:jc w:val="center"/>
                    <w:rPr>
                      <w:rFonts w:hint="eastAsia" w:ascii="Times New Roman" w:hAnsi="Times New Roman" w:eastAsia="宋体" w:cs="Times New Roman"/>
                      <w:bCs/>
                      <w:color w:val="FF0000"/>
                      <w:kern w:val="2"/>
                      <w:sz w:val="18"/>
                      <w:szCs w:val="18"/>
                      <w:highlight w:val="none"/>
                      <w:vertAlign w:val="baseline"/>
                      <w:lang w:val="en-US" w:eastAsia="zh-CN" w:bidi="ar-SA"/>
                    </w:rPr>
                  </w:pPr>
                </w:p>
              </w:tc>
              <w:tc>
                <w:tcPr>
                  <w:tcW w:w="823" w:type="dxa"/>
                  <w:vMerge w:val="continue"/>
                  <w:vAlign w:val="center"/>
                </w:tcPr>
                <w:p w14:paraId="1C62E7EC">
                  <w:pPr>
                    <w:pStyle w:val="47"/>
                    <w:keepNext w:val="0"/>
                    <w:keepLines w:val="0"/>
                    <w:pageBreakBefore w:val="0"/>
                    <w:widowControl w:val="0"/>
                    <w:suppressLineNumbers w:val="0"/>
                    <w:wordWrap/>
                    <w:topLinePunct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p>
              </w:tc>
              <w:tc>
                <w:tcPr>
                  <w:tcW w:w="613" w:type="dxa"/>
                  <w:vAlign w:val="center"/>
                </w:tcPr>
                <w:p w14:paraId="66D7CF0D">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昼间</w:t>
                  </w:r>
                </w:p>
              </w:tc>
              <w:tc>
                <w:tcPr>
                  <w:tcW w:w="614" w:type="dxa"/>
                  <w:vAlign w:val="center"/>
                </w:tcPr>
                <w:p w14:paraId="3CF8ADD8">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夜间</w:t>
                  </w:r>
                </w:p>
              </w:tc>
              <w:tc>
                <w:tcPr>
                  <w:tcW w:w="553" w:type="dxa"/>
                  <w:vAlign w:val="center"/>
                </w:tcPr>
                <w:p w14:paraId="3B40A9EE">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昼间</w:t>
                  </w:r>
                </w:p>
              </w:tc>
              <w:tc>
                <w:tcPr>
                  <w:tcW w:w="599" w:type="dxa"/>
                  <w:vAlign w:val="center"/>
                </w:tcPr>
                <w:p w14:paraId="7DEB3F8A">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夜间</w:t>
                  </w:r>
                </w:p>
              </w:tc>
              <w:tc>
                <w:tcPr>
                  <w:tcW w:w="568" w:type="dxa"/>
                  <w:vAlign w:val="center"/>
                </w:tcPr>
                <w:p w14:paraId="3CF774A5">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昼间</w:t>
                  </w:r>
                </w:p>
              </w:tc>
              <w:tc>
                <w:tcPr>
                  <w:tcW w:w="614" w:type="dxa"/>
                  <w:vAlign w:val="center"/>
                </w:tcPr>
                <w:p w14:paraId="18F7E350">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夜间</w:t>
                  </w:r>
                </w:p>
              </w:tc>
              <w:tc>
                <w:tcPr>
                  <w:tcW w:w="568" w:type="dxa"/>
                  <w:vAlign w:val="center"/>
                </w:tcPr>
                <w:p w14:paraId="58EDECF2">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昼间</w:t>
                  </w:r>
                </w:p>
              </w:tc>
              <w:tc>
                <w:tcPr>
                  <w:tcW w:w="554" w:type="dxa"/>
                  <w:vAlign w:val="center"/>
                </w:tcPr>
                <w:p w14:paraId="56984F78">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夜间</w:t>
                  </w:r>
                </w:p>
              </w:tc>
              <w:tc>
                <w:tcPr>
                  <w:tcW w:w="489" w:type="dxa"/>
                  <w:vAlign w:val="center"/>
                </w:tcPr>
                <w:p w14:paraId="269604C5">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昼间</w:t>
                  </w:r>
                </w:p>
              </w:tc>
              <w:tc>
                <w:tcPr>
                  <w:tcW w:w="542" w:type="dxa"/>
                  <w:vAlign w:val="center"/>
                </w:tcPr>
                <w:p w14:paraId="29DF952D">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夜间</w:t>
                  </w:r>
                </w:p>
              </w:tc>
              <w:tc>
                <w:tcPr>
                  <w:tcW w:w="547" w:type="dxa"/>
                  <w:vAlign w:val="center"/>
                </w:tcPr>
                <w:p w14:paraId="19FD7781">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昼间</w:t>
                  </w:r>
                </w:p>
              </w:tc>
              <w:tc>
                <w:tcPr>
                  <w:tcW w:w="577" w:type="dxa"/>
                  <w:vAlign w:val="center"/>
                </w:tcPr>
                <w:p w14:paraId="4209C25A">
                  <w:pPr>
                    <w:keepNext w:val="0"/>
                    <w:keepLines w:val="0"/>
                    <w:pageBreakBefore w:val="0"/>
                    <w:widowControl w:val="0"/>
                    <w:suppressLineNumbers w:val="0"/>
                    <w:kinsoku w:val="0"/>
                    <w:wordWrap/>
                    <w:overflowPunct w:val="0"/>
                    <w:topLinePunct w:val="0"/>
                    <w:autoSpaceDE w:val="0"/>
                    <w:autoSpaceDN w:val="0"/>
                    <w:bidi w:val="0"/>
                    <w:adjustRightInd/>
                    <w:snapToGrid w:val="0"/>
                    <w:spacing w:before="0" w:beforeAutospacing="0" w:after="0" w:afterAutospacing="0" w:line="240" w:lineRule="auto"/>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夜间</w:t>
                  </w:r>
                </w:p>
              </w:tc>
            </w:tr>
            <w:tr w14:paraId="6B9E3C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374" w:type="dxa"/>
                  <w:vAlign w:val="center"/>
                </w:tcPr>
                <w:p w14:paraId="33771A12">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eastAsia"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1</w:t>
                  </w:r>
                </w:p>
              </w:tc>
              <w:tc>
                <w:tcPr>
                  <w:tcW w:w="823" w:type="dxa"/>
                  <w:vAlign w:val="center"/>
                </w:tcPr>
                <w:p w14:paraId="0E2B3D1D">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南</w:t>
                  </w:r>
                  <w:r>
                    <w:rPr>
                      <w:rFonts w:hint="eastAsia" w:ascii="Times New Roman" w:hAnsi="Times New Roman" w:eastAsia="宋体" w:cs="Times New Roman"/>
                      <w:bCs/>
                      <w:color w:val="FF0000"/>
                      <w:kern w:val="2"/>
                      <w:sz w:val="18"/>
                      <w:szCs w:val="18"/>
                      <w:highlight w:val="none"/>
                      <w:vertAlign w:val="baseline"/>
                      <w:lang w:val="en-US" w:eastAsia="zh-CN" w:bidi="ar-SA"/>
                    </w:rPr>
                    <w:t>侧敏感点</w:t>
                  </w:r>
                </w:p>
              </w:tc>
              <w:tc>
                <w:tcPr>
                  <w:tcW w:w="613" w:type="dxa"/>
                  <w:vAlign w:val="center"/>
                </w:tcPr>
                <w:p w14:paraId="7A328BEC">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45.7</w:t>
                  </w:r>
                </w:p>
              </w:tc>
              <w:tc>
                <w:tcPr>
                  <w:tcW w:w="614" w:type="dxa"/>
                  <w:vAlign w:val="center"/>
                </w:tcPr>
                <w:p w14:paraId="09E4275B">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37.8</w:t>
                  </w:r>
                </w:p>
              </w:tc>
              <w:tc>
                <w:tcPr>
                  <w:tcW w:w="553" w:type="dxa"/>
                  <w:vAlign w:val="center"/>
                </w:tcPr>
                <w:p w14:paraId="77B28E2A">
                  <w:pPr>
                    <w:pStyle w:val="93"/>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Style w:val="172"/>
                      <w:rFonts w:hint="eastAsia" w:eastAsia="仿宋"/>
                      <w:color w:val="FF0000"/>
                      <w:sz w:val="18"/>
                      <w:szCs w:val="18"/>
                      <w:highlight w:val="none"/>
                      <w:lang w:val="en-US" w:eastAsia="zh-CN"/>
                    </w:rPr>
                    <w:t>60</w:t>
                  </w:r>
                </w:p>
              </w:tc>
              <w:tc>
                <w:tcPr>
                  <w:tcW w:w="599" w:type="dxa"/>
                  <w:vAlign w:val="center"/>
                </w:tcPr>
                <w:p w14:paraId="610E96FE">
                  <w:pPr>
                    <w:pStyle w:val="93"/>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Style w:val="172"/>
                      <w:rFonts w:hint="eastAsia" w:eastAsia="仿宋"/>
                      <w:color w:val="FF0000"/>
                      <w:sz w:val="18"/>
                      <w:szCs w:val="18"/>
                      <w:highlight w:val="none"/>
                      <w:lang w:val="en-US" w:eastAsia="zh-CN"/>
                    </w:rPr>
                    <w:t>50</w:t>
                  </w:r>
                </w:p>
              </w:tc>
              <w:tc>
                <w:tcPr>
                  <w:tcW w:w="568" w:type="dxa"/>
                  <w:shd w:val="clear" w:color="auto" w:fill="auto"/>
                  <w:vAlign w:val="center"/>
                </w:tcPr>
                <w:p w14:paraId="628459D5">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17.8</w:t>
                  </w:r>
                </w:p>
              </w:tc>
              <w:tc>
                <w:tcPr>
                  <w:tcW w:w="614" w:type="dxa"/>
                  <w:shd w:val="clear" w:color="auto" w:fill="auto"/>
                  <w:vAlign w:val="center"/>
                </w:tcPr>
                <w:p w14:paraId="684BB285">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17.8</w:t>
                  </w:r>
                </w:p>
              </w:tc>
              <w:tc>
                <w:tcPr>
                  <w:tcW w:w="568" w:type="dxa"/>
                  <w:vAlign w:val="center"/>
                </w:tcPr>
                <w:p w14:paraId="16777572">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45.71</w:t>
                  </w:r>
                </w:p>
              </w:tc>
              <w:tc>
                <w:tcPr>
                  <w:tcW w:w="554" w:type="dxa"/>
                  <w:vAlign w:val="center"/>
                </w:tcPr>
                <w:p w14:paraId="6AE5D59E">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37.84</w:t>
                  </w:r>
                </w:p>
              </w:tc>
              <w:tc>
                <w:tcPr>
                  <w:tcW w:w="489" w:type="dxa"/>
                  <w:vAlign w:val="center"/>
                </w:tcPr>
                <w:p w14:paraId="77451EB1">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0.01</w:t>
                  </w:r>
                </w:p>
              </w:tc>
              <w:tc>
                <w:tcPr>
                  <w:tcW w:w="542" w:type="dxa"/>
                  <w:vAlign w:val="center"/>
                </w:tcPr>
                <w:p w14:paraId="77E1D38E">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0.04</w:t>
                  </w:r>
                </w:p>
              </w:tc>
              <w:tc>
                <w:tcPr>
                  <w:tcW w:w="547" w:type="dxa"/>
                  <w:vAlign w:val="center"/>
                </w:tcPr>
                <w:p w14:paraId="4AD18939">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达标</w:t>
                  </w:r>
                </w:p>
              </w:tc>
              <w:tc>
                <w:tcPr>
                  <w:tcW w:w="577" w:type="dxa"/>
                  <w:vAlign w:val="center"/>
                </w:tcPr>
                <w:p w14:paraId="16AC1386">
                  <w:pPr>
                    <w:pStyle w:val="47"/>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达标</w:t>
                  </w:r>
                </w:p>
              </w:tc>
            </w:tr>
            <w:tr w14:paraId="66ACE9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374" w:type="dxa"/>
                  <w:tcBorders>
                    <w:bottom w:val="single" w:color="auto" w:sz="12" w:space="0"/>
                  </w:tcBorders>
                  <w:vAlign w:val="center"/>
                </w:tcPr>
                <w:p w14:paraId="4C165D04">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2</w:t>
                  </w:r>
                </w:p>
              </w:tc>
              <w:tc>
                <w:tcPr>
                  <w:tcW w:w="823" w:type="dxa"/>
                  <w:tcBorders>
                    <w:bottom w:val="single" w:color="auto" w:sz="12" w:space="0"/>
                  </w:tcBorders>
                  <w:vAlign w:val="center"/>
                </w:tcPr>
                <w:p w14:paraId="594DF27F">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西侧敏感点</w:t>
                  </w:r>
                </w:p>
              </w:tc>
              <w:tc>
                <w:tcPr>
                  <w:tcW w:w="613" w:type="dxa"/>
                  <w:tcBorders>
                    <w:bottom w:val="single" w:color="auto" w:sz="12" w:space="0"/>
                  </w:tcBorders>
                  <w:vAlign w:val="center"/>
                </w:tcPr>
                <w:p w14:paraId="41510266">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49.1</w:t>
                  </w:r>
                </w:p>
              </w:tc>
              <w:tc>
                <w:tcPr>
                  <w:tcW w:w="614" w:type="dxa"/>
                  <w:tcBorders>
                    <w:bottom w:val="single" w:color="auto" w:sz="12" w:space="0"/>
                  </w:tcBorders>
                  <w:vAlign w:val="center"/>
                </w:tcPr>
                <w:p w14:paraId="151F9432">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39.8</w:t>
                  </w:r>
                </w:p>
              </w:tc>
              <w:tc>
                <w:tcPr>
                  <w:tcW w:w="553" w:type="dxa"/>
                  <w:tcBorders>
                    <w:bottom w:val="single" w:color="auto" w:sz="12" w:space="0"/>
                  </w:tcBorders>
                  <w:shd w:val="clear" w:color="auto" w:fill="auto"/>
                  <w:vAlign w:val="center"/>
                </w:tcPr>
                <w:p w14:paraId="5154433D">
                  <w:pPr>
                    <w:pStyle w:val="93"/>
                    <w:keepNext w:val="0"/>
                    <w:keepLines w:val="0"/>
                    <w:suppressLineNumbers w:val="0"/>
                    <w:spacing w:before="0" w:beforeAutospacing="0" w:after="0" w:afterAutospacing="0"/>
                    <w:ind w:left="0" w:leftChars="0" w:right="0" w:rightChars="0" w:firstLine="0" w:firstLineChars="0"/>
                    <w:jc w:val="center"/>
                    <w:rPr>
                      <w:rFonts w:hint="eastAsia" w:ascii="Times New Roman" w:hAnsi="Times New Roman" w:eastAsia="宋体" w:cs="Times New Roman"/>
                      <w:bCs/>
                      <w:color w:val="FF0000"/>
                      <w:kern w:val="2"/>
                      <w:sz w:val="18"/>
                      <w:szCs w:val="18"/>
                      <w:highlight w:val="none"/>
                      <w:vertAlign w:val="baseline"/>
                      <w:lang w:val="en-US" w:eastAsia="zh-CN" w:bidi="ar-SA"/>
                    </w:rPr>
                  </w:pPr>
                  <w:r>
                    <w:rPr>
                      <w:rStyle w:val="172"/>
                      <w:rFonts w:hint="eastAsia" w:eastAsia="仿宋"/>
                      <w:color w:val="FF0000"/>
                      <w:sz w:val="18"/>
                      <w:szCs w:val="18"/>
                      <w:highlight w:val="none"/>
                      <w:lang w:val="en-US" w:eastAsia="zh-CN"/>
                    </w:rPr>
                    <w:t>60</w:t>
                  </w:r>
                </w:p>
              </w:tc>
              <w:tc>
                <w:tcPr>
                  <w:tcW w:w="599" w:type="dxa"/>
                  <w:tcBorders>
                    <w:bottom w:val="single" w:color="auto" w:sz="12" w:space="0"/>
                  </w:tcBorders>
                  <w:shd w:val="clear" w:color="auto" w:fill="auto"/>
                  <w:vAlign w:val="center"/>
                </w:tcPr>
                <w:p w14:paraId="6E22F0B2">
                  <w:pPr>
                    <w:pStyle w:val="93"/>
                    <w:keepNext w:val="0"/>
                    <w:keepLines w:val="0"/>
                    <w:suppressLineNumbers w:val="0"/>
                    <w:spacing w:before="0" w:beforeAutospacing="0" w:after="0" w:afterAutospacing="0"/>
                    <w:ind w:left="0" w:leftChars="0" w:right="0" w:rightChars="0" w:firstLine="0" w:firstLineChars="0"/>
                    <w:jc w:val="center"/>
                    <w:rPr>
                      <w:rFonts w:hint="eastAsia" w:ascii="Times New Roman" w:hAnsi="Times New Roman" w:eastAsia="宋体" w:cs="Times New Roman"/>
                      <w:bCs/>
                      <w:color w:val="FF0000"/>
                      <w:kern w:val="2"/>
                      <w:sz w:val="18"/>
                      <w:szCs w:val="18"/>
                      <w:highlight w:val="none"/>
                      <w:vertAlign w:val="baseline"/>
                      <w:lang w:val="en-US" w:eastAsia="zh-CN" w:bidi="ar-SA"/>
                    </w:rPr>
                  </w:pPr>
                  <w:r>
                    <w:rPr>
                      <w:rStyle w:val="172"/>
                      <w:rFonts w:hint="eastAsia" w:eastAsia="仿宋"/>
                      <w:color w:val="FF0000"/>
                      <w:sz w:val="18"/>
                      <w:szCs w:val="18"/>
                      <w:highlight w:val="none"/>
                      <w:lang w:val="en-US" w:eastAsia="zh-CN"/>
                    </w:rPr>
                    <w:t>50</w:t>
                  </w:r>
                </w:p>
              </w:tc>
              <w:tc>
                <w:tcPr>
                  <w:tcW w:w="568" w:type="dxa"/>
                  <w:tcBorders>
                    <w:bottom w:val="single" w:color="auto" w:sz="12" w:space="0"/>
                  </w:tcBorders>
                  <w:shd w:val="clear" w:color="auto" w:fill="auto"/>
                  <w:vAlign w:val="center"/>
                </w:tcPr>
                <w:p w14:paraId="79BB6852">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30.8</w:t>
                  </w:r>
                </w:p>
              </w:tc>
              <w:tc>
                <w:tcPr>
                  <w:tcW w:w="614" w:type="dxa"/>
                  <w:tcBorders>
                    <w:bottom w:val="single" w:color="auto" w:sz="12" w:space="0"/>
                  </w:tcBorders>
                  <w:shd w:val="clear" w:color="auto" w:fill="auto"/>
                  <w:vAlign w:val="center"/>
                </w:tcPr>
                <w:p w14:paraId="56A45F63">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30.8</w:t>
                  </w:r>
                </w:p>
              </w:tc>
              <w:tc>
                <w:tcPr>
                  <w:tcW w:w="568" w:type="dxa"/>
                  <w:tcBorders>
                    <w:bottom w:val="single" w:color="auto" w:sz="12" w:space="0"/>
                  </w:tcBorders>
                  <w:vAlign w:val="center"/>
                </w:tcPr>
                <w:p w14:paraId="6CDB6F9F">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49.16</w:t>
                  </w:r>
                </w:p>
              </w:tc>
              <w:tc>
                <w:tcPr>
                  <w:tcW w:w="554" w:type="dxa"/>
                  <w:tcBorders>
                    <w:bottom w:val="single" w:color="auto" w:sz="12" w:space="0"/>
                  </w:tcBorders>
                  <w:vAlign w:val="center"/>
                </w:tcPr>
                <w:p w14:paraId="385C91C6">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40.31</w:t>
                  </w:r>
                </w:p>
              </w:tc>
              <w:tc>
                <w:tcPr>
                  <w:tcW w:w="489" w:type="dxa"/>
                  <w:tcBorders>
                    <w:bottom w:val="single" w:color="auto" w:sz="12" w:space="0"/>
                  </w:tcBorders>
                  <w:vAlign w:val="center"/>
                </w:tcPr>
                <w:p w14:paraId="0B46B4E9">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0.06</w:t>
                  </w:r>
                </w:p>
              </w:tc>
              <w:tc>
                <w:tcPr>
                  <w:tcW w:w="542" w:type="dxa"/>
                  <w:tcBorders>
                    <w:bottom w:val="single" w:color="auto" w:sz="12" w:space="0"/>
                  </w:tcBorders>
                  <w:vAlign w:val="center"/>
                </w:tcPr>
                <w:p w14:paraId="367D5062">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baseline"/>
                    <w:rPr>
                      <w:rFonts w:hint="default"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cs="Times New Roman"/>
                      <w:bCs/>
                      <w:color w:val="FF0000"/>
                      <w:kern w:val="2"/>
                      <w:sz w:val="18"/>
                      <w:szCs w:val="18"/>
                      <w:highlight w:val="none"/>
                      <w:vertAlign w:val="baseline"/>
                      <w:lang w:val="en-US" w:eastAsia="zh-CN" w:bidi="ar-SA"/>
                    </w:rPr>
                    <w:t>0.51</w:t>
                  </w:r>
                </w:p>
              </w:tc>
              <w:tc>
                <w:tcPr>
                  <w:tcW w:w="547" w:type="dxa"/>
                  <w:tcBorders>
                    <w:bottom w:val="single" w:color="auto" w:sz="12" w:space="0"/>
                  </w:tcBorders>
                  <w:shd w:val="clear" w:color="auto" w:fill="auto"/>
                  <w:vAlign w:val="center"/>
                </w:tcPr>
                <w:p w14:paraId="13418736">
                  <w:pPr>
                    <w:pStyle w:val="4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baseline"/>
                    <w:rPr>
                      <w:rFonts w:hint="eastAsia"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达标</w:t>
                  </w:r>
                </w:p>
              </w:tc>
              <w:tc>
                <w:tcPr>
                  <w:tcW w:w="577" w:type="dxa"/>
                  <w:tcBorders>
                    <w:bottom w:val="single" w:color="auto" w:sz="12" w:space="0"/>
                  </w:tcBorders>
                  <w:shd w:val="clear" w:color="auto" w:fill="auto"/>
                  <w:vAlign w:val="center"/>
                </w:tcPr>
                <w:p w14:paraId="0B3F9A93">
                  <w:pPr>
                    <w:pStyle w:val="47"/>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FF0000"/>
                      <w:kern w:val="2"/>
                      <w:sz w:val="18"/>
                      <w:szCs w:val="18"/>
                      <w:highlight w:val="none"/>
                      <w:vertAlign w:val="baseline"/>
                      <w:lang w:val="en-US" w:eastAsia="zh-CN" w:bidi="ar-SA"/>
                    </w:rPr>
                  </w:pPr>
                  <w:r>
                    <w:rPr>
                      <w:rFonts w:hint="eastAsia" w:ascii="Times New Roman" w:hAnsi="Times New Roman" w:eastAsia="宋体" w:cs="Times New Roman"/>
                      <w:bCs/>
                      <w:color w:val="FF0000"/>
                      <w:kern w:val="2"/>
                      <w:sz w:val="18"/>
                      <w:szCs w:val="18"/>
                      <w:highlight w:val="none"/>
                      <w:vertAlign w:val="baseline"/>
                      <w:lang w:val="en-US" w:eastAsia="zh-CN" w:bidi="ar-SA"/>
                    </w:rPr>
                    <w:t>达标</w:t>
                  </w:r>
                </w:p>
              </w:tc>
            </w:tr>
          </w:tbl>
          <w:p w14:paraId="4683D6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bCs/>
                <w:color w:val="auto"/>
                <w:szCs w:val="21"/>
                <w:highlight w:val="none"/>
              </w:rPr>
            </w:pPr>
            <w:r>
              <w:rPr>
                <w:rFonts w:hint="default"/>
                <w:bCs/>
                <w:color w:val="auto"/>
                <w:szCs w:val="21"/>
                <w:highlight w:val="none"/>
              </w:rPr>
              <w:t>（</w:t>
            </w:r>
            <w:r>
              <w:rPr>
                <w:rFonts w:hint="eastAsia"/>
                <w:bCs/>
                <w:color w:val="auto"/>
                <w:szCs w:val="21"/>
                <w:highlight w:val="none"/>
                <w:lang w:val="en-US" w:eastAsia="zh-CN"/>
              </w:rPr>
              <w:t>3</w:t>
            </w:r>
            <w:r>
              <w:rPr>
                <w:rFonts w:hint="default"/>
                <w:bCs/>
                <w:color w:val="auto"/>
                <w:szCs w:val="21"/>
                <w:highlight w:val="none"/>
              </w:rPr>
              <w:t>）污染防治措施及环境影响分析</w:t>
            </w:r>
          </w:p>
          <w:p w14:paraId="05A97B3E">
            <w:pPr>
              <w:pStyle w:val="3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Chars="200"/>
              <w:jc w:val="both"/>
              <w:textAlignment w:val="auto"/>
              <w:rPr>
                <w:rFonts w:hint="default"/>
                <w:color w:val="auto"/>
                <w:sz w:val="21"/>
                <w:szCs w:val="21"/>
                <w:highlight w:val="none"/>
              </w:rPr>
            </w:pPr>
            <w:r>
              <w:rPr>
                <w:rFonts w:hint="default"/>
                <w:color w:val="auto"/>
                <w:sz w:val="21"/>
                <w:szCs w:val="21"/>
                <w:highlight w:val="none"/>
              </w:rPr>
              <w:t>本项目运营期采取如下降噪措施：</w:t>
            </w:r>
          </w:p>
          <w:p w14:paraId="13D6C2F6">
            <w:pPr>
              <w:pStyle w:val="3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Chars="200"/>
              <w:jc w:val="both"/>
              <w:textAlignment w:val="auto"/>
              <w:rPr>
                <w:rFonts w:hint="default"/>
                <w:color w:val="auto"/>
                <w:sz w:val="21"/>
                <w:szCs w:val="21"/>
                <w:highlight w:val="none"/>
              </w:rPr>
            </w:pPr>
            <w:r>
              <w:rPr>
                <w:rFonts w:hint="default"/>
                <w:color w:val="auto"/>
                <w:sz w:val="21"/>
                <w:szCs w:val="21"/>
                <w:highlight w:val="none"/>
              </w:rPr>
              <w:t>①在厂区总体布置中应注意防噪间距，以减少噪声的污染；</w:t>
            </w:r>
          </w:p>
          <w:p w14:paraId="66F9DAF1">
            <w:pPr>
              <w:pStyle w:val="33"/>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Chars="200"/>
              <w:jc w:val="both"/>
              <w:textAlignment w:val="auto"/>
              <w:rPr>
                <w:rFonts w:hint="eastAsia" w:eastAsia="宋体"/>
                <w:color w:val="auto"/>
                <w:sz w:val="21"/>
                <w:szCs w:val="21"/>
                <w:highlight w:val="none"/>
                <w:lang w:eastAsia="zh-CN"/>
              </w:rPr>
            </w:pPr>
            <w:r>
              <w:rPr>
                <w:rFonts w:hint="default"/>
                <w:color w:val="auto"/>
                <w:sz w:val="21"/>
                <w:szCs w:val="21"/>
                <w:highlight w:val="none"/>
              </w:rPr>
              <w:t>②</w:t>
            </w:r>
            <w:r>
              <w:rPr>
                <w:rFonts w:hint="eastAsia"/>
                <w:color w:val="auto"/>
                <w:sz w:val="21"/>
                <w:szCs w:val="21"/>
                <w:highlight w:val="none"/>
              </w:rPr>
              <w:t>选用低噪声设备，建筑采取隔声、降噪措施，设置减振器，风机进出口均设软管连接等措施</w:t>
            </w:r>
            <w:r>
              <w:rPr>
                <w:rFonts w:hint="eastAsia"/>
                <w:color w:val="auto"/>
                <w:sz w:val="21"/>
                <w:szCs w:val="21"/>
                <w:highlight w:val="none"/>
                <w:lang w:eastAsia="zh-CN"/>
              </w:rPr>
              <w:t>；</w:t>
            </w:r>
          </w:p>
          <w:p w14:paraId="509A822A">
            <w:pPr>
              <w:pStyle w:val="3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Chars="200"/>
              <w:jc w:val="both"/>
              <w:textAlignment w:val="auto"/>
              <w:rPr>
                <w:rFonts w:hint="default"/>
                <w:color w:val="auto"/>
                <w:sz w:val="21"/>
                <w:szCs w:val="21"/>
                <w:highlight w:val="none"/>
              </w:rPr>
            </w:pPr>
            <w:r>
              <w:rPr>
                <w:rFonts w:hint="default"/>
                <w:color w:val="auto"/>
                <w:sz w:val="21"/>
                <w:szCs w:val="21"/>
                <w:highlight w:val="none"/>
              </w:rPr>
              <w:t>③定期对设备进行检查、维修，保持设备最佳运行状态，减少噪声产生量；</w:t>
            </w:r>
          </w:p>
          <w:p w14:paraId="70669C04">
            <w:pPr>
              <w:pStyle w:val="3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Chars="200"/>
              <w:jc w:val="both"/>
              <w:textAlignment w:val="auto"/>
              <w:rPr>
                <w:rFonts w:hint="eastAsia" w:eastAsia="宋体"/>
                <w:color w:val="auto"/>
                <w:sz w:val="21"/>
                <w:szCs w:val="21"/>
                <w:highlight w:val="none"/>
                <w:lang w:eastAsia="zh-CN"/>
              </w:rPr>
            </w:pPr>
            <w:r>
              <w:rPr>
                <w:rFonts w:hint="default"/>
                <w:color w:val="auto"/>
                <w:sz w:val="21"/>
                <w:szCs w:val="21"/>
                <w:highlight w:val="none"/>
              </w:rPr>
              <w:t>④厂房隔声，合理布局，优化平面布局。</w:t>
            </w:r>
          </w:p>
          <w:p w14:paraId="62ED0446">
            <w:pPr>
              <w:pStyle w:val="165"/>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textAlignment w:val="auto"/>
              <w:rPr>
                <w:rFonts w:hint="default" w:ascii="Times New Roman" w:hAnsi="Times New Roman" w:cs="Times New Roman"/>
                <w:bCs/>
                <w:color w:val="auto"/>
                <w:sz w:val="21"/>
                <w:szCs w:val="21"/>
                <w:highlight w:val="none"/>
              </w:rPr>
            </w:pPr>
            <w:r>
              <w:rPr>
                <w:rFonts w:hint="default"/>
                <w:color w:val="auto"/>
                <w:sz w:val="21"/>
                <w:szCs w:val="21"/>
                <w:highlight w:val="none"/>
              </w:rPr>
              <w:t>本项目选用低噪声设备，基础减振</w:t>
            </w:r>
            <w:r>
              <w:rPr>
                <w:rFonts w:hint="eastAsia"/>
                <w:color w:val="auto"/>
                <w:sz w:val="21"/>
                <w:szCs w:val="21"/>
                <w:highlight w:val="none"/>
                <w:lang w:eastAsia="zh-CN"/>
              </w:rPr>
              <w:t>、</w:t>
            </w:r>
            <w:r>
              <w:rPr>
                <w:rFonts w:hint="default"/>
                <w:color w:val="auto"/>
                <w:sz w:val="21"/>
                <w:szCs w:val="21"/>
                <w:highlight w:val="none"/>
              </w:rPr>
              <w:t>隔声</w:t>
            </w:r>
            <w:r>
              <w:rPr>
                <w:rFonts w:hint="eastAsia"/>
                <w:color w:val="auto"/>
                <w:sz w:val="21"/>
                <w:szCs w:val="21"/>
                <w:highlight w:val="none"/>
              </w:rPr>
              <w:t>等</w:t>
            </w:r>
            <w:r>
              <w:rPr>
                <w:rFonts w:hint="default"/>
                <w:color w:val="auto"/>
                <w:sz w:val="21"/>
                <w:szCs w:val="21"/>
                <w:highlight w:val="none"/>
              </w:rPr>
              <w:t>措施，</w:t>
            </w:r>
            <w:r>
              <w:rPr>
                <w:rFonts w:hint="default" w:ascii="Times New Roman" w:hAnsi="Times New Roman" w:cs="Times New Roman"/>
                <w:color w:val="auto"/>
                <w:sz w:val="21"/>
                <w:szCs w:val="21"/>
                <w:highlight w:val="none"/>
              </w:rPr>
              <w:t>厂界噪声</w:t>
            </w:r>
            <w:r>
              <w:rPr>
                <w:rFonts w:hint="eastAsia" w:cs="Times New Roman"/>
                <w:color w:val="auto"/>
                <w:sz w:val="21"/>
                <w:szCs w:val="21"/>
                <w:highlight w:val="none"/>
                <w:lang w:val="en-US" w:eastAsia="zh-CN"/>
              </w:rPr>
              <w:t>满足</w:t>
            </w:r>
            <w:r>
              <w:rPr>
                <w:rFonts w:hint="default" w:ascii="Times New Roman" w:hAnsi="Times New Roman" w:cs="Times New Roman"/>
                <w:color w:val="auto"/>
                <w:sz w:val="21"/>
                <w:szCs w:val="21"/>
                <w:highlight w:val="none"/>
              </w:rPr>
              <w:t>《工业企业厂界环境噪声排放标准》</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GB12348-2008</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中</w:t>
            </w:r>
            <w:r>
              <w:rPr>
                <w:rFonts w:hint="eastAsia"/>
                <w:color w:val="auto"/>
                <w:sz w:val="21"/>
                <w:szCs w:val="21"/>
                <w:highlight w:val="none"/>
                <w:lang w:val="en-US" w:eastAsia="zh-CN"/>
              </w:rPr>
              <w:t>2类标准</w:t>
            </w:r>
            <w:r>
              <w:rPr>
                <w:rFonts w:hint="eastAsia"/>
                <w:color w:val="auto"/>
                <w:sz w:val="21"/>
                <w:szCs w:val="21"/>
                <w:highlight w:val="none"/>
                <w:lang w:eastAsia="zh-CN"/>
              </w:rPr>
              <w:t>。</w:t>
            </w:r>
            <w:r>
              <w:rPr>
                <w:rFonts w:hint="default"/>
                <w:color w:val="auto"/>
                <w:sz w:val="21"/>
                <w:szCs w:val="21"/>
                <w:highlight w:val="none"/>
              </w:rPr>
              <w:t>本项目对周围声环境影响较小。</w:t>
            </w:r>
          </w:p>
          <w:p w14:paraId="06641BDC">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4</w:t>
            </w:r>
            <w:r>
              <w:rPr>
                <w:rFonts w:hint="default" w:ascii="Times New Roman" w:hAnsi="Times New Roman" w:cs="Times New Roman"/>
                <w:bCs/>
                <w:color w:val="auto"/>
                <w:szCs w:val="21"/>
                <w:highlight w:val="none"/>
              </w:rPr>
              <w:t>）监测要求</w:t>
            </w:r>
          </w:p>
          <w:p w14:paraId="184D3712">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根据《排污单位自行监测技术指南 总则》（HJ819-2017），本项目噪声监测计划如下：</w:t>
            </w:r>
          </w:p>
          <w:p w14:paraId="3F694731">
            <w:pPr>
              <w:keepNext w:val="0"/>
              <w:keepLines w:val="0"/>
              <w:suppressLineNumbers w:val="0"/>
              <w:spacing w:before="0" w:beforeAutospacing="0" w:after="0" w:afterAutospacing="0"/>
              <w:ind w:left="0" w:right="0"/>
              <w:jc w:val="center"/>
              <w:rPr>
                <w:rFonts w:hint="default"/>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-11 </w:t>
            </w:r>
            <w:r>
              <w:rPr>
                <w:rFonts w:hint="eastAsia" w:hAnsi="宋体"/>
                <w:b/>
                <w:color w:val="auto"/>
                <w:szCs w:val="21"/>
                <w:highlight w:val="none"/>
              </w:rPr>
              <w:t>项目噪声监测计划表</w:t>
            </w:r>
          </w:p>
          <w:tbl>
            <w:tblPr>
              <w:tblStyle w:val="3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1176"/>
              <w:gridCol w:w="1638"/>
              <w:gridCol w:w="2073"/>
              <w:gridCol w:w="2073"/>
            </w:tblGrid>
            <w:tr w14:paraId="6B9452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6" w:type="dxa"/>
                  <w:tcBorders>
                    <w:top w:val="single" w:color="auto" w:sz="12" w:space="0"/>
                    <w:left w:val="nil"/>
                    <w:bottom w:val="single" w:color="auto" w:sz="4" w:space="0"/>
                    <w:right w:val="single" w:color="auto" w:sz="4" w:space="0"/>
                  </w:tcBorders>
                  <w:noWrap w:val="0"/>
                  <w:vAlign w:val="center"/>
                </w:tcPr>
                <w:p w14:paraId="76980A05">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类别</w:t>
                  </w:r>
                </w:p>
              </w:tc>
              <w:tc>
                <w:tcPr>
                  <w:tcW w:w="1206" w:type="dxa"/>
                  <w:tcBorders>
                    <w:top w:val="single" w:color="auto" w:sz="12" w:space="0"/>
                    <w:left w:val="single" w:color="auto" w:sz="4" w:space="0"/>
                    <w:bottom w:val="single" w:color="auto" w:sz="4" w:space="0"/>
                    <w:right w:val="single" w:color="auto" w:sz="4" w:space="0"/>
                  </w:tcBorders>
                  <w:noWrap w:val="0"/>
                  <w:vAlign w:val="center"/>
                </w:tcPr>
                <w:p w14:paraId="117C8CD8">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监测点位</w:t>
                  </w:r>
                </w:p>
              </w:tc>
              <w:tc>
                <w:tcPr>
                  <w:tcW w:w="1679" w:type="dxa"/>
                  <w:tcBorders>
                    <w:top w:val="single" w:color="auto" w:sz="12" w:space="0"/>
                    <w:left w:val="single" w:color="auto" w:sz="4" w:space="0"/>
                    <w:bottom w:val="single" w:color="auto" w:sz="4" w:space="0"/>
                    <w:right w:val="single" w:color="auto" w:sz="4" w:space="0"/>
                  </w:tcBorders>
                  <w:noWrap w:val="0"/>
                  <w:vAlign w:val="center"/>
                </w:tcPr>
                <w:p w14:paraId="5D6F416A">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监测项目</w:t>
                  </w:r>
                </w:p>
              </w:tc>
              <w:tc>
                <w:tcPr>
                  <w:tcW w:w="2127" w:type="dxa"/>
                  <w:tcBorders>
                    <w:top w:val="single" w:color="auto" w:sz="12" w:space="0"/>
                    <w:left w:val="single" w:color="auto" w:sz="4" w:space="0"/>
                    <w:bottom w:val="single" w:color="auto" w:sz="4" w:space="0"/>
                    <w:right w:val="single" w:color="auto" w:sz="4" w:space="0"/>
                  </w:tcBorders>
                  <w:noWrap w:val="0"/>
                  <w:vAlign w:val="center"/>
                </w:tcPr>
                <w:p w14:paraId="4F8516FF">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监测频次</w:t>
                  </w:r>
                </w:p>
              </w:tc>
              <w:tc>
                <w:tcPr>
                  <w:tcW w:w="2127" w:type="dxa"/>
                  <w:tcBorders>
                    <w:top w:val="single" w:color="auto" w:sz="12" w:space="0"/>
                    <w:left w:val="single" w:color="auto" w:sz="4" w:space="0"/>
                    <w:bottom w:val="single" w:color="auto" w:sz="4" w:space="0"/>
                    <w:right w:val="nil"/>
                  </w:tcBorders>
                  <w:noWrap w:val="0"/>
                  <w:vAlign w:val="center"/>
                </w:tcPr>
                <w:p w14:paraId="34CC7B81">
                  <w:pPr>
                    <w:keepNext w:val="0"/>
                    <w:keepLines w:val="0"/>
                    <w:suppressLineNumbers w:val="0"/>
                    <w:spacing w:before="0" w:beforeAutospacing="0" w:after="0" w:afterAutospacing="0"/>
                    <w:ind w:left="0" w:right="0"/>
                    <w:jc w:val="center"/>
                    <w:rPr>
                      <w:rFonts w:hint="default" w:hAnsi="宋体" w:eastAsia="宋体"/>
                      <w:color w:val="auto"/>
                      <w:kern w:val="0"/>
                      <w:sz w:val="18"/>
                      <w:szCs w:val="18"/>
                      <w:highlight w:val="none"/>
                      <w:lang w:val="en-US" w:eastAsia="zh-CN"/>
                    </w:rPr>
                  </w:pPr>
                  <w:r>
                    <w:rPr>
                      <w:rFonts w:hint="eastAsia" w:hAnsi="宋体"/>
                      <w:color w:val="auto"/>
                      <w:kern w:val="0"/>
                      <w:sz w:val="18"/>
                      <w:szCs w:val="18"/>
                      <w:highlight w:val="none"/>
                      <w:lang w:val="en-US" w:eastAsia="zh-CN"/>
                    </w:rPr>
                    <w:t>监测时间</w:t>
                  </w:r>
                </w:p>
              </w:tc>
            </w:tr>
            <w:tr w14:paraId="6D57FB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6" w:type="dxa"/>
                  <w:tcBorders>
                    <w:top w:val="single" w:color="auto" w:sz="4" w:space="0"/>
                    <w:left w:val="nil"/>
                    <w:bottom w:val="single" w:color="auto" w:sz="4" w:space="0"/>
                    <w:right w:val="single" w:color="auto" w:sz="4" w:space="0"/>
                  </w:tcBorders>
                  <w:noWrap w:val="0"/>
                  <w:vAlign w:val="center"/>
                </w:tcPr>
                <w:p w14:paraId="454CC53E">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厂界噪声</w:t>
                  </w:r>
                </w:p>
              </w:tc>
              <w:tc>
                <w:tcPr>
                  <w:tcW w:w="1206" w:type="dxa"/>
                  <w:tcBorders>
                    <w:top w:val="single" w:color="auto" w:sz="4" w:space="0"/>
                    <w:left w:val="single" w:color="auto" w:sz="4" w:space="0"/>
                    <w:bottom w:val="single" w:color="auto" w:sz="4" w:space="0"/>
                    <w:right w:val="single" w:color="auto" w:sz="4" w:space="0"/>
                  </w:tcBorders>
                  <w:noWrap w:val="0"/>
                  <w:vAlign w:val="center"/>
                </w:tcPr>
                <w:p w14:paraId="071E51E7">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厂界四周</w:t>
                  </w:r>
                </w:p>
              </w:tc>
              <w:tc>
                <w:tcPr>
                  <w:tcW w:w="1679" w:type="dxa"/>
                  <w:vMerge w:val="restart"/>
                  <w:tcBorders>
                    <w:top w:val="single" w:color="auto" w:sz="4" w:space="0"/>
                    <w:left w:val="single" w:color="auto" w:sz="4" w:space="0"/>
                    <w:right w:val="single" w:color="auto" w:sz="4" w:space="0"/>
                  </w:tcBorders>
                  <w:noWrap w:val="0"/>
                  <w:vAlign w:val="center"/>
                </w:tcPr>
                <w:p w14:paraId="219F55C2">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等效连续</w:t>
                  </w:r>
                  <w:r>
                    <w:rPr>
                      <w:rFonts w:hint="default" w:hAnsi="宋体"/>
                      <w:color w:val="auto"/>
                      <w:kern w:val="0"/>
                      <w:sz w:val="18"/>
                      <w:szCs w:val="18"/>
                      <w:highlight w:val="none"/>
                    </w:rPr>
                    <w:t>A</w:t>
                  </w:r>
                  <w:r>
                    <w:rPr>
                      <w:rFonts w:hint="eastAsia" w:hAnsi="宋体"/>
                      <w:color w:val="auto"/>
                      <w:kern w:val="0"/>
                      <w:sz w:val="18"/>
                      <w:szCs w:val="18"/>
                      <w:highlight w:val="none"/>
                    </w:rPr>
                    <w:t>声级</w:t>
                  </w:r>
                </w:p>
              </w:tc>
              <w:tc>
                <w:tcPr>
                  <w:tcW w:w="2127" w:type="dxa"/>
                  <w:vMerge w:val="restart"/>
                  <w:tcBorders>
                    <w:top w:val="single" w:color="auto" w:sz="4" w:space="0"/>
                    <w:left w:val="single" w:color="auto" w:sz="4" w:space="0"/>
                    <w:right w:val="single" w:color="auto" w:sz="4" w:space="0"/>
                  </w:tcBorders>
                  <w:noWrap w:val="0"/>
                  <w:vAlign w:val="center"/>
                </w:tcPr>
                <w:p w14:paraId="5F56F395">
                  <w:pPr>
                    <w:keepNext w:val="0"/>
                    <w:keepLines w:val="0"/>
                    <w:suppressLineNumbers w:val="0"/>
                    <w:spacing w:before="0" w:beforeAutospacing="0" w:after="0" w:afterAutospacing="0"/>
                    <w:ind w:left="0" w:right="0"/>
                    <w:jc w:val="center"/>
                    <w:rPr>
                      <w:rFonts w:hint="eastAsia" w:hAnsi="宋体" w:eastAsia="宋体"/>
                      <w:color w:val="auto"/>
                      <w:kern w:val="0"/>
                      <w:sz w:val="18"/>
                      <w:szCs w:val="18"/>
                      <w:highlight w:val="none"/>
                      <w:lang w:eastAsia="zh-CN"/>
                    </w:rPr>
                  </w:pPr>
                  <w:r>
                    <w:rPr>
                      <w:rFonts w:hint="default" w:hAnsi="宋体"/>
                      <w:color w:val="auto"/>
                      <w:kern w:val="0"/>
                      <w:sz w:val="18"/>
                      <w:szCs w:val="18"/>
                      <w:highlight w:val="none"/>
                    </w:rPr>
                    <w:t>1</w:t>
                  </w:r>
                  <w:r>
                    <w:rPr>
                      <w:rFonts w:hint="eastAsia" w:hAnsi="宋体"/>
                      <w:color w:val="auto"/>
                      <w:kern w:val="0"/>
                      <w:sz w:val="18"/>
                      <w:szCs w:val="18"/>
                      <w:highlight w:val="none"/>
                    </w:rPr>
                    <w:t>次</w:t>
                  </w:r>
                  <w:r>
                    <w:rPr>
                      <w:rFonts w:hint="default" w:hAnsi="宋体"/>
                      <w:color w:val="auto"/>
                      <w:kern w:val="0"/>
                      <w:sz w:val="18"/>
                      <w:szCs w:val="18"/>
                      <w:highlight w:val="none"/>
                    </w:rPr>
                    <w:t>/</w:t>
                  </w:r>
                  <w:r>
                    <w:rPr>
                      <w:rFonts w:hint="eastAsia" w:hAnsi="宋体"/>
                      <w:color w:val="auto"/>
                      <w:kern w:val="0"/>
                      <w:sz w:val="18"/>
                      <w:szCs w:val="18"/>
                      <w:highlight w:val="none"/>
                      <w:lang w:val="en-US" w:eastAsia="zh-CN"/>
                    </w:rPr>
                    <w:t>年</w:t>
                  </w:r>
                </w:p>
              </w:tc>
              <w:tc>
                <w:tcPr>
                  <w:tcW w:w="2127" w:type="dxa"/>
                  <w:vMerge w:val="restart"/>
                  <w:tcBorders>
                    <w:top w:val="single" w:color="auto" w:sz="4" w:space="0"/>
                    <w:left w:val="single" w:color="auto" w:sz="4" w:space="0"/>
                    <w:right w:val="nil"/>
                  </w:tcBorders>
                  <w:noWrap w:val="0"/>
                  <w:vAlign w:val="center"/>
                </w:tcPr>
                <w:p w14:paraId="3A2EF249">
                  <w:pPr>
                    <w:keepNext w:val="0"/>
                    <w:keepLines w:val="0"/>
                    <w:suppressLineNumbers w:val="0"/>
                    <w:spacing w:before="0" w:beforeAutospacing="0" w:after="0" w:afterAutospacing="0"/>
                    <w:ind w:left="0" w:right="0"/>
                    <w:jc w:val="center"/>
                    <w:rPr>
                      <w:rFonts w:hint="default" w:hAnsi="宋体" w:eastAsia="宋体"/>
                      <w:color w:val="auto"/>
                      <w:kern w:val="0"/>
                      <w:sz w:val="18"/>
                      <w:szCs w:val="18"/>
                      <w:highlight w:val="none"/>
                      <w:lang w:val="en-US" w:eastAsia="zh-CN"/>
                    </w:rPr>
                  </w:pPr>
                  <w:r>
                    <w:rPr>
                      <w:rFonts w:hint="eastAsia" w:hAnsi="宋体"/>
                      <w:color w:val="auto"/>
                      <w:kern w:val="0"/>
                      <w:sz w:val="18"/>
                      <w:szCs w:val="18"/>
                      <w:highlight w:val="none"/>
                      <w:lang w:val="en-US" w:eastAsia="zh-CN"/>
                    </w:rPr>
                    <w:t>10月-次年3月</w:t>
                  </w:r>
                </w:p>
              </w:tc>
            </w:tr>
            <w:tr w14:paraId="2A5B23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6" w:type="dxa"/>
                  <w:tcBorders>
                    <w:top w:val="single" w:color="auto" w:sz="4" w:space="0"/>
                    <w:left w:val="nil"/>
                    <w:bottom w:val="single" w:color="auto" w:sz="12" w:space="0"/>
                    <w:right w:val="single" w:color="auto" w:sz="4" w:space="0"/>
                  </w:tcBorders>
                  <w:noWrap w:val="0"/>
                  <w:vAlign w:val="center"/>
                </w:tcPr>
                <w:p w14:paraId="6955C7BB">
                  <w:pPr>
                    <w:keepNext w:val="0"/>
                    <w:keepLines w:val="0"/>
                    <w:suppressLineNumbers w:val="0"/>
                    <w:spacing w:before="0" w:beforeAutospacing="0" w:after="0" w:afterAutospacing="0"/>
                    <w:ind w:left="0" w:right="0"/>
                    <w:jc w:val="center"/>
                    <w:rPr>
                      <w:rFonts w:hint="default" w:hAnsi="宋体" w:eastAsia="宋体"/>
                      <w:color w:val="FF0000"/>
                      <w:kern w:val="0"/>
                      <w:sz w:val="18"/>
                      <w:szCs w:val="18"/>
                      <w:highlight w:val="none"/>
                      <w:lang w:val="en-US" w:eastAsia="zh-CN"/>
                    </w:rPr>
                  </w:pPr>
                  <w:r>
                    <w:rPr>
                      <w:rFonts w:hint="eastAsia" w:hAnsi="宋体"/>
                      <w:color w:val="FF0000"/>
                      <w:kern w:val="0"/>
                      <w:sz w:val="18"/>
                      <w:szCs w:val="18"/>
                      <w:highlight w:val="none"/>
                      <w:lang w:val="en-US" w:eastAsia="zh-CN"/>
                    </w:rPr>
                    <w:t>敏感点噪声</w:t>
                  </w:r>
                </w:p>
              </w:tc>
              <w:tc>
                <w:tcPr>
                  <w:tcW w:w="1206" w:type="dxa"/>
                  <w:tcBorders>
                    <w:top w:val="single" w:color="auto" w:sz="4" w:space="0"/>
                    <w:left w:val="single" w:color="auto" w:sz="4" w:space="0"/>
                    <w:bottom w:val="single" w:color="auto" w:sz="12" w:space="0"/>
                    <w:right w:val="single" w:color="auto" w:sz="4" w:space="0"/>
                  </w:tcBorders>
                  <w:noWrap w:val="0"/>
                  <w:vAlign w:val="center"/>
                </w:tcPr>
                <w:p w14:paraId="1262A3B1">
                  <w:pPr>
                    <w:keepNext w:val="0"/>
                    <w:keepLines w:val="0"/>
                    <w:suppressLineNumbers w:val="0"/>
                    <w:spacing w:before="0" w:beforeAutospacing="0" w:after="0" w:afterAutospacing="0"/>
                    <w:ind w:left="0" w:right="0"/>
                    <w:jc w:val="center"/>
                    <w:rPr>
                      <w:rFonts w:hint="default" w:hAnsi="宋体" w:eastAsia="宋体"/>
                      <w:color w:val="FF0000"/>
                      <w:kern w:val="0"/>
                      <w:sz w:val="18"/>
                      <w:szCs w:val="18"/>
                      <w:highlight w:val="none"/>
                      <w:lang w:val="en-US" w:eastAsia="zh-CN"/>
                    </w:rPr>
                  </w:pPr>
                  <w:r>
                    <w:rPr>
                      <w:rFonts w:hint="eastAsia" w:hAnsi="宋体"/>
                      <w:color w:val="FF0000"/>
                      <w:kern w:val="0"/>
                      <w:sz w:val="18"/>
                      <w:szCs w:val="18"/>
                      <w:highlight w:val="none"/>
                      <w:lang w:val="en-US" w:eastAsia="zh-CN"/>
                    </w:rPr>
                    <w:t>西侧、南侧发展村五组居民敏感点</w:t>
                  </w:r>
                </w:p>
              </w:tc>
              <w:tc>
                <w:tcPr>
                  <w:tcW w:w="1679" w:type="dxa"/>
                  <w:vMerge w:val="continue"/>
                  <w:tcBorders>
                    <w:left w:val="single" w:color="auto" w:sz="4" w:space="0"/>
                    <w:bottom w:val="single" w:color="auto" w:sz="12" w:space="0"/>
                    <w:right w:val="single" w:color="auto" w:sz="4" w:space="0"/>
                  </w:tcBorders>
                  <w:noWrap w:val="0"/>
                  <w:vAlign w:val="center"/>
                </w:tcPr>
                <w:p w14:paraId="6E87E0D5">
                  <w:pPr>
                    <w:keepNext w:val="0"/>
                    <w:keepLines w:val="0"/>
                    <w:suppressLineNumbers w:val="0"/>
                    <w:spacing w:before="0" w:beforeAutospacing="0" w:after="0" w:afterAutospacing="0"/>
                    <w:ind w:left="0" w:right="0"/>
                    <w:jc w:val="center"/>
                    <w:rPr>
                      <w:rFonts w:hint="eastAsia" w:hAnsi="宋体"/>
                      <w:color w:val="auto"/>
                      <w:kern w:val="0"/>
                      <w:sz w:val="18"/>
                      <w:szCs w:val="18"/>
                      <w:highlight w:val="none"/>
                    </w:rPr>
                  </w:pPr>
                </w:p>
              </w:tc>
              <w:tc>
                <w:tcPr>
                  <w:tcW w:w="2127" w:type="dxa"/>
                  <w:vMerge w:val="continue"/>
                  <w:tcBorders>
                    <w:left w:val="single" w:color="auto" w:sz="4" w:space="0"/>
                    <w:bottom w:val="single" w:color="auto" w:sz="12" w:space="0"/>
                    <w:right w:val="single" w:color="auto" w:sz="4" w:space="0"/>
                  </w:tcBorders>
                  <w:noWrap w:val="0"/>
                  <w:vAlign w:val="center"/>
                </w:tcPr>
                <w:p w14:paraId="56663338">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p>
              </w:tc>
              <w:tc>
                <w:tcPr>
                  <w:tcW w:w="2127" w:type="dxa"/>
                  <w:vMerge w:val="continue"/>
                  <w:tcBorders>
                    <w:left w:val="single" w:color="auto" w:sz="4" w:space="0"/>
                    <w:bottom w:val="single" w:color="auto" w:sz="12" w:space="0"/>
                    <w:right w:val="nil"/>
                  </w:tcBorders>
                  <w:noWrap w:val="0"/>
                  <w:vAlign w:val="center"/>
                </w:tcPr>
                <w:p w14:paraId="721CF0BC">
                  <w:pPr>
                    <w:keepNext w:val="0"/>
                    <w:keepLines w:val="0"/>
                    <w:suppressLineNumbers w:val="0"/>
                    <w:spacing w:before="0" w:beforeAutospacing="0" w:after="0" w:afterAutospacing="0"/>
                    <w:ind w:left="0" w:right="0"/>
                    <w:jc w:val="center"/>
                    <w:rPr>
                      <w:rFonts w:hint="eastAsia" w:hAnsi="宋体"/>
                      <w:color w:val="auto"/>
                      <w:kern w:val="0"/>
                      <w:sz w:val="18"/>
                      <w:szCs w:val="18"/>
                      <w:highlight w:val="none"/>
                      <w:lang w:val="en-US" w:eastAsia="zh-CN"/>
                    </w:rPr>
                  </w:pPr>
                </w:p>
              </w:tc>
            </w:tr>
          </w:tbl>
          <w:p w14:paraId="12B21F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4、固体废物</w:t>
            </w:r>
          </w:p>
          <w:p w14:paraId="6C74E2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（1）固体废物排放信息</w:t>
            </w:r>
          </w:p>
          <w:p w14:paraId="2EF98CB8">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color w:val="auto"/>
                <w:szCs w:val="21"/>
                <w:highlight w:val="none"/>
                <w:lang w:eastAsia="zh-CN"/>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12 </w:t>
            </w:r>
            <w:r>
              <w:rPr>
                <w:rFonts w:hint="default" w:ascii="Times New Roman" w:hAnsi="Times New Roman" w:cs="Times New Roman"/>
                <w:b/>
                <w:color w:val="auto"/>
                <w:szCs w:val="21"/>
                <w:highlight w:val="none"/>
              </w:rPr>
              <w:t>固体废物排放</w:t>
            </w:r>
            <w:r>
              <w:rPr>
                <w:rFonts w:hint="eastAsia" w:cs="Times New Roman"/>
                <w:b/>
                <w:color w:val="auto"/>
                <w:szCs w:val="21"/>
                <w:highlight w:val="none"/>
                <w:lang w:val="en-US" w:eastAsia="zh-CN"/>
              </w:rPr>
              <w:t>一览表</w:t>
            </w:r>
          </w:p>
          <w:tbl>
            <w:tblPr>
              <w:tblStyle w:val="36"/>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8"/>
              <w:gridCol w:w="1144"/>
              <w:gridCol w:w="1354"/>
              <w:gridCol w:w="753"/>
              <w:gridCol w:w="614"/>
              <w:gridCol w:w="1469"/>
              <w:gridCol w:w="790"/>
              <w:gridCol w:w="1013"/>
            </w:tblGrid>
            <w:tr w14:paraId="19B04A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8" w:type="dxa"/>
                  <w:tcBorders>
                    <w:top w:val="single" w:color="auto" w:sz="12" w:space="0"/>
                  </w:tcBorders>
                  <w:noWrap w:val="0"/>
                  <w:vAlign w:val="center"/>
                </w:tcPr>
                <w:p w14:paraId="11A6C0A6">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产生环节</w:t>
                  </w:r>
                </w:p>
              </w:tc>
              <w:tc>
                <w:tcPr>
                  <w:tcW w:w="1144" w:type="dxa"/>
                  <w:tcBorders>
                    <w:top w:val="single" w:color="auto" w:sz="12" w:space="0"/>
                  </w:tcBorders>
                  <w:noWrap w:val="0"/>
                  <w:vAlign w:val="center"/>
                </w:tcPr>
                <w:p w14:paraId="41D6E99E">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14:paraId="3642D4EF">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名称</w:t>
                  </w:r>
                </w:p>
              </w:tc>
              <w:tc>
                <w:tcPr>
                  <w:tcW w:w="1354" w:type="dxa"/>
                  <w:tcBorders>
                    <w:top w:val="single" w:color="auto" w:sz="12" w:space="0"/>
                  </w:tcBorders>
                  <w:noWrap w:val="0"/>
                  <w:vAlign w:val="center"/>
                </w:tcPr>
                <w:p w14:paraId="08763572">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14:paraId="504C43B6">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属性</w:t>
                  </w:r>
                </w:p>
              </w:tc>
              <w:tc>
                <w:tcPr>
                  <w:tcW w:w="753" w:type="dxa"/>
                  <w:tcBorders>
                    <w:top w:val="single" w:color="auto" w:sz="12" w:space="0"/>
                  </w:tcBorders>
                  <w:noWrap w:val="0"/>
                  <w:vAlign w:val="center"/>
                </w:tcPr>
                <w:p w14:paraId="27F1AF9E">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产生量t/a</w:t>
                  </w:r>
                </w:p>
              </w:tc>
              <w:tc>
                <w:tcPr>
                  <w:tcW w:w="614" w:type="dxa"/>
                  <w:tcBorders>
                    <w:top w:val="single" w:color="auto" w:sz="12" w:space="0"/>
                  </w:tcBorders>
                  <w:noWrap w:val="0"/>
                  <w:vAlign w:val="center"/>
                </w:tcPr>
                <w:p w14:paraId="34249DD4">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物理</w:t>
                  </w:r>
                </w:p>
                <w:p w14:paraId="2019C77B">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性状</w:t>
                  </w:r>
                </w:p>
              </w:tc>
              <w:tc>
                <w:tcPr>
                  <w:tcW w:w="1469" w:type="dxa"/>
                  <w:tcBorders>
                    <w:top w:val="single" w:color="auto" w:sz="12" w:space="0"/>
                  </w:tcBorders>
                  <w:noWrap w:val="0"/>
                  <w:vAlign w:val="center"/>
                </w:tcPr>
                <w:p w14:paraId="741DD4F4">
                  <w:pPr>
                    <w:keepNext w:val="0"/>
                    <w:keepLines w:val="0"/>
                    <w:pageBreakBefore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贮存方式</w:t>
                  </w:r>
                </w:p>
              </w:tc>
              <w:tc>
                <w:tcPr>
                  <w:tcW w:w="790" w:type="dxa"/>
                  <w:tcBorders>
                    <w:top w:val="single" w:color="auto" w:sz="12" w:space="0"/>
                  </w:tcBorders>
                  <w:noWrap w:val="0"/>
                  <w:vAlign w:val="center"/>
                </w:tcPr>
                <w:p w14:paraId="172EE079">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处置量t/a</w:t>
                  </w:r>
                </w:p>
              </w:tc>
              <w:tc>
                <w:tcPr>
                  <w:tcW w:w="1013" w:type="dxa"/>
                  <w:tcBorders>
                    <w:top w:val="single" w:color="auto" w:sz="12" w:space="0"/>
                  </w:tcBorders>
                  <w:noWrap w:val="0"/>
                  <w:vAlign w:val="center"/>
                </w:tcPr>
                <w:p w14:paraId="665809EB">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最终去向</w:t>
                  </w:r>
                </w:p>
              </w:tc>
            </w:tr>
            <w:tr w14:paraId="44C70F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948" w:type="dxa"/>
                  <w:noWrap w:val="0"/>
                  <w:vAlign w:val="center"/>
                </w:tcPr>
                <w:p w14:paraId="15D3C772">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val="en-US" w:eastAsia="zh-CN"/>
                    </w:rPr>
                    <w:t>员工生活</w:t>
                  </w:r>
                </w:p>
              </w:tc>
              <w:tc>
                <w:tcPr>
                  <w:tcW w:w="1144" w:type="dxa"/>
                  <w:noWrap w:val="0"/>
                  <w:vAlign w:val="center"/>
                </w:tcPr>
                <w:p w14:paraId="001190E7">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color w:val="auto"/>
                      <w:sz w:val="18"/>
                      <w:szCs w:val="18"/>
                      <w:highlight w:val="none"/>
                    </w:rPr>
                  </w:pPr>
                  <w:r>
                    <w:rPr>
                      <w:rFonts w:hint="eastAsia" w:cs="Times New Roman"/>
                      <w:color w:val="auto"/>
                      <w:sz w:val="18"/>
                      <w:szCs w:val="18"/>
                      <w:highlight w:val="none"/>
                      <w:lang w:eastAsia="zh-CN"/>
                    </w:rPr>
                    <w:t>生活垃圾</w:t>
                  </w:r>
                </w:p>
              </w:tc>
              <w:tc>
                <w:tcPr>
                  <w:tcW w:w="1354" w:type="dxa"/>
                  <w:noWrap w:val="0"/>
                  <w:vAlign w:val="center"/>
                </w:tcPr>
                <w:p w14:paraId="55D9A928">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其他垃圾</w:t>
                  </w:r>
                </w:p>
                <w:p w14:paraId="5F6AC608">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eastAsia" w:ascii="Times New Roman" w:hAnsi="Times New Roman" w:eastAsia="宋体" w:cs="Times New Roman"/>
                      <w:color w:val="auto"/>
                      <w:sz w:val="18"/>
                      <w:szCs w:val="18"/>
                      <w:highlight w:val="none"/>
                      <w:lang w:val="en-US" w:eastAsia="zh-CN"/>
                    </w:rPr>
                    <w:t>900-099-S64</w:t>
                  </w:r>
                </w:p>
              </w:tc>
              <w:tc>
                <w:tcPr>
                  <w:tcW w:w="753" w:type="dxa"/>
                  <w:noWrap w:val="0"/>
                  <w:vAlign w:val="center"/>
                </w:tcPr>
                <w:p w14:paraId="58B94B9A">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cs="Times New Roman"/>
                      <w:bCs/>
                      <w:color w:val="auto"/>
                      <w:sz w:val="18"/>
                      <w:szCs w:val="18"/>
                      <w:highlight w:val="none"/>
                      <w:lang w:val="en-US" w:eastAsia="zh-CN"/>
                    </w:rPr>
                  </w:pPr>
                  <w:r>
                    <w:rPr>
                      <w:rFonts w:hint="eastAsia" w:cs="Times New Roman"/>
                      <w:color w:val="auto"/>
                      <w:kern w:val="21"/>
                      <w:sz w:val="18"/>
                      <w:szCs w:val="18"/>
                      <w:highlight w:val="none"/>
                      <w:lang w:val="en-US" w:eastAsia="zh-CN" w:bidi="ar-SA"/>
                    </w:rPr>
                    <w:t>0.5</w:t>
                  </w:r>
                </w:p>
              </w:tc>
              <w:tc>
                <w:tcPr>
                  <w:tcW w:w="614" w:type="dxa"/>
                  <w:shd w:val="clear" w:color="auto" w:fill="auto"/>
                  <w:noWrap w:val="0"/>
                  <w:vAlign w:val="center"/>
                </w:tcPr>
                <w:p w14:paraId="35815638">
                  <w:pPr>
                    <w:keepNext w:val="0"/>
                    <w:keepLines w:val="0"/>
                    <w:pageBreakBefore w:val="0"/>
                    <w:suppressLineNumbers w:val="0"/>
                    <w:kinsoku/>
                    <w:wordWrap/>
                    <w:overflowPunct/>
                    <w:topLinePunct w:val="0"/>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固</w:t>
                  </w:r>
                </w:p>
              </w:tc>
              <w:tc>
                <w:tcPr>
                  <w:tcW w:w="1469" w:type="dxa"/>
                  <w:noWrap w:val="0"/>
                  <w:vAlign w:val="center"/>
                </w:tcPr>
                <w:p w14:paraId="065D404C">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暂存厂区垃圾箱</w:t>
                  </w:r>
                </w:p>
              </w:tc>
              <w:tc>
                <w:tcPr>
                  <w:tcW w:w="790" w:type="dxa"/>
                  <w:shd w:val="clear" w:color="auto" w:fill="auto"/>
                  <w:noWrap w:val="0"/>
                  <w:vAlign w:val="center"/>
                </w:tcPr>
                <w:p w14:paraId="4ACF212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0.5</w:t>
                  </w:r>
                </w:p>
              </w:tc>
              <w:tc>
                <w:tcPr>
                  <w:tcW w:w="1013" w:type="dxa"/>
                  <w:noWrap w:val="0"/>
                  <w:vAlign w:val="center"/>
                </w:tcPr>
                <w:p w14:paraId="440D19BD">
                  <w:pPr>
                    <w:pStyle w:val="132"/>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委托环卫部门处理</w:t>
                  </w:r>
                </w:p>
              </w:tc>
            </w:tr>
            <w:tr w14:paraId="547EFB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8" w:type="dxa"/>
                  <w:noWrap w:val="0"/>
                  <w:vAlign w:val="center"/>
                </w:tcPr>
                <w:p w14:paraId="18B65729">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color w:val="auto"/>
                      <w:sz w:val="18"/>
                      <w:szCs w:val="18"/>
                      <w:highlight w:val="none"/>
                      <w:lang w:eastAsia="zh-CN"/>
                    </w:rPr>
                    <w:t>热风炉</w:t>
                  </w:r>
                </w:p>
              </w:tc>
              <w:tc>
                <w:tcPr>
                  <w:tcW w:w="1144" w:type="dxa"/>
                  <w:noWrap w:val="0"/>
                  <w:vAlign w:val="center"/>
                </w:tcPr>
                <w:p w14:paraId="2ECA6AB0">
                  <w:pPr>
                    <w:pStyle w:val="132"/>
                    <w:keepNext w:val="0"/>
                    <w:keepLines w:val="0"/>
                    <w:suppressLineNumbers w:val="0"/>
                    <w:spacing w:before="0" w:beforeAutospacing="0" w:after="0" w:afterAutospacing="0" w:line="240" w:lineRule="auto"/>
                    <w:ind w:left="0" w:leftChars="0" w:right="0" w:rightChars="0"/>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热风炉</w:t>
                  </w:r>
                  <w:r>
                    <w:rPr>
                      <w:rFonts w:hint="eastAsia" w:cs="Times New Roman"/>
                      <w:color w:val="auto"/>
                      <w:sz w:val="18"/>
                      <w:szCs w:val="18"/>
                      <w:highlight w:val="none"/>
                      <w:lang w:eastAsia="zh-CN"/>
                    </w:rPr>
                    <w:t>灰渣</w:t>
                  </w:r>
                </w:p>
              </w:tc>
              <w:tc>
                <w:tcPr>
                  <w:tcW w:w="1354" w:type="dxa"/>
                  <w:noWrap w:val="0"/>
                  <w:vAlign w:val="center"/>
                </w:tcPr>
                <w:p w14:paraId="49142A0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工业固体废物900-099-S03</w:t>
                  </w:r>
                </w:p>
              </w:tc>
              <w:tc>
                <w:tcPr>
                  <w:tcW w:w="753" w:type="dxa"/>
                  <w:noWrap w:val="0"/>
                  <w:vAlign w:val="center"/>
                </w:tcPr>
                <w:p w14:paraId="348F263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169.729</w:t>
                  </w:r>
                </w:p>
              </w:tc>
              <w:tc>
                <w:tcPr>
                  <w:tcW w:w="614" w:type="dxa"/>
                  <w:noWrap w:val="0"/>
                  <w:vAlign w:val="center"/>
                </w:tcPr>
                <w:p w14:paraId="31A9584E">
                  <w:pPr>
                    <w:keepNext w:val="0"/>
                    <w:keepLines w:val="0"/>
                    <w:pageBreakBefore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固</w:t>
                  </w:r>
                </w:p>
              </w:tc>
              <w:tc>
                <w:tcPr>
                  <w:tcW w:w="1469" w:type="dxa"/>
                  <w:noWrap w:val="0"/>
                  <w:vAlign w:val="center"/>
                </w:tcPr>
                <w:p w14:paraId="2D99A27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暂存与</w:t>
                  </w:r>
                  <w:r>
                    <w:rPr>
                      <w:rFonts w:hint="eastAsia" w:cs="Times New Roman"/>
                      <w:bCs/>
                      <w:color w:val="auto"/>
                      <w:kern w:val="0"/>
                      <w:sz w:val="18"/>
                      <w:szCs w:val="18"/>
                      <w:highlight w:val="none"/>
                      <w:lang w:val="en-US" w:eastAsia="zh-CN"/>
                    </w:rPr>
                    <w:t>热风炉房</w:t>
                  </w:r>
                  <w:r>
                    <w:rPr>
                      <w:rFonts w:hint="eastAsia" w:cs="Times New Roman"/>
                      <w:color w:val="auto"/>
                      <w:sz w:val="18"/>
                      <w:szCs w:val="18"/>
                      <w:highlight w:val="none"/>
                      <w:lang w:val="en-US" w:eastAsia="zh-CN"/>
                    </w:rPr>
                    <w:t>灰渣间内，定期清运，不在厂区长期储存</w:t>
                  </w:r>
                </w:p>
              </w:tc>
              <w:tc>
                <w:tcPr>
                  <w:tcW w:w="790" w:type="dxa"/>
                  <w:noWrap w:val="0"/>
                  <w:vAlign w:val="center"/>
                </w:tcPr>
                <w:p w14:paraId="7D75C4EE">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169.729</w:t>
                  </w:r>
                </w:p>
              </w:tc>
              <w:tc>
                <w:tcPr>
                  <w:tcW w:w="1013" w:type="dxa"/>
                  <w:noWrap w:val="0"/>
                  <w:vAlign w:val="center"/>
                </w:tcPr>
                <w:p w14:paraId="528ABE11">
                  <w:pPr>
                    <w:pStyle w:val="132"/>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sz w:val="18"/>
                      <w:szCs w:val="18"/>
                      <w:highlight w:val="none"/>
                      <w:lang w:val="en-US" w:eastAsia="zh-CN"/>
                    </w:rPr>
                    <w:t>外售综合利用</w:t>
                  </w:r>
                </w:p>
              </w:tc>
            </w:tr>
            <w:tr w14:paraId="5853F5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8" w:type="dxa"/>
                  <w:noWrap w:val="0"/>
                  <w:vAlign w:val="center"/>
                </w:tcPr>
                <w:p w14:paraId="08CAA5F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eastAsia="zh-CN"/>
                    </w:rPr>
                    <w:t>布袋除尘器</w:t>
                  </w:r>
                </w:p>
              </w:tc>
              <w:tc>
                <w:tcPr>
                  <w:tcW w:w="1144" w:type="dxa"/>
                  <w:noWrap w:val="0"/>
                  <w:vAlign w:val="center"/>
                </w:tcPr>
                <w:p w14:paraId="184B3D0A">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废布袋</w:t>
                  </w:r>
                </w:p>
              </w:tc>
              <w:tc>
                <w:tcPr>
                  <w:tcW w:w="1354" w:type="dxa"/>
                  <w:shd w:val="clear" w:color="auto" w:fill="auto"/>
                  <w:noWrap w:val="0"/>
                  <w:vAlign w:val="center"/>
                </w:tcPr>
                <w:p w14:paraId="7BCE56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工业固体废物</w:t>
                  </w:r>
                  <w:r>
                    <w:rPr>
                      <w:rFonts w:hint="eastAsia" w:ascii="Times New Roman" w:hAnsi="Times New Roman" w:eastAsia="宋体" w:cs="Times New Roman"/>
                      <w:color w:val="auto"/>
                      <w:sz w:val="18"/>
                      <w:szCs w:val="18"/>
                      <w:highlight w:val="none"/>
                      <w:lang w:val="en-US" w:eastAsia="zh-CN"/>
                    </w:rPr>
                    <w:t>900</w:t>
                  </w:r>
                  <w:r>
                    <w:rPr>
                      <w:rFonts w:hint="default" w:ascii="Times New Roman" w:hAnsi="Times New Roman" w:eastAsia="宋体" w:cs="Times New Roman"/>
                      <w:color w:val="auto"/>
                      <w:sz w:val="18"/>
                      <w:szCs w:val="18"/>
                      <w:highlight w:val="none"/>
                    </w:rPr>
                    <w:t>-00</w:t>
                  </w:r>
                  <w:r>
                    <w:rPr>
                      <w:rFonts w:hint="eastAsia" w:ascii="Times New Roman" w:hAnsi="Times New Roman" w:eastAsia="宋体" w:cs="Times New Roman"/>
                      <w:color w:val="auto"/>
                      <w:sz w:val="18"/>
                      <w:szCs w:val="18"/>
                      <w:highlight w:val="none"/>
                      <w:lang w:val="en-US" w:eastAsia="zh-CN"/>
                    </w:rPr>
                    <w:t>9</w:t>
                  </w:r>
                  <w:r>
                    <w:rPr>
                      <w:rFonts w:hint="default" w:ascii="Times New Roman" w:hAnsi="Times New Roman" w:eastAsia="宋体" w:cs="Times New Roman"/>
                      <w:color w:val="auto"/>
                      <w:sz w:val="18"/>
                      <w:szCs w:val="18"/>
                      <w:highlight w:val="none"/>
                    </w:rPr>
                    <w:t>-S</w:t>
                  </w:r>
                  <w:r>
                    <w:rPr>
                      <w:rFonts w:hint="eastAsia" w:ascii="Times New Roman" w:hAnsi="Times New Roman" w:eastAsia="宋体" w:cs="Times New Roman"/>
                      <w:color w:val="auto"/>
                      <w:sz w:val="18"/>
                      <w:szCs w:val="18"/>
                      <w:highlight w:val="none"/>
                      <w:lang w:val="en-US" w:eastAsia="zh-CN"/>
                    </w:rPr>
                    <w:t>59</w:t>
                  </w:r>
                </w:p>
              </w:tc>
              <w:tc>
                <w:tcPr>
                  <w:tcW w:w="753" w:type="dxa"/>
                  <w:noWrap w:val="0"/>
                  <w:vAlign w:val="center"/>
                </w:tcPr>
                <w:p w14:paraId="3D5780C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cs="Times New Roman"/>
                      <w:bCs/>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w:t>
                  </w:r>
                  <w:r>
                    <w:rPr>
                      <w:rFonts w:hint="eastAsia" w:cs="Times New Roman"/>
                      <w:color w:val="auto"/>
                      <w:sz w:val="18"/>
                      <w:szCs w:val="18"/>
                      <w:highlight w:val="none"/>
                      <w:lang w:val="en-US" w:eastAsia="zh-CN"/>
                    </w:rPr>
                    <w:t>5</w:t>
                  </w:r>
                </w:p>
              </w:tc>
              <w:tc>
                <w:tcPr>
                  <w:tcW w:w="614" w:type="dxa"/>
                  <w:noWrap w:val="0"/>
                  <w:vAlign w:val="center"/>
                </w:tcPr>
                <w:p w14:paraId="12B8382C">
                  <w:pPr>
                    <w:keepNext w:val="0"/>
                    <w:keepLines w:val="0"/>
                    <w:pageBreakBefore w:val="0"/>
                    <w:suppressLineNumbers w:val="0"/>
                    <w:kinsoku/>
                    <w:wordWrap/>
                    <w:overflowPunct/>
                    <w:topLinePunct w:val="0"/>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469" w:type="dxa"/>
                  <w:shd w:val="clear" w:color="auto" w:fill="auto"/>
                  <w:noWrap w:val="0"/>
                  <w:vAlign w:val="center"/>
                </w:tcPr>
                <w:p w14:paraId="2B3A8053">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eastAsia="zh-CN"/>
                    </w:rPr>
                    <w:t>不贮存</w:t>
                  </w:r>
                </w:p>
              </w:tc>
              <w:tc>
                <w:tcPr>
                  <w:tcW w:w="790" w:type="dxa"/>
                  <w:noWrap w:val="0"/>
                  <w:vAlign w:val="center"/>
                </w:tcPr>
                <w:p w14:paraId="4B52296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w:t>
                  </w:r>
                  <w:r>
                    <w:rPr>
                      <w:rFonts w:hint="eastAsia" w:cs="Times New Roman"/>
                      <w:color w:val="auto"/>
                      <w:sz w:val="18"/>
                      <w:szCs w:val="18"/>
                      <w:highlight w:val="none"/>
                      <w:lang w:val="en-US" w:eastAsia="zh-CN"/>
                    </w:rPr>
                    <w:t>5</w:t>
                  </w:r>
                </w:p>
              </w:tc>
              <w:tc>
                <w:tcPr>
                  <w:tcW w:w="1013" w:type="dxa"/>
                  <w:shd w:val="clear" w:color="auto" w:fill="auto"/>
                  <w:noWrap w:val="0"/>
                  <w:vAlign w:val="center"/>
                </w:tcPr>
                <w:p w14:paraId="77941F3D">
                  <w:pPr>
                    <w:keepNext w:val="0"/>
                    <w:keepLines w:val="0"/>
                    <w:suppressLineNumbers w:val="0"/>
                    <w:autoSpaceDE w:val="0"/>
                    <w:autoSpaceDN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除尘器厂家更换后直接带走</w:t>
                  </w:r>
                </w:p>
              </w:tc>
            </w:tr>
            <w:tr w14:paraId="2EED9C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8" w:type="dxa"/>
                  <w:noWrap w:val="0"/>
                  <w:vAlign w:val="center"/>
                </w:tcPr>
                <w:p w14:paraId="56F1E05A">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bCs/>
                      <w:color w:val="auto"/>
                      <w:sz w:val="18"/>
                      <w:szCs w:val="18"/>
                      <w:highlight w:val="none"/>
                    </w:rPr>
                  </w:pPr>
                  <w:r>
                    <w:rPr>
                      <w:rFonts w:hint="eastAsia" w:cs="Times New Roman"/>
                      <w:color w:val="auto"/>
                      <w:sz w:val="18"/>
                      <w:szCs w:val="18"/>
                      <w:highlight w:val="none"/>
                      <w:lang w:val="en-US" w:eastAsia="zh-CN"/>
                    </w:rPr>
                    <w:t>工艺粉尘</w:t>
                  </w:r>
                </w:p>
              </w:tc>
              <w:tc>
                <w:tcPr>
                  <w:tcW w:w="1144" w:type="dxa"/>
                  <w:noWrap w:val="0"/>
                  <w:vAlign w:val="center"/>
                </w:tcPr>
                <w:p w14:paraId="4E47396C">
                  <w:pPr>
                    <w:pStyle w:val="132"/>
                    <w:keepNext w:val="0"/>
                    <w:keepLines w:val="0"/>
                    <w:suppressLineNumbers w:val="0"/>
                    <w:spacing w:before="0" w:beforeAutospacing="0" w:after="0" w:afterAutospacing="0" w:line="240" w:lineRule="auto"/>
                    <w:ind w:left="0" w:leftChars="0" w:right="0" w:rightChars="0"/>
                    <w:rPr>
                      <w:rFonts w:hint="eastAsia" w:ascii="Times New Roman" w:hAnsi="Times New Roman" w:eastAsia="宋体" w:cs="Times New Roman"/>
                      <w:bCs/>
                      <w:color w:val="auto"/>
                      <w:sz w:val="18"/>
                      <w:szCs w:val="18"/>
                      <w:highlight w:val="none"/>
                      <w:lang w:val="en-US" w:eastAsia="zh-CN"/>
                    </w:rPr>
                  </w:pPr>
                  <w:r>
                    <w:rPr>
                      <w:rFonts w:hint="default" w:ascii="Times New Roman" w:hAnsi="Times New Roman" w:cs="Times New Roman"/>
                      <w:color w:val="auto"/>
                      <w:sz w:val="18"/>
                      <w:szCs w:val="18"/>
                      <w:highlight w:val="none"/>
                      <w:lang w:eastAsia="zh-CN"/>
                    </w:rPr>
                    <w:t>初清杂质</w:t>
                  </w:r>
                  <w:r>
                    <w:rPr>
                      <w:rFonts w:hint="default" w:ascii="Times New Roman" w:hAnsi="Times New Roman" w:cs="Times New Roman"/>
                      <w:color w:val="auto"/>
                      <w:sz w:val="18"/>
                      <w:szCs w:val="18"/>
                      <w:highlight w:val="none"/>
                      <w:lang w:val="en-US" w:eastAsia="zh-CN"/>
                    </w:rPr>
                    <w:t>及输送装卸、烘干</w:t>
                  </w:r>
                  <w:r>
                    <w:rPr>
                      <w:rFonts w:hint="default" w:ascii="Times New Roman" w:hAnsi="Times New Roman" w:cs="Times New Roman"/>
                      <w:color w:val="auto"/>
                      <w:sz w:val="18"/>
                      <w:szCs w:val="18"/>
                      <w:highlight w:val="none"/>
                    </w:rPr>
                    <w:t>粉尘</w:t>
                  </w:r>
                </w:p>
              </w:tc>
              <w:tc>
                <w:tcPr>
                  <w:tcW w:w="1354" w:type="dxa"/>
                  <w:noWrap w:val="0"/>
                  <w:vAlign w:val="center"/>
                </w:tcPr>
                <w:p w14:paraId="7601158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工业固体废物900-0</w:t>
                  </w:r>
                  <w:r>
                    <w:rPr>
                      <w:rFonts w:hint="eastAsia" w:cs="Times New Roman"/>
                      <w:color w:val="auto"/>
                      <w:sz w:val="18"/>
                      <w:szCs w:val="18"/>
                      <w:highlight w:val="none"/>
                      <w:lang w:val="en-US" w:eastAsia="zh-CN"/>
                    </w:rPr>
                    <w:t>9</w:t>
                  </w:r>
                  <w:r>
                    <w:rPr>
                      <w:rFonts w:hint="default" w:ascii="Times New Roman" w:hAnsi="Times New Roman" w:cs="Times New Roman"/>
                      <w:color w:val="auto"/>
                      <w:sz w:val="18"/>
                      <w:szCs w:val="18"/>
                      <w:highlight w:val="none"/>
                    </w:rPr>
                    <w:t>9-S</w:t>
                  </w:r>
                  <w:r>
                    <w:rPr>
                      <w:rFonts w:hint="eastAsia" w:ascii="Times New Roman" w:hAnsi="Times New Roman" w:cs="Times New Roman"/>
                      <w:color w:val="auto"/>
                      <w:sz w:val="18"/>
                      <w:szCs w:val="18"/>
                      <w:highlight w:val="none"/>
                      <w:lang w:val="en-US" w:eastAsia="zh-CN"/>
                    </w:rPr>
                    <w:t>59</w:t>
                  </w:r>
                </w:p>
              </w:tc>
              <w:tc>
                <w:tcPr>
                  <w:tcW w:w="753" w:type="dxa"/>
                  <w:noWrap w:val="0"/>
                  <w:vAlign w:val="center"/>
                </w:tcPr>
                <w:p w14:paraId="75F1AA3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34.247</w:t>
                  </w:r>
                </w:p>
              </w:tc>
              <w:tc>
                <w:tcPr>
                  <w:tcW w:w="614" w:type="dxa"/>
                  <w:noWrap w:val="0"/>
                  <w:vAlign w:val="center"/>
                </w:tcPr>
                <w:p w14:paraId="302B77D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469" w:type="dxa"/>
                  <w:noWrap w:val="0"/>
                  <w:vAlign w:val="center"/>
                </w:tcPr>
                <w:p w14:paraId="01A72B8E">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color w:val="auto"/>
                      <w:sz w:val="18"/>
                      <w:szCs w:val="18"/>
                      <w:highlight w:val="none"/>
                      <w:lang w:val="en-US" w:eastAsia="zh-CN"/>
                    </w:rPr>
                    <w:t>集中收集</w:t>
                  </w:r>
                </w:p>
              </w:tc>
              <w:tc>
                <w:tcPr>
                  <w:tcW w:w="790" w:type="dxa"/>
                  <w:shd w:val="clear" w:color="auto" w:fill="auto"/>
                  <w:noWrap w:val="0"/>
                  <w:vAlign w:val="center"/>
                </w:tcPr>
                <w:p w14:paraId="266347CE">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34.247</w:t>
                  </w:r>
                </w:p>
              </w:tc>
              <w:tc>
                <w:tcPr>
                  <w:tcW w:w="1013" w:type="dxa"/>
                  <w:noWrap w:val="0"/>
                  <w:vAlign w:val="center"/>
                </w:tcPr>
                <w:p w14:paraId="09BB7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rPr>
                  </w:pPr>
                  <w:r>
                    <w:rPr>
                      <w:rFonts w:hint="eastAsia" w:cs="Times New Roman"/>
                      <w:color w:val="auto"/>
                      <w:sz w:val="18"/>
                      <w:szCs w:val="18"/>
                      <w:highlight w:val="none"/>
                      <w:lang w:val="en-US" w:eastAsia="zh-CN"/>
                    </w:rPr>
                    <w:t>初清杂质及输送装卸过程产生的砂石杂质外售建材企业综合利用，烘干粉尘外售农户作为牲畜饲料综合利用。</w:t>
                  </w:r>
                </w:p>
              </w:tc>
            </w:tr>
            <w:tr w14:paraId="5F1311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8" w:type="dxa"/>
                  <w:vMerge w:val="restart"/>
                  <w:shd w:val="clear" w:color="auto" w:fill="auto"/>
                  <w:noWrap w:val="0"/>
                  <w:vAlign w:val="center"/>
                </w:tcPr>
                <w:p w14:paraId="6D508105">
                  <w:pPr>
                    <w:pStyle w:val="132"/>
                    <w:keepNext w:val="0"/>
                    <w:keepLines w:val="0"/>
                    <w:suppressLineNumbers w:val="0"/>
                    <w:spacing w:before="0" w:beforeAutospacing="0" w:after="0" w:afterAutospacing="0" w:line="240" w:lineRule="auto"/>
                    <w:ind w:left="0" w:leftChars="0" w:right="0" w:rightChars="0"/>
                    <w:rPr>
                      <w:rFonts w:hint="eastAsia" w:ascii="Times New Roman" w:hAnsi="Times New Roman" w:eastAsia="宋体" w:cs="Times New Roman"/>
                      <w:color w:val="FF0000"/>
                      <w:kern w:val="2"/>
                      <w:sz w:val="18"/>
                      <w:szCs w:val="18"/>
                      <w:highlight w:val="none"/>
                      <w:lang w:val="en-US" w:eastAsia="zh-CN" w:bidi="ar-SA"/>
                    </w:rPr>
                  </w:pPr>
                  <w:r>
                    <w:rPr>
                      <w:rFonts w:hint="eastAsia" w:cs="Times New Roman"/>
                      <w:color w:val="FF0000"/>
                      <w:sz w:val="18"/>
                      <w:szCs w:val="18"/>
                      <w:highlight w:val="none"/>
                      <w:lang w:val="en-US" w:eastAsia="zh-CN"/>
                    </w:rPr>
                    <w:t>设备维护</w:t>
                  </w:r>
                </w:p>
                <w:p w14:paraId="6886133D">
                  <w:pPr>
                    <w:pStyle w:val="132"/>
                    <w:keepNext w:val="0"/>
                    <w:keepLines w:val="0"/>
                    <w:suppressLineNumbers w:val="0"/>
                    <w:spacing w:before="0" w:beforeAutospacing="0" w:after="0" w:afterAutospacing="0" w:line="240" w:lineRule="auto"/>
                    <w:ind w:left="0" w:leftChars="0" w:right="0" w:rightChars="0"/>
                    <w:rPr>
                      <w:rFonts w:hint="eastAsia" w:cs="Times New Roman"/>
                      <w:color w:val="auto"/>
                      <w:sz w:val="18"/>
                      <w:szCs w:val="18"/>
                      <w:highlight w:val="none"/>
                      <w:lang w:val="en-US" w:eastAsia="zh-CN"/>
                    </w:rPr>
                  </w:pPr>
                </w:p>
              </w:tc>
              <w:tc>
                <w:tcPr>
                  <w:tcW w:w="1144" w:type="dxa"/>
                  <w:shd w:val="clear" w:color="auto" w:fill="auto"/>
                  <w:noWrap w:val="0"/>
                  <w:vAlign w:val="center"/>
                </w:tcPr>
                <w:p w14:paraId="00184E49">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FF0000"/>
                      <w:kern w:val="2"/>
                      <w:sz w:val="18"/>
                      <w:szCs w:val="18"/>
                      <w:highlight w:val="none"/>
                      <w:lang w:val="en-US" w:eastAsia="zh-CN" w:bidi="ar-SA"/>
                    </w:rPr>
                  </w:pPr>
                  <w:r>
                    <w:rPr>
                      <w:rFonts w:hint="eastAsia" w:cs="Times New Roman"/>
                      <w:color w:val="FF0000"/>
                      <w:sz w:val="18"/>
                      <w:szCs w:val="18"/>
                      <w:highlight w:val="none"/>
                      <w:lang w:eastAsia="zh-CN"/>
                    </w:rPr>
                    <w:t>废机油</w:t>
                  </w:r>
                </w:p>
              </w:tc>
              <w:tc>
                <w:tcPr>
                  <w:tcW w:w="1354" w:type="dxa"/>
                  <w:shd w:val="clear" w:color="auto" w:fill="auto"/>
                  <w:noWrap w:val="0"/>
                  <w:vAlign w:val="center"/>
                </w:tcPr>
                <w:p w14:paraId="6C41E7E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危险废物</w:t>
                  </w:r>
                </w:p>
                <w:p w14:paraId="5C28B85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18"/>
                      <w:szCs w:val="18"/>
                      <w:highlight w:val="none"/>
                      <w:lang w:val="en-US" w:eastAsia="zh-CN" w:bidi="ar-SA"/>
                    </w:rPr>
                  </w:pPr>
                  <w:r>
                    <w:rPr>
                      <w:rFonts w:hint="eastAsia" w:ascii="Times New Roman" w:hAnsi="Times New Roman" w:eastAsia="宋体" w:cs="Times New Roman"/>
                      <w:color w:val="FF0000"/>
                      <w:sz w:val="18"/>
                      <w:szCs w:val="18"/>
                      <w:highlight w:val="none"/>
                      <w:lang w:val="en-US" w:eastAsia="zh-CN"/>
                    </w:rPr>
                    <w:t>900-214-08</w:t>
                  </w:r>
                </w:p>
              </w:tc>
              <w:tc>
                <w:tcPr>
                  <w:tcW w:w="753" w:type="dxa"/>
                  <w:shd w:val="clear" w:color="auto" w:fill="auto"/>
                  <w:noWrap w:val="0"/>
                  <w:vAlign w:val="center"/>
                </w:tcPr>
                <w:p w14:paraId="72617F48">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FF0000"/>
                      <w:kern w:val="2"/>
                      <w:sz w:val="18"/>
                      <w:szCs w:val="18"/>
                      <w:highlight w:val="none"/>
                      <w:lang w:val="en-US" w:eastAsia="zh-CN" w:bidi="ar-SA"/>
                    </w:rPr>
                  </w:pPr>
                  <w:r>
                    <w:rPr>
                      <w:rFonts w:hint="eastAsia" w:cs="Times New Roman"/>
                      <w:bCs/>
                      <w:color w:val="FF0000"/>
                      <w:sz w:val="18"/>
                      <w:szCs w:val="18"/>
                      <w:highlight w:val="none"/>
                      <w:lang w:val="en-US" w:eastAsia="zh-CN"/>
                    </w:rPr>
                    <w:t>0.02</w:t>
                  </w:r>
                </w:p>
              </w:tc>
              <w:tc>
                <w:tcPr>
                  <w:tcW w:w="614" w:type="dxa"/>
                  <w:shd w:val="clear" w:color="auto" w:fill="auto"/>
                  <w:noWrap w:val="0"/>
                  <w:vAlign w:val="center"/>
                </w:tcPr>
                <w:p w14:paraId="536D57F6">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FF0000"/>
                      <w:kern w:val="2"/>
                      <w:sz w:val="18"/>
                      <w:szCs w:val="18"/>
                      <w:highlight w:val="none"/>
                      <w:lang w:val="en-US" w:eastAsia="zh-CN" w:bidi="ar-SA"/>
                    </w:rPr>
                  </w:pPr>
                  <w:r>
                    <w:rPr>
                      <w:rFonts w:hint="eastAsia" w:cs="Times New Roman"/>
                      <w:color w:val="FF0000"/>
                      <w:kern w:val="2"/>
                      <w:sz w:val="18"/>
                      <w:szCs w:val="18"/>
                      <w:highlight w:val="none"/>
                      <w:lang w:val="en-US" w:eastAsia="zh-CN" w:bidi="ar-SA"/>
                    </w:rPr>
                    <w:t>液</w:t>
                  </w:r>
                </w:p>
              </w:tc>
              <w:tc>
                <w:tcPr>
                  <w:tcW w:w="1469" w:type="dxa"/>
                  <w:shd w:val="clear" w:color="auto" w:fill="auto"/>
                  <w:noWrap w:val="0"/>
                  <w:vAlign w:val="center"/>
                </w:tcPr>
                <w:p w14:paraId="095CCE8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FF0000"/>
                      <w:kern w:val="2"/>
                      <w:sz w:val="18"/>
                      <w:szCs w:val="18"/>
                      <w:highlight w:val="none"/>
                      <w:lang w:val="en-US" w:eastAsia="zh-CN" w:bidi="ar-SA"/>
                    </w:rPr>
                  </w:pPr>
                  <w:r>
                    <w:rPr>
                      <w:rFonts w:hint="eastAsia" w:ascii="Times New Roman" w:hAnsi="Times New Roman" w:cs="Times New Roman"/>
                      <w:color w:val="FF0000"/>
                      <w:sz w:val="18"/>
                      <w:szCs w:val="18"/>
                      <w:highlight w:val="none"/>
                      <w:lang w:val="en-US" w:eastAsia="zh-CN"/>
                    </w:rPr>
                    <w:t>暂存危险废物贮存点内密闭</w:t>
                  </w:r>
                  <w:r>
                    <w:rPr>
                      <w:rFonts w:hint="eastAsia" w:cs="Times New Roman"/>
                      <w:color w:val="FF0000"/>
                      <w:sz w:val="18"/>
                      <w:szCs w:val="18"/>
                      <w:highlight w:val="none"/>
                      <w:lang w:val="en-US" w:eastAsia="zh-CN"/>
                    </w:rPr>
                    <w:t>容器内</w:t>
                  </w:r>
                </w:p>
              </w:tc>
              <w:tc>
                <w:tcPr>
                  <w:tcW w:w="790" w:type="dxa"/>
                  <w:shd w:val="clear" w:color="auto" w:fill="auto"/>
                  <w:noWrap w:val="0"/>
                  <w:vAlign w:val="center"/>
                </w:tcPr>
                <w:p w14:paraId="2F1C1F9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FF0000"/>
                      <w:kern w:val="2"/>
                      <w:sz w:val="18"/>
                      <w:szCs w:val="18"/>
                      <w:highlight w:val="none"/>
                      <w:lang w:val="en-US" w:eastAsia="zh-CN" w:bidi="ar-SA"/>
                    </w:rPr>
                  </w:pPr>
                  <w:r>
                    <w:rPr>
                      <w:rFonts w:hint="eastAsia" w:cs="Times New Roman"/>
                      <w:bCs/>
                      <w:color w:val="FF0000"/>
                      <w:sz w:val="18"/>
                      <w:szCs w:val="18"/>
                      <w:highlight w:val="none"/>
                      <w:lang w:val="en-US" w:eastAsia="zh-CN"/>
                    </w:rPr>
                    <w:t>0.02</w:t>
                  </w:r>
                </w:p>
              </w:tc>
              <w:tc>
                <w:tcPr>
                  <w:tcW w:w="1013" w:type="dxa"/>
                  <w:vMerge w:val="restart"/>
                  <w:shd w:val="clear" w:color="auto" w:fill="auto"/>
                  <w:noWrap w:val="0"/>
                  <w:vAlign w:val="center"/>
                </w:tcPr>
                <w:p w14:paraId="06F98D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FF0000"/>
                      <w:kern w:val="2"/>
                      <w:sz w:val="18"/>
                      <w:szCs w:val="18"/>
                      <w:highlight w:val="none"/>
                      <w:lang w:val="en-US" w:eastAsia="zh-CN" w:bidi="ar-SA"/>
                    </w:rPr>
                  </w:pPr>
                  <w:r>
                    <w:rPr>
                      <w:rFonts w:hint="eastAsia" w:ascii="Times New Roman" w:hAnsi="Times New Roman" w:cs="Times New Roman"/>
                      <w:color w:val="FF0000"/>
                      <w:sz w:val="18"/>
                      <w:szCs w:val="18"/>
                      <w:highlight w:val="none"/>
                      <w:lang w:val="en-US" w:eastAsia="zh-CN"/>
                    </w:rPr>
                    <w:t>委托有资质单位处置</w:t>
                  </w:r>
                </w:p>
              </w:tc>
            </w:tr>
            <w:tr w14:paraId="2AEB41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948" w:type="dxa"/>
                  <w:vMerge w:val="continue"/>
                  <w:noWrap w:val="0"/>
                  <w:vAlign w:val="center"/>
                </w:tcPr>
                <w:p w14:paraId="76170A7E">
                  <w:pPr>
                    <w:pStyle w:val="132"/>
                    <w:keepNext w:val="0"/>
                    <w:keepLines w:val="0"/>
                    <w:suppressLineNumbers w:val="0"/>
                    <w:spacing w:before="0" w:beforeAutospacing="0" w:after="0" w:afterAutospacing="0" w:line="240" w:lineRule="auto"/>
                    <w:ind w:left="0" w:leftChars="0" w:right="0" w:rightChars="0"/>
                    <w:rPr>
                      <w:rFonts w:hint="eastAsia" w:cs="Times New Roman"/>
                      <w:color w:val="auto"/>
                      <w:sz w:val="18"/>
                      <w:szCs w:val="18"/>
                      <w:highlight w:val="none"/>
                      <w:lang w:val="en-US" w:eastAsia="zh-CN"/>
                    </w:rPr>
                  </w:pPr>
                </w:p>
              </w:tc>
              <w:tc>
                <w:tcPr>
                  <w:tcW w:w="1144" w:type="dxa"/>
                  <w:shd w:val="clear" w:color="auto" w:fill="auto"/>
                  <w:noWrap w:val="0"/>
                  <w:vAlign w:val="center"/>
                </w:tcPr>
                <w:p w14:paraId="3DDB2FFD">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FF0000"/>
                      <w:kern w:val="2"/>
                      <w:sz w:val="18"/>
                      <w:szCs w:val="18"/>
                      <w:highlight w:val="none"/>
                      <w:lang w:val="en-US" w:eastAsia="zh-CN" w:bidi="ar-SA"/>
                    </w:rPr>
                  </w:pPr>
                  <w:r>
                    <w:rPr>
                      <w:rFonts w:hint="eastAsia" w:cs="Times New Roman"/>
                      <w:color w:val="FF0000"/>
                      <w:sz w:val="18"/>
                      <w:szCs w:val="18"/>
                      <w:highlight w:val="none"/>
                      <w:lang w:eastAsia="zh-CN"/>
                    </w:rPr>
                    <w:t>废弃含油抹布手套</w:t>
                  </w:r>
                </w:p>
              </w:tc>
              <w:tc>
                <w:tcPr>
                  <w:tcW w:w="1354" w:type="dxa"/>
                  <w:shd w:val="clear" w:color="auto" w:fill="auto"/>
                  <w:noWrap w:val="0"/>
                  <w:vAlign w:val="center"/>
                </w:tcPr>
                <w:p w14:paraId="3E4E0667">
                  <w:pPr>
                    <w:keepNext w:val="0"/>
                    <w:keepLines w:val="0"/>
                    <w:suppressLineNumbers w:val="0"/>
                    <w:spacing w:before="0" w:beforeAutospacing="0" w:after="0" w:afterAutospacing="0"/>
                    <w:ind w:left="0" w:right="0"/>
                    <w:jc w:val="center"/>
                    <w:rPr>
                      <w:rFonts w:hint="eastAsia" w:ascii="Times New Roman" w:hAnsi="Times New Roman"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危险废物</w:t>
                  </w:r>
                </w:p>
                <w:p w14:paraId="3BAFA3C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kern w:val="2"/>
                      <w:sz w:val="18"/>
                      <w:szCs w:val="18"/>
                      <w:highlight w:val="none"/>
                      <w:lang w:val="en-US" w:eastAsia="zh-CN" w:bidi="ar-SA"/>
                    </w:rPr>
                  </w:pPr>
                  <w:r>
                    <w:rPr>
                      <w:rFonts w:hint="eastAsia" w:ascii="Times New Roman" w:hAnsi="Times New Roman" w:eastAsia="宋体" w:cs="Times New Roman"/>
                      <w:color w:val="FF0000"/>
                      <w:sz w:val="18"/>
                      <w:szCs w:val="18"/>
                      <w:highlight w:val="none"/>
                      <w:lang w:val="en-US" w:eastAsia="zh-CN"/>
                    </w:rPr>
                    <w:t>900-041-49</w:t>
                  </w:r>
                </w:p>
              </w:tc>
              <w:tc>
                <w:tcPr>
                  <w:tcW w:w="753" w:type="dxa"/>
                  <w:shd w:val="clear" w:color="auto" w:fill="auto"/>
                  <w:noWrap w:val="0"/>
                  <w:vAlign w:val="center"/>
                </w:tcPr>
                <w:p w14:paraId="4CC400D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FF0000"/>
                      <w:kern w:val="2"/>
                      <w:sz w:val="18"/>
                      <w:szCs w:val="18"/>
                      <w:highlight w:val="none"/>
                      <w:lang w:val="en-US" w:eastAsia="zh-CN" w:bidi="ar-SA"/>
                    </w:rPr>
                  </w:pPr>
                  <w:r>
                    <w:rPr>
                      <w:rFonts w:hint="eastAsia" w:cs="Times New Roman"/>
                      <w:bCs/>
                      <w:color w:val="FF0000"/>
                      <w:sz w:val="18"/>
                      <w:szCs w:val="18"/>
                      <w:highlight w:val="none"/>
                      <w:lang w:val="en-US" w:eastAsia="zh-CN"/>
                    </w:rPr>
                    <w:t>0.01</w:t>
                  </w:r>
                </w:p>
              </w:tc>
              <w:tc>
                <w:tcPr>
                  <w:tcW w:w="614" w:type="dxa"/>
                  <w:shd w:val="clear" w:color="auto" w:fill="auto"/>
                  <w:noWrap w:val="0"/>
                  <w:vAlign w:val="center"/>
                </w:tcPr>
                <w:p w14:paraId="4B516FD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FF0000"/>
                      <w:kern w:val="2"/>
                      <w:sz w:val="18"/>
                      <w:szCs w:val="18"/>
                      <w:highlight w:val="none"/>
                      <w:lang w:val="en-US" w:eastAsia="zh-CN" w:bidi="ar-SA"/>
                    </w:rPr>
                  </w:pPr>
                  <w:r>
                    <w:rPr>
                      <w:rFonts w:hint="eastAsia" w:cs="Times New Roman"/>
                      <w:color w:val="FF0000"/>
                      <w:kern w:val="2"/>
                      <w:sz w:val="18"/>
                      <w:szCs w:val="18"/>
                      <w:highlight w:val="none"/>
                      <w:lang w:val="en-US" w:eastAsia="zh-CN" w:bidi="ar-SA"/>
                    </w:rPr>
                    <w:t>固</w:t>
                  </w:r>
                </w:p>
              </w:tc>
              <w:tc>
                <w:tcPr>
                  <w:tcW w:w="1469" w:type="dxa"/>
                  <w:shd w:val="clear" w:color="auto" w:fill="auto"/>
                  <w:noWrap w:val="0"/>
                  <w:vAlign w:val="center"/>
                </w:tcPr>
                <w:p w14:paraId="0EF93C6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FF0000"/>
                      <w:kern w:val="2"/>
                      <w:sz w:val="18"/>
                      <w:szCs w:val="18"/>
                      <w:highlight w:val="none"/>
                      <w:lang w:val="en-US" w:eastAsia="zh-CN" w:bidi="ar-SA"/>
                    </w:rPr>
                  </w:pPr>
                  <w:r>
                    <w:rPr>
                      <w:rFonts w:hint="eastAsia" w:ascii="Times New Roman" w:hAnsi="Times New Roman" w:cs="Times New Roman"/>
                      <w:color w:val="FF0000"/>
                      <w:sz w:val="18"/>
                      <w:szCs w:val="18"/>
                      <w:highlight w:val="none"/>
                      <w:lang w:val="en-US" w:eastAsia="zh-CN"/>
                    </w:rPr>
                    <w:t>暂存危险废物贮存点内密闭容器内</w:t>
                  </w:r>
                </w:p>
              </w:tc>
              <w:tc>
                <w:tcPr>
                  <w:tcW w:w="790" w:type="dxa"/>
                  <w:shd w:val="clear" w:color="auto" w:fill="auto"/>
                  <w:noWrap w:val="0"/>
                  <w:vAlign w:val="center"/>
                </w:tcPr>
                <w:p w14:paraId="71E88570">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FF0000"/>
                      <w:kern w:val="2"/>
                      <w:sz w:val="18"/>
                      <w:szCs w:val="18"/>
                      <w:highlight w:val="none"/>
                      <w:lang w:val="en-US" w:eastAsia="zh-CN" w:bidi="ar-SA"/>
                    </w:rPr>
                  </w:pPr>
                  <w:r>
                    <w:rPr>
                      <w:rFonts w:hint="eastAsia" w:cs="Times New Roman"/>
                      <w:bCs/>
                      <w:color w:val="FF0000"/>
                      <w:sz w:val="18"/>
                      <w:szCs w:val="18"/>
                      <w:highlight w:val="none"/>
                      <w:lang w:val="en-US" w:eastAsia="zh-CN"/>
                    </w:rPr>
                    <w:t>0.01</w:t>
                  </w:r>
                </w:p>
              </w:tc>
              <w:tc>
                <w:tcPr>
                  <w:tcW w:w="1013" w:type="dxa"/>
                  <w:vMerge w:val="continue"/>
                  <w:noWrap w:val="0"/>
                  <w:vAlign w:val="center"/>
                </w:tcPr>
                <w:p w14:paraId="2B4148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FF0000"/>
                      <w:sz w:val="18"/>
                      <w:szCs w:val="18"/>
                      <w:highlight w:val="none"/>
                      <w:lang w:val="en-US"/>
                    </w:rPr>
                  </w:pPr>
                </w:p>
              </w:tc>
            </w:tr>
            <w:tr w14:paraId="60294D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8" w:type="dxa"/>
                  <w:vMerge w:val="continue"/>
                  <w:tcBorders>
                    <w:bottom w:val="single" w:color="auto" w:sz="12" w:space="0"/>
                  </w:tcBorders>
                  <w:noWrap w:val="0"/>
                  <w:vAlign w:val="center"/>
                </w:tcPr>
                <w:p w14:paraId="55366C06">
                  <w:pPr>
                    <w:pStyle w:val="132"/>
                    <w:keepNext w:val="0"/>
                    <w:keepLines w:val="0"/>
                    <w:suppressLineNumbers w:val="0"/>
                    <w:spacing w:before="0" w:beforeAutospacing="0" w:after="0" w:afterAutospacing="0" w:line="240" w:lineRule="auto"/>
                    <w:ind w:left="0" w:leftChars="0" w:right="0" w:rightChars="0"/>
                    <w:rPr>
                      <w:rFonts w:hint="eastAsia" w:cs="Times New Roman"/>
                      <w:color w:val="auto"/>
                      <w:sz w:val="18"/>
                      <w:szCs w:val="18"/>
                      <w:highlight w:val="none"/>
                      <w:lang w:val="en-US" w:eastAsia="zh-CN"/>
                    </w:rPr>
                  </w:pPr>
                </w:p>
              </w:tc>
              <w:tc>
                <w:tcPr>
                  <w:tcW w:w="1144" w:type="dxa"/>
                  <w:tcBorders>
                    <w:bottom w:val="single" w:color="auto" w:sz="12" w:space="0"/>
                  </w:tcBorders>
                  <w:shd w:val="clear" w:color="auto" w:fill="auto"/>
                  <w:noWrap w:val="0"/>
                  <w:vAlign w:val="center"/>
                </w:tcPr>
                <w:p w14:paraId="302A80D0">
                  <w:pPr>
                    <w:pStyle w:val="132"/>
                    <w:keepNext w:val="0"/>
                    <w:keepLines w:val="0"/>
                    <w:suppressLineNumbers w:val="0"/>
                    <w:spacing w:before="0" w:beforeAutospacing="0" w:after="0" w:afterAutospacing="0" w:line="240" w:lineRule="auto"/>
                    <w:ind w:left="0" w:leftChars="0" w:right="0" w:rightChars="0"/>
                    <w:rPr>
                      <w:rFonts w:hint="default" w:cs="Times New Roman"/>
                      <w:color w:val="FF0000"/>
                      <w:sz w:val="18"/>
                      <w:szCs w:val="18"/>
                      <w:highlight w:val="none"/>
                      <w:lang w:val="en-US" w:eastAsia="zh-CN"/>
                    </w:rPr>
                  </w:pPr>
                  <w:r>
                    <w:rPr>
                      <w:rFonts w:hint="eastAsia" w:cs="Times New Roman"/>
                      <w:color w:val="FF0000"/>
                      <w:sz w:val="18"/>
                      <w:szCs w:val="18"/>
                      <w:highlight w:val="none"/>
                      <w:lang w:val="en-US" w:eastAsia="zh-CN"/>
                    </w:rPr>
                    <w:t>废机油桶</w:t>
                  </w:r>
                </w:p>
              </w:tc>
              <w:tc>
                <w:tcPr>
                  <w:tcW w:w="1354" w:type="dxa"/>
                  <w:tcBorders>
                    <w:bottom w:val="single" w:color="auto" w:sz="12" w:space="0"/>
                  </w:tcBorders>
                  <w:shd w:val="clear" w:color="auto" w:fill="auto"/>
                  <w:noWrap w:val="0"/>
                  <w:vAlign w:val="center"/>
                </w:tcPr>
                <w:p w14:paraId="5D54CBD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危险废物</w:t>
                  </w:r>
                </w:p>
                <w:p w14:paraId="2B86448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FF0000"/>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900-249-08</w:t>
                  </w:r>
                </w:p>
              </w:tc>
              <w:tc>
                <w:tcPr>
                  <w:tcW w:w="753" w:type="dxa"/>
                  <w:tcBorders>
                    <w:bottom w:val="single" w:color="auto" w:sz="12" w:space="0"/>
                  </w:tcBorders>
                  <w:shd w:val="clear" w:color="auto" w:fill="auto"/>
                  <w:noWrap w:val="0"/>
                  <w:vAlign w:val="center"/>
                </w:tcPr>
                <w:p w14:paraId="56007EA6">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cs="Times New Roman"/>
                      <w:bCs/>
                      <w:color w:val="FF0000"/>
                      <w:sz w:val="18"/>
                      <w:szCs w:val="18"/>
                      <w:highlight w:val="none"/>
                      <w:lang w:val="en-US" w:eastAsia="zh-CN"/>
                    </w:rPr>
                  </w:pPr>
                  <w:r>
                    <w:rPr>
                      <w:rFonts w:hint="eastAsia" w:cs="Times New Roman"/>
                      <w:bCs/>
                      <w:color w:val="FF0000"/>
                      <w:sz w:val="18"/>
                      <w:szCs w:val="18"/>
                      <w:highlight w:val="none"/>
                      <w:lang w:val="en-US" w:eastAsia="zh-CN"/>
                    </w:rPr>
                    <w:t>0.01</w:t>
                  </w:r>
                </w:p>
              </w:tc>
              <w:tc>
                <w:tcPr>
                  <w:tcW w:w="614" w:type="dxa"/>
                  <w:tcBorders>
                    <w:bottom w:val="single" w:color="auto" w:sz="12" w:space="0"/>
                  </w:tcBorders>
                  <w:shd w:val="clear" w:color="auto" w:fill="auto"/>
                  <w:noWrap w:val="0"/>
                  <w:vAlign w:val="center"/>
                </w:tcPr>
                <w:p w14:paraId="45528D74">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FF0000"/>
                      <w:kern w:val="2"/>
                      <w:sz w:val="18"/>
                      <w:szCs w:val="18"/>
                      <w:highlight w:val="none"/>
                      <w:lang w:val="en-US" w:eastAsia="zh-CN" w:bidi="ar-SA"/>
                    </w:rPr>
                  </w:pPr>
                  <w:r>
                    <w:rPr>
                      <w:rFonts w:hint="eastAsia" w:cs="Times New Roman"/>
                      <w:color w:val="FF0000"/>
                      <w:kern w:val="2"/>
                      <w:sz w:val="18"/>
                      <w:szCs w:val="18"/>
                      <w:highlight w:val="none"/>
                      <w:lang w:val="en-US" w:eastAsia="zh-CN" w:bidi="ar-SA"/>
                    </w:rPr>
                    <w:t>固</w:t>
                  </w:r>
                </w:p>
              </w:tc>
              <w:tc>
                <w:tcPr>
                  <w:tcW w:w="1469" w:type="dxa"/>
                  <w:tcBorders>
                    <w:bottom w:val="single" w:color="auto" w:sz="12" w:space="0"/>
                  </w:tcBorders>
                  <w:shd w:val="clear" w:color="auto" w:fill="auto"/>
                  <w:noWrap w:val="0"/>
                  <w:vAlign w:val="center"/>
                </w:tcPr>
                <w:p w14:paraId="5EECD0F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cs="Times New Roman"/>
                      <w:color w:val="FF0000"/>
                      <w:sz w:val="18"/>
                      <w:szCs w:val="18"/>
                      <w:highlight w:val="none"/>
                      <w:lang w:val="en-US" w:eastAsia="zh-CN"/>
                    </w:rPr>
                  </w:pPr>
                  <w:r>
                    <w:rPr>
                      <w:rFonts w:hint="eastAsia" w:ascii="Times New Roman" w:hAnsi="Times New Roman" w:cs="Times New Roman"/>
                      <w:color w:val="FF0000"/>
                      <w:sz w:val="18"/>
                      <w:szCs w:val="18"/>
                      <w:highlight w:val="none"/>
                      <w:lang w:val="en-US" w:eastAsia="zh-CN"/>
                    </w:rPr>
                    <w:t>暂存危险废物贮存点</w:t>
                  </w:r>
                </w:p>
              </w:tc>
              <w:tc>
                <w:tcPr>
                  <w:tcW w:w="790" w:type="dxa"/>
                  <w:tcBorders>
                    <w:bottom w:val="single" w:color="auto" w:sz="12" w:space="0"/>
                  </w:tcBorders>
                  <w:shd w:val="clear" w:color="auto" w:fill="auto"/>
                  <w:noWrap w:val="0"/>
                  <w:vAlign w:val="center"/>
                </w:tcPr>
                <w:p w14:paraId="612F5228">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s="Times New Roman"/>
                      <w:bCs/>
                      <w:color w:val="FF0000"/>
                      <w:sz w:val="18"/>
                      <w:szCs w:val="18"/>
                      <w:highlight w:val="none"/>
                      <w:lang w:val="en-US" w:eastAsia="zh-CN"/>
                    </w:rPr>
                  </w:pPr>
                  <w:r>
                    <w:rPr>
                      <w:rFonts w:hint="eastAsia" w:cs="Times New Roman"/>
                      <w:bCs/>
                      <w:color w:val="FF0000"/>
                      <w:sz w:val="18"/>
                      <w:szCs w:val="18"/>
                      <w:highlight w:val="none"/>
                      <w:lang w:val="en-US" w:eastAsia="zh-CN"/>
                    </w:rPr>
                    <w:t>0.01</w:t>
                  </w:r>
                </w:p>
              </w:tc>
              <w:tc>
                <w:tcPr>
                  <w:tcW w:w="1013" w:type="dxa"/>
                  <w:vMerge w:val="continue"/>
                  <w:tcBorders>
                    <w:bottom w:val="single" w:color="auto" w:sz="12" w:space="0"/>
                  </w:tcBorders>
                  <w:noWrap w:val="0"/>
                  <w:vAlign w:val="center"/>
                </w:tcPr>
                <w:p w14:paraId="3350F1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FF0000"/>
                      <w:sz w:val="18"/>
                      <w:szCs w:val="18"/>
                      <w:highlight w:val="none"/>
                      <w:lang w:val="en-US"/>
                    </w:rPr>
                  </w:pPr>
                </w:p>
              </w:tc>
            </w:tr>
          </w:tbl>
          <w:p w14:paraId="429D95A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经核实，</w:t>
            </w:r>
            <w:r>
              <w:rPr>
                <w:rFonts w:hint="default" w:ascii="Times New Roman" w:hAnsi="Times New Roman" w:eastAsia="宋体" w:cs="Times New Roman"/>
                <w:color w:val="auto"/>
                <w:kern w:val="21"/>
                <w:sz w:val="21"/>
                <w:szCs w:val="21"/>
                <w:highlight w:val="none"/>
              </w:rPr>
              <w:t>本项目运营期产生的固体废物主要为</w:t>
            </w:r>
            <w:r>
              <w:rPr>
                <w:rFonts w:hint="eastAsia"/>
                <w:color w:val="auto"/>
                <w:highlight w:val="none"/>
                <w:lang w:val="en-US" w:eastAsia="zh-CN"/>
              </w:rPr>
              <w:t>热风炉</w:t>
            </w:r>
            <w:r>
              <w:rPr>
                <w:rFonts w:hint="eastAsia"/>
                <w:color w:val="auto"/>
                <w:highlight w:val="none"/>
                <w:lang w:eastAsia="zh-CN"/>
              </w:rPr>
              <w:t>灰渣、</w:t>
            </w:r>
            <w:r>
              <w:rPr>
                <w:rFonts w:hint="default" w:ascii="Times New Roman" w:hAnsi="Times New Roman" w:cs="Times New Roman"/>
                <w:color w:val="auto"/>
                <w:sz w:val="21"/>
                <w:szCs w:val="21"/>
                <w:highlight w:val="none"/>
                <w:lang w:eastAsia="zh-CN"/>
              </w:rPr>
              <w:t>初清杂质</w:t>
            </w:r>
            <w:r>
              <w:rPr>
                <w:rFonts w:hint="default" w:ascii="Times New Roman" w:hAnsi="Times New Roman" w:cs="Times New Roman"/>
                <w:color w:val="auto"/>
                <w:sz w:val="21"/>
                <w:szCs w:val="21"/>
                <w:highlight w:val="none"/>
                <w:lang w:val="en-US" w:eastAsia="zh-CN"/>
              </w:rPr>
              <w:t>及输送装卸、筛分、烘干</w:t>
            </w:r>
            <w:r>
              <w:rPr>
                <w:rFonts w:hint="default" w:ascii="Times New Roman" w:hAnsi="Times New Roman" w:cs="Times New Roman"/>
                <w:color w:val="auto"/>
                <w:sz w:val="21"/>
                <w:szCs w:val="21"/>
                <w:highlight w:val="none"/>
              </w:rPr>
              <w:t>粉尘</w:t>
            </w:r>
            <w:r>
              <w:rPr>
                <w:rFonts w:hint="eastAsia"/>
                <w:color w:val="auto"/>
                <w:highlight w:val="none"/>
              </w:rPr>
              <w:t>。</w:t>
            </w:r>
          </w:p>
          <w:p w14:paraId="6938184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eastAsia"/>
                <w:color w:val="auto"/>
                <w:sz w:val="21"/>
                <w:szCs w:val="21"/>
                <w:highlight w:val="none"/>
                <w:lang w:val="en-US" w:eastAsia="zh-CN"/>
              </w:rPr>
            </w:pPr>
            <w:r>
              <w:rPr>
                <w:rFonts w:hint="default" w:ascii="Times New Roman" w:hAnsi="Times New Roman" w:eastAsia="宋体" w:cs="Times New Roman"/>
                <w:color w:val="auto"/>
                <w:sz w:val="21"/>
                <w:szCs w:val="21"/>
                <w:highlight w:val="none"/>
              </w:rPr>
              <w:t>①</w:t>
            </w:r>
            <w:r>
              <w:rPr>
                <w:rFonts w:hint="eastAsia"/>
                <w:color w:val="auto"/>
                <w:sz w:val="21"/>
                <w:szCs w:val="21"/>
                <w:highlight w:val="none"/>
                <w:lang w:val="en-US" w:eastAsia="zh-CN"/>
              </w:rPr>
              <w:t>生活垃圾。</w:t>
            </w:r>
          </w:p>
          <w:p w14:paraId="0FCF702A">
            <w:pPr>
              <w:pStyle w:val="167"/>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textAlignment w:val="auto"/>
              <w:rPr>
                <w:rFonts w:hint="default"/>
              </w:rPr>
            </w:pPr>
            <w:r>
              <w:rPr>
                <w:rFonts w:hint="default" w:ascii="Times New Roman" w:hAnsi="Times New Roman" w:eastAsia="宋体" w:cs="Times New Roman"/>
                <w:color w:val="auto"/>
                <w:kern w:val="21"/>
                <w:sz w:val="21"/>
                <w:szCs w:val="21"/>
                <w:highlight w:val="none"/>
                <w:lang w:val="en-US" w:eastAsia="zh-CN" w:bidi="ar-SA"/>
              </w:rPr>
              <w:t>本项目劳动定员为</w:t>
            </w:r>
            <w:r>
              <w:rPr>
                <w:rFonts w:hint="eastAsia" w:ascii="Times New Roman" w:hAnsi="Times New Roman" w:eastAsia="宋体" w:cs="Times New Roman"/>
                <w:color w:val="auto"/>
                <w:kern w:val="21"/>
                <w:sz w:val="21"/>
                <w:szCs w:val="21"/>
                <w:highlight w:val="none"/>
                <w:lang w:val="en-US" w:eastAsia="zh-CN" w:bidi="ar-SA"/>
              </w:rPr>
              <w:t>1</w:t>
            </w:r>
            <w:r>
              <w:rPr>
                <w:rFonts w:hint="eastAsia" w:cs="Times New Roman"/>
                <w:color w:val="auto"/>
                <w:kern w:val="21"/>
                <w:sz w:val="21"/>
                <w:szCs w:val="21"/>
                <w:highlight w:val="none"/>
                <w:lang w:val="en-US" w:eastAsia="zh-CN" w:bidi="ar-SA"/>
              </w:rPr>
              <w:t>0</w:t>
            </w:r>
            <w:r>
              <w:rPr>
                <w:rFonts w:hint="eastAsia" w:ascii="Times New Roman" w:hAnsi="Times New Roman" w:eastAsia="宋体" w:cs="Times New Roman"/>
                <w:color w:val="auto"/>
                <w:kern w:val="21"/>
                <w:sz w:val="21"/>
                <w:szCs w:val="21"/>
                <w:highlight w:val="none"/>
                <w:lang w:val="en-US" w:eastAsia="zh-CN" w:bidi="ar-SA"/>
              </w:rPr>
              <w:t>人</w:t>
            </w:r>
            <w:r>
              <w:rPr>
                <w:rFonts w:hint="default" w:ascii="Times New Roman" w:hAnsi="Times New Roman" w:eastAsia="宋体" w:cs="Times New Roman"/>
                <w:color w:val="auto"/>
                <w:kern w:val="21"/>
                <w:sz w:val="21"/>
                <w:szCs w:val="21"/>
                <w:highlight w:val="none"/>
                <w:lang w:val="en-US" w:eastAsia="zh-CN" w:bidi="ar-SA"/>
              </w:rPr>
              <w:t>，生活垃圾按0.5kg/人天计算，产生量为</w:t>
            </w:r>
            <w:r>
              <w:rPr>
                <w:rFonts w:hint="eastAsia" w:cs="Times New Roman"/>
                <w:color w:val="auto"/>
                <w:kern w:val="21"/>
                <w:sz w:val="21"/>
                <w:szCs w:val="21"/>
                <w:highlight w:val="none"/>
                <w:lang w:val="en-US" w:eastAsia="zh-CN" w:bidi="ar-SA"/>
              </w:rPr>
              <w:t>0.5</w:t>
            </w:r>
            <w:r>
              <w:rPr>
                <w:rFonts w:hint="default" w:ascii="Times New Roman" w:hAnsi="Times New Roman" w:eastAsia="宋体" w:cs="Times New Roman"/>
                <w:color w:val="auto"/>
                <w:kern w:val="21"/>
                <w:sz w:val="21"/>
                <w:szCs w:val="21"/>
                <w:highlight w:val="none"/>
                <w:lang w:val="en-US" w:eastAsia="zh-CN" w:bidi="ar-SA"/>
              </w:rPr>
              <w:t>t/a。生活垃圾</w:t>
            </w:r>
            <w:r>
              <w:rPr>
                <w:rFonts w:hint="eastAsia" w:ascii="Times New Roman" w:hAnsi="Times New Roman" w:eastAsia="宋体" w:cs="Times New Roman"/>
                <w:color w:val="auto"/>
                <w:kern w:val="21"/>
                <w:sz w:val="21"/>
                <w:szCs w:val="21"/>
                <w:highlight w:val="none"/>
                <w:lang w:val="en-US" w:eastAsia="zh-CN" w:bidi="ar-SA"/>
              </w:rPr>
              <w:t>集中收集，由环卫部门统一处理</w:t>
            </w:r>
            <w:r>
              <w:rPr>
                <w:rFonts w:hint="default" w:ascii="Times New Roman" w:hAnsi="Times New Roman" w:eastAsia="宋体" w:cs="Times New Roman"/>
                <w:color w:val="auto"/>
                <w:kern w:val="21"/>
                <w:sz w:val="21"/>
                <w:szCs w:val="21"/>
                <w:highlight w:val="none"/>
                <w:lang w:val="en-US" w:eastAsia="zh-CN" w:bidi="ar-SA"/>
              </w:rPr>
              <w:t>。</w:t>
            </w:r>
          </w:p>
          <w:p w14:paraId="090AFA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②</w:t>
            </w:r>
            <w:r>
              <w:rPr>
                <w:rFonts w:hint="default" w:ascii="Times New Roman" w:hAnsi="Times New Roman" w:cs="Times New Roman"/>
                <w:color w:val="auto"/>
                <w:sz w:val="21"/>
                <w:szCs w:val="21"/>
                <w:highlight w:val="none"/>
              </w:rPr>
              <w:t>热风炉</w:t>
            </w:r>
            <w:r>
              <w:rPr>
                <w:rFonts w:hint="eastAsia" w:cs="Times New Roman"/>
                <w:color w:val="auto"/>
                <w:sz w:val="21"/>
                <w:szCs w:val="21"/>
                <w:highlight w:val="none"/>
                <w:lang w:eastAsia="zh-CN"/>
              </w:rPr>
              <w:t>灰渣</w:t>
            </w:r>
          </w:p>
          <w:p w14:paraId="7D0430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热风炉灰渣产生量参考《污染源源强核算技术指南 锅炉》（HJ 991-2018）中8.1生物质锅炉灰渣产生量计算方法进行核算。</w:t>
            </w:r>
          </w:p>
          <w:p w14:paraId="4FAB9C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color w:val="auto"/>
                <w:sz w:val="21"/>
                <w:szCs w:val="21"/>
                <w:highlight w:val="none"/>
              </w:rPr>
            </w:pPr>
            <w:r>
              <w:rPr>
                <w:rFonts w:hint="default"/>
                <w:color w:val="auto"/>
                <w:position w:val="-30"/>
                <w:sz w:val="21"/>
                <w:szCs w:val="21"/>
                <w:highlight w:val="none"/>
              </w:rPr>
              <w:object>
                <v:shape id="_x0000_i1032" o:spt="75" type="#_x0000_t75" style="height:36pt;width:147pt;" o:ole="t" filled="f" o:preferrelative="t" stroked="f" coordsize="21600,21600">
                  <v:path/>
                  <v:fill on="f" focussize="0,0"/>
                  <v:stroke on="f"/>
                  <v:imagedata r:id="rId36" o:title=""/>
                  <o:lock v:ext="edit" aspectratio="t"/>
                  <w10:wrap type="none"/>
                  <w10:anchorlock/>
                </v:shape>
                <o:OLEObject Type="Embed" ProgID="Equation.KSEE3" ShapeID="_x0000_i1032" DrawAspect="Content" ObjectID="_1468075732" r:id="rId35">
                  <o:LockedField>false</o:LockedField>
                </o:OLEObject>
              </w:object>
            </w:r>
          </w:p>
          <w:p w14:paraId="1562C13E">
            <w:pPr>
              <w:pStyle w:val="33"/>
              <w:keepNext w:val="0"/>
              <w:keepLines w:val="0"/>
              <w:suppressLineNumbers w:val="0"/>
              <w:spacing w:before="0" w:beforeAutospacing="0" w:after="0" w:afterAutospacing="0" w:line="360" w:lineRule="auto"/>
              <w:ind w:left="0" w:right="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式中：E</w:t>
            </w:r>
            <w:r>
              <w:rPr>
                <w:rFonts w:hint="default" w:ascii="Times New Roman" w:hAnsi="Times New Roman" w:cs="Times New Roman"/>
                <w:color w:val="auto"/>
                <w:sz w:val="21"/>
                <w:szCs w:val="21"/>
                <w:highlight w:val="none"/>
                <w:vertAlign w:val="subscript"/>
              </w:rPr>
              <w:t>hc</w:t>
            </w:r>
            <w:r>
              <w:rPr>
                <w:rFonts w:hint="default" w:ascii="Times New Roman" w:hAnsi="Times New Roman" w:cs="Times New Roman"/>
                <w:color w:val="auto"/>
                <w:sz w:val="21"/>
                <w:szCs w:val="21"/>
                <w:highlight w:val="none"/>
              </w:rPr>
              <w:t>----核算时段内灰渣产生量，t；</w:t>
            </w:r>
          </w:p>
          <w:p w14:paraId="6E6AD418">
            <w:pPr>
              <w:pStyle w:val="33"/>
              <w:keepNext w:val="0"/>
              <w:keepLines w:val="0"/>
              <w:suppressLineNumbers w:val="0"/>
              <w:spacing w:before="0" w:beforeAutospacing="0" w:after="0" w:afterAutospacing="0" w:line="360" w:lineRule="auto"/>
              <w:ind w:left="0" w:right="0" w:firstLine="1050" w:firstLineChars="5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R----核算时段内燃料耗量，</w:t>
            </w:r>
            <w:r>
              <w:rPr>
                <w:rFonts w:hint="eastAsia" w:cs="Times New Roman"/>
                <w:color w:val="auto"/>
                <w:sz w:val="21"/>
                <w:szCs w:val="21"/>
                <w:highlight w:val="none"/>
                <w:lang w:val="en-US" w:eastAsia="zh-CN"/>
              </w:rPr>
              <w:t>2882.4</w:t>
            </w:r>
            <w:r>
              <w:rPr>
                <w:rFonts w:hint="default" w:ascii="Times New Roman" w:hAnsi="Times New Roman" w:cs="Times New Roman"/>
                <w:color w:val="auto"/>
                <w:sz w:val="21"/>
                <w:szCs w:val="21"/>
                <w:highlight w:val="none"/>
              </w:rPr>
              <w:t>t；</w:t>
            </w:r>
          </w:p>
          <w:p w14:paraId="13EC33F6">
            <w:pPr>
              <w:pStyle w:val="33"/>
              <w:keepNext w:val="0"/>
              <w:keepLines w:val="0"/>
              <w:suppressLineNumbers w:val="0"/>
              <w:spacing w:before="0" w:beforeAutospacing="0" w:after="0" w:afterAutospacing="0" w:line="360" w:lineRule="auto"/>
              <w:ind w:left="0" w:right="0" w:firstLine="1050" w:firstLineChars="500"/>
              <w:jc w:val="both"/>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t>A</w:t>
            </w:r>
            <w:r>
              <w:rPr>
                <w:rFonts w:hint="default" w:ascii="Times New Roman" w:hAnsi="Times New Roman" w:cs="Times New Roman"/>
                <w:color w:val="auto"/>
                <w:sz w:val="21"/>
                <w:szCs w:val="21"/>
                <w:highlight w:val="none"/>
                <w:vertAlign w:val="subscript"/>
              </w:rPr>
              <w:t>ar</w:t>
            </w:r>
            <w:r>
              <w:rPr>
                <w:rFonts w:hint="default" w:ascii="Times New Roman" w:hAnsi="Times New Roman" w:cs="Times New Roman"/>
                <w:color w:val="auto"/>
                <w:sz w:val="21"/>
                <w:szCs w:val="21"/>
                <w:highlight w:val="none"/>
              </w:rPr>
              <w:t>----收到基灰分的质量分数，%；根据生物质成分分析报告取</w:t>
            </w:r>
            <w:r>
              <w:rPr>
                <w:rFonts w:hint="eastAsia"/>
                <w:bCs w:val="0"/>
                <w:color w:val="auto"/>
                <w:highlight w:val="none"/>
                <w:lang w:val="en-US" w:eastAsia="zh-CN"/>
              </w:rPr>
              <w:t>3.06</w:t>
            </w:r>
            <w:r>
              <w:rPr>
                <w:rFonts w:hint="default"/>
                <w:bCs w:val="0"/>
                <w:color w:val="auto"/>
                <w:highlight w:val="none"/>
                <w:lang w:val="en-US" w:eastAsia="zh-CN"/>
              </w:rPr>
              <w:t>%</w:t>
            </w:r>
            <w:r>
              <w:rPr>
                <w:rFonts w:hint="default" w:ascii="Times New Roman" w:hAnsi="Times New Roman" w:cs="Times New Roman"/>
                <w:color w:val="auto"/>
                <w:sz w:val="21"/>
                <w:szCs w:val="21"/>
                <w:highlight w:val="none"/>
              </w:rPr>
              <w:t>。</w:t>
            </w:r>
          </w:p>
          <w:p w14:paraId="28C36455">
            <w:pPr>
              <w:pStyle w:val="33"/>
              <w:keepNext w:val="0"/>
              <w:keepLines w:val="0"/>
              <w:suppressLineNumbers w:val="0"/>
              <w:spacing w:before="0" w:beforeAutospacing="0" w:after="0" w:afterAutospacing="0" w:line="360" w:lineRule="auto"/>
              <w:ind w:left="0" w:right="0" w:firstLine="1050" w:firstLineChars="500"/>
              <w:jc w:val="both"/>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t>q</w:t>
            </w:r>
            <w:r>
              <w:rPr>
                <w:rFonts w:hint="default" w:ascii="Times New Roman" w:hAnsi="Times New Roman" w:cs="Times New Roman"/>
                <w:color w:val="auto"/>
                <w:sz w:val="21"/>
                <w:szCs w:val="21"/>
                <w:highlight w:val="none"/>
                <w:vertAlign w:val="subscript"/>
              </w:rPr>
              <w:t>4</w:t>
            </w:r>
            <w:r>
              <w:rPr>
                <w:rFonts w:hint="default" w:ascii="Times New Roman" w:hAnsi="Times New Roman" w:cs="Times New Roman"/>
                <w:color w:val="auto"/>
                <w:sz w:val="21"/>
                <w:szCs w:val="21"/>
                <w:highlight w:val="none"/>
              </w:rPr>
              <w:t>----机械不完全燃烧热损失，%；取</w:t>
            </w: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热风炉</w:t>
            </w:r>
            <w:r>
              <w:rPr>
                <w:rFonts w:hint="default" w:ascii="Times New Roman" w:hAnsi="Times New Roman" w:cs="Times New Roman"/>
                <w:color w:val="auto"/>
                <w:sz w:val="21"/>
                <w:szCs w:val="21"/>
                <w:highlight w:val="none"/>
              </w:rPr>
              <w:t>取</w:t>
            </w: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w:t>
            </w:r>
          </w:p>
          <w:p w14:paraId="2E97FC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w:t>
            </w:r>
            <w:r>
              <w:rPr>
                <w:rFonts w:hint="default" w:ascii="Times New Roman" w:hAnsi="Times New Roman" w:cs="Times New Roman"/>
                <w:color w:val="auto"/>
                <w:sz w:val="21"/>
                <w:szCs w:val="21"/>
                <w:highlight w:val="none"/>
                <w:vertAlign w:val="subscript"/>
              </w:rPr>
              <w:t>net，ar</w:t>
            </w:r>
            <w:r>
              <w:rPr>
                <w:rFonts w:hint="default" w:ascii="Times New Roman" w:hAnsi="Times New Roman" w:cs="Times New Roman"/>
                <w:color w:val="auto"/>
                <w:sz w:val="21"/>
                <w:szCs w:val="21"/>
                <w:highlight w:val="none"/>
              </w:rPr>
              <w:t>----收到基低位发热量，kJ/kg。</w:t>
            </w:r>
            <w:r>
              <w:rPr>
                <w:rFonts w:hint="default"/>
                <w:bCs w:val="0"/>
                <w:color w:val="auto"/>
                <w:highlight w:val="none"/>
                <w:lang w:val="en-US" w:eastAsia="zh-CN"/>
              </w:rPr>
              <w:t>取</w:t>
            </w:r>
            <w:r>
              <w:rPr>
                <w:rFonts w:hint="eastAsia"/>
                <w:bCs w:val="0"/>
                <w:color w:val="auto"/>
                <w:highlight w:val="none"/>
                <w:lang w:val="en-US" w:eastAsia="zh-CN"/>
              </w:rPr>
              <w:t>9.58</w:t>
            </w:r>
            <w:r>
              <w:rPr>
                <w:rFonts w:hint="default" w:ascii="Arial" w:hAnsi="Arial" w:cs="Arial"/>
                <w:color w:val="auto"/>
                <w:highlight w:val="none"/>
              </w:rPr>
              <w:t>×</w:t>
            </w:r>
            <w:r>
              <w:rPr>
                <w:rFonts w:hint="eastAsia"/>
                <w:color w:val="auto"/>
                <w:highlight w:val="none"/>
                <w:lang w:val="en-US" w:eastAsia="zh-CN"/>
              </w:rPr>
              <w:t>10</w:t>
            </w:r>
            <w:r>
              <w:rPr>
                <w:rFonts w:hint="eastAsia"/>
                <w:color w:val="auto"/>
                <w:highlight w:val="none"/>
                <w:vertAlign w:val="superscript"/>
                <w:lang w:val="en-US" w:eastAsia="zh-CN"/>
              </w:rPr>
              <w:t>3</w:t>
            </w:r>
            <w:r>
              <w:rPr>
                <w:rFonts w:hint="default" w:ascii="Times New Roman" w:hAnsi="Times New Roman" w:cs="Times New Roman"/>
                <w:color w:val="auto"/>
                <w:sz w:val="21"/>
                <w:szCs w:val="21"/>
                <w:highlight w:val="none"/>
              </w:rPr>
              <w:t>；（根据生物质成分分析报告）；</w:t>
            </w:r>
          </w:p>
          <w:p w14:paraId="726979AC">
            <w:pPr>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Ehc=</w:t>
            </w:r>
            <w:r>
              <w:rPr>
                <w:rFonts w:hint="eastAsia" w:cs="Times New Roman"/>
                <w:color w:val="auto"/>
                <w:sz w:val="21"/>
                <w:szCs w:val="21"/>
                <w:highlight w:val="none"/>
                <w:lang w:val="en-US" w:eastAsia="zh-CN"/>
              </w:rPr>
              <w:t>2882.4</w:t>
            </w:r>
            <w:r>
              <w:rPr>
                <w:rFonts w:hint="default" w:ascii="Times New Roman" w:hAnsi="Times New Roman" w:cs="Times New Roman"/>
                <w:color w:val="auto"/>
                <w:sz w:val="21"/>
                <w:szCs w:val="21"/>
                <w:highlight w:val="none"/>
              </w:rPr>
              <w:t>t×（</w:t>
            </w:r>
            <w:r>
              <w:rPr>
                <w:rFonts w:hint="eastAsia"/>
                <w:bCs w:val="0"/>
                <w:color w:val="auto"/>
                <w:highlight w:val="none"/>
                <w:lang w:val="en-US" w:eastAsia="zh-CN"/>
              </w:rPr>
              <w:t>3.06</w:t>
            </w:r>
            <w:r>
              <w:rPr>
                <w:rFonts w:hint="default"/>
                <w:bCs w:val="0"/>
                <w:color w:val="auto"/>
                <w:highlight w:val="none"/>
                <w:lang w:val="en-US" w:eastAsia="zh-CN"/>
              </w:rPr>
              <w:t>%</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w:t>
            </w:r>
            <w:r>
              <w:rPr>
                <w:rFonts w:hint="eastAsia" w:cs="Times New Roman"/>
                <w:color w:val="auto"/>
                <w:kern w:val="24"/>
                <w:sz w:val="21"/>
                <w:szCs w:val="21"/>
                <w:highlight w:val="none"/>
                <w:lang w:val="en-US" w:eastAsia="zh-CN"/>
              </w:rPr>
              <w:t>9580</w:t>
            </w:r>
            <w:r>
              <w:rPr>
                <w:rFonts w:hint="default" w:ascii="Times New Roman" w:hAnsi="Times New Roman" w:cs="Times New Roman"/>
                <w:color w:val="auto"/>
                <w:sz w:val="21"/>
                <w:szCs w:val="21"/>
                <w:highlight w:val="none"/>
              </w:rPr>
              <w:t>/33870）=</w:t>
            </w:r>
            <w:r>
              <w:rPr>
                <w:rFonts w:hint="eastAsia" w:cs="Times New Roman"/>
                <w:color w:val="auto"/>
                <w:sz w:val="21"/>
                <w:szCs w:val="21"/>
                <w:highlight w:val="none"/>
                <w:lang w:val="en-US" w:eastAsia="zh-CN"/>
              </w:rPr>
              <w:t>169.729</w:t>
            </w:r>
            <w:r>
              <w:rPr>
                <w:rFonts w:hint="default" w:ascii="Times New Roman" w:hAnsi="Times New Roman" w:cs="Times New Roman"/>
                <w:color w:val="auto"/>
                <w:sz w:val="21"/>
                <w:szCs w:val="21"/>
                <w:highlight w:val="none"/>
              </w:rPr>
              <w:t>t/a</w:t>
            </w:r>
          </w:p>
          <w:p w14:paraId="44D195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FF0000"/>
                <w:highlight w:val="none"/>
              </w:rPr>
            </w:pPr>
            <w:r>
              <w:rPr>
                <w:rFonts w:hint="default" w:ascii="Times New Roman" w:hAnsi="Times New Roman" w:cs="Times New Roman"/>
                <w:color w:val="FF0000"/>
                <w:sz w:val="21"/>
                <w:szCs w:val="21"/>
                <w:highlight w:val="none"/>
              </w:rPr>
              <w:t>经计算，本项目</w:t>
            </w:r>
            <w:r>
              <w:rPr>
                <w:rFonts w:hint="eastAsia" w:cs="Times New Roman"/>
                <w:bCs/>
                <w:color w:val="FF0000"/>
                <w:sz w:val="21"/>
                <w:szCs w:val="21"/>
                <w:highlight w:val="none"/>
                <w:lang w:val="en-US" w:eastAsia="zh-CN"/>
              </w:rPr>
              <w:t>灰渣</w:t>
            </w:r>
            <w:r>
              <w:rPr>
                <w:rFonts w:hint="default" w:ascii="Times New Roman" w:hAnsi="Times New Roman" w:cs="Times New Roman"/>
                <w:bCs/>
                <w:color w:val="FF0000"/>
                <w:sz w:val="21"/>
                <w:szCs w:val="21"/>
                <w:highlight w:val="none"/>
              </w:rPr>
              <w:t>的产生量为</w:t>
            </w:r>
            <w:r>
              <w:rPr>
                <w:rFonts w:hint="eastAsia" w:cs="Times New Roman"/>
                <w:color w:val="FF0000"/>
                <w:sz w:val="21"/>
                <w:szCs w:val="21"/>
                <w:highlight w:val="none"/>
                <w:lang w:val="en-US" w:eastAsia="zh-CN"/>
              </w:rPr>
              <w:t>169.729</w:t>
            </w:r>
            <w:r>
              <w:rPr>
                <w:rFonts w:hint="default" w:ascii="Times New Roman" w:hAnsi="Times New Roman" w:cs="Times New Roman"/>
                <w:bCs/>
                <w:color w:val="FF0000"/>
                <w:sz w:val="21"/>
                <w:szCs w:val="21"/>
                <w:highlight w:val="none"/>
              </w:rPr>
              <w:t>t/a，</w:t>
            </w:r>
            <w:r>
              <w:rPr>
                <w:rFonts w:hint="eastAsia" w:cs="Times New Roman"/>
                <w:color w:val="FF0000"/>
                <w:sz w:val="21"/>
                <w:szCs w:val="21"/>
                <w:highlight w:val="none"/>
                <w:lang w:eastAsia="zh-CN"/>
              </w:rPr>
              <w:t>灰渣</w:t>
            </w:r>
            <w:r>
              <w:rPr>
                <w:rFonts w:hint="default" w:ascii="Times New Roman" w:hAnsi="Times New Roman" w:cs="Times New Roman"/>
                <w:color w:val="FF0000"/>
                <w:sz w:val="21"/>
                <w:szCs w:val="21"/>
                <w:highlight w:val="none"/>
              </w:rPr>
              <w:t>密封收集，暂存于</w:t>
            </w:r>
            <w:r>
              <w:rPr>
                <w:rFonts w:hint="eastAsia" w:cs="Times New Roman"/>
                <w:bCs/>
                <w:color w:val="FF0000"/>
                <w:kern w:val="0"/>
                <w:sz w:val="21"/>
                <w:szCs w:val="21"/>
                <w:highlight w:val="none"/>
                <w:lang w:val="en-US" w:eastAsia="zh-CN"/>
              </w:rPr>
              <w:t>热风炉房</w:t>
            </w:r>
            <w:r>
              <w:rPr>
                <w:rFonts w:hint="eastAsia" w:cs="Times New Roman"/>
                <w:color w:val="FF0000"/>
                <w:sz w:val="21"/>
                <w:szCs w:val="21"/>
                <w:highlight w:val="none"/>
                <w:lang w:val="en-US" w:eastAsia="zh-CN"/>
              </w:rPr>
              <w:t>内灰渣间</w:t>
            </w:r>
            <w:r>
              <w:rPr>
                <w:rFonts w:hint="default" w:ascii="Times New Roman" w:hAnsi="Times New Roman" w:cs="Times New Roman"/>
                <w:color w:val="FF0000"/>
                <w:sz w:val="21"/>
                <w:szCs w:val="21"/>
                <w:highlight w:val="none"/>
              </w:rPr>
              <w:t>，定期</w:t>
            </w:r>
            <w:r>
              <w:rPr>
                <w:rFonts w:hint="eastAsia" w:cs="Times New Roman"/>
                <w:color w:val="FF0000"/>
                <w:sz w:val="21"/>
                <w:szCs w:val="21"/>
                <w:highlight w:val="none"/>
                <w:lang w:val="en-US" w:eastAsia="zh-CN"/>
              </w:rPr>
              <w:t>外售综合利用</w:t>
            </w:r>
            <w:r>
              <w:rPr>
                <w:rFonts w:hint="default" w:ascii="Times New Roman" w:hAnsi="Times New Roman" w:cs="Times New Roman"/>
                <w:color w:val="FF0000"/>
                <w:sz w:val="21"/>
                <w:szCs w:val="21"/>
                <w:highlight w:val="none"/>
              </w:rPr>
              <w:t>。</w:t>
            </w:r>
          </w:p>
          <w:p w14:paraId="2684C43B">
            <w:pPr>
              <w:pStyle w:val="4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baseline"/>
              <w:rPr>
                <w:rFonts w:hint="eastAsia"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③</w:t>
            </w:r>
            <w:r>
              <w:rPr>
                <w:rFonts w:hint="eastAsia" w:cs="Times New Roman"/>
                <w:color w:val="auto"/>
                <w:sz w:val="21"/>
                <w:szCs w:val="21"/>
                <w:highlight w:val="none"/>
                <w:lang w:val="en-US" w:eastAsia="zh-CN"/>
              </w:rPr>
              <w:t>废布袋</w:t>
            </w:r>
          </w:p>
          <w:p w14:paraId="6D7EF710">
            <w:pPr>
              <w:pStyle w:val="4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baseline"/>
              <w:rPr>
                <w:rFonts w:hint="eastAsia"/>
                <w:color w:val="auto"/>
                <w:sz w:val="21"/>
                <w:szCs w:val="21"/>
                <w:highlight w:val="none"/>
                <w:lang w:val="en-US" w:eastAsia="zh-CN"/>
              </w:rPr>
            </w:pPr>
            <w:r>
              <w:rPr>
                <w:rFonts w:hint="default"/>
                <w:color w:val="auto"/>
                <w:sz w:val="21"/>
                <w:szCs w:val="21"/>
                <w:highlight w:val="none"/>
              </w:rPr>
              <w:t>本项目除尘器为保证除尘效率，定期更换布袋，</w:t>
            </w:r>
            <w:r>
              <w:rPr>
                <w:rFonts w:hint="eastAsia" w:ascii="Times New Roman" w:hAnsi="Times New Roman" w:cs="Times New Roman"/>
                <w:color w:val="auto"/>
                <w:sz w:val="21"/>
                <w:szCs w:val="21"/>
                <w:highlight w:val="none"/>
                <w:lang w:eastAsia="zh-CN" w:bidi="ar"/>
              </w:rPr>
              <w:t>每年</w:t>
            </w:r>
            <w:r>
              <w:rPr>
                <w:rFonts w:hint="default"/>
                <w:color w:val="auto"/>
                <w:sz w:val="21"/>
                <w:szCs w:val="21"/>
                <w:highlight w:val="none"/>
              </w:rPr>
              <w:t>更换一次，废弃布袋产生量</w:t>
            </w:r>
            <w:r>
              <w:rPr>
                <w:rFonts w:hint="eastAsia"/>
                <w:color w:val="auto"/>
                <w:sz w:val="21"/>
                <w:szCs w:val="21"/>
                <w:highlight w:val="none"/>
                <w:lang w:val="en-US" w:eastAsia="zh-CN"/>
              </w:rPr>
              <w:t>约</w:t>
            </w:r>
            <w:r>
              <w:rPr>
                <w:rFonts w:hint="default" w:ascii="Times New Roman" w:hAnsi="Times New Roman" w:cs="Times New Roman"/>
                <w:color w:val="auto"/>
                <w:sz w:val="21"/>
                <w:szCs w:val="21"/>
                <w:highlight w:val="none"/>
              </w:rPr>
              <w:t>0.0</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t/a</w:t>
            </w:r>
            <w:r>
              <w:rPr>
                <w:rFonts w:hint="default"/>
                <w:color w:val="auto"/>
                <w:sz w:val="21"/>
                <w:szCs w:val="21"/>
                <w:highlight w:val="none"/>
              </w:rPr>
              <w:t>，</w:t>
            </w:r>
            <w:r>
              <w:rPr>
                <w:rFonts w:hint="eastAsia"/>
                <w:color w:val="auto"/>
                <w:sz w:val="21"/>
                <w:szCs w:val="21"/>
                <w:highlight w:val="none"/>
              </w:rPr>
              <w:t>更换后由厂家</w:t>
            </w:r>
            <w:r>
              <w:rPr>
                <w:rFonts w:hint="eastAsia"/>
                <w:color w:val="auto"/>
                <w:sz w:val="21"/>
                <w:szCs w:val="21"/>
                <w:highlight w:val="none"/>
                <w:lang w:eastAsia="zh-CN"/>
              </w:rPr>
              <w:t>回收</w:t>
            </w:r>
            <w:r>
              <w:rPr>
                <w:rFonts w:hint="default"/>
                <w:color w:val="auto"/>
                <w:sz w:val="21"/>
                <w:szCs w:val="21"/>
                <w:highlight w:val="none"/>
              </w:rPr>
              <w:t>。</w:t>
            </w:r>
          </w:p>
          <w:p w14:paraId="1B9AF2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④</w:t>
            </w:r>
            <w:r>
              <w:rPr>
                <w:rFonts w:hint="default" w:ascii="Times New Roman" w:hAnsi="Times New Roman" w:cs="Times New Roman"/>
                <w:color w:val="auto"/>
                <w:sz w:val="21"/>
                <w:szCs w:val="21"/>
                <w:highlight w:val="none"/>
                <w:lang w:eastAsia="zh-CN"/>
              </w:rPr>
              <w:t>初清杂质</w:t>
            </w:r>
            <w:r>
              <w:rPr>
                <w:rFonts w:hint="default" w:ascii="Times New Roman" w:hAnsi="Times New Roman" w:cs="Times New Roman"/>
                <w:color w:val="auto"/>
                <w:sz w:val="21"/>
                <w:szCs w:val="21"/>
                <w:highlight w:val="none"/>
                <w:lang w:val="en-US" w:eastAsia="zh-CN"/>
              </w:rPr>
              <w:t>及输送装卸、筛分、烘干</w:t>
            </w:r>
            <w:r>
              <w:rPr>
                <w:rFonts w:hint="default" w:ascii="Times New Roman" w:hAnsi="Times New Roman" w:cs="Times New Roman"/>
                <w:color w:val="auto"/>
                <w:sz w:val="21"/>
                <w:szCs w:val="21"/>
                <w:highlight w:val="none"/>
              </w:rPr>
              <w:t>粉尘</w:t>
            </w:r>
          </w:p>
          <w:p w14:paraId="3E96FF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lang w:val="en-US"/>
              </w:rPr>
            </w:pPr>
            <w:r>
              <w:rPr>
                <w:rFonts w:hint="eastAsia" w:ascii="Times New Roman" w:hAnsi="Times New Roman" w:eastAsia="宋体" w:cs="Times New Roman"/>
                <w:color w:val="auto"/>
                <w:kern w:val="2"/>
                <w:sz w:val="21"/>
                <w:szCs w:val="21"/>
                <w:highlight w:val="none"/>
                <w:lang w:val="en-US" w:eastAsia="zh-CN" w:bidi="ar"/>
              </w:rPr>
              <w:t>根据前文计算，初清杂质及输送装卸过程产生的砂石杂质及烘干过程产生的粉尘量为</w:t>
            </w:r>
            <w:r>
              <w:rPr>
                <w:rFonts w:hint="eastAsia" w:cs="Times New Roman"/>
                <w:color w:val="auto"/>
                <w:kern w:val="2"/>
                <w:sz w:val="21"/>
                <w:szCs w:val="21"/>
                <w:highlight w:val="none"/>
                <w:lang w:val="en-US" w:eastAsia="zh-CN" w:bidi="ar"/>
              </w:rPr>
              <w:t>34.247</w:t>
            </w:r>
            <w:r>
              <w:rPr>
                <w:rFonts w:hint="eastAsia" w:ascii="Times New Roman" w:hAnsi="Times New Roman" w:eastAsia="宋体" w:cs="Times New Roman"/>
                <w:color w:val="auto"/>
                <w:kern w:val="2"/>
                <w:sz w:val="21"/>
                <w:szCs w:val="21"/>
                <w:highlight w:val="none"/>
                <w:lang w:val="en-US" w:eastAsia="zh-CN" w:bidi="ar"/>
              </w:rPr>
              <w:t>t，初清杂质及输送装卸过程产生的砂石杂质外售建材企业综合利用，烘干粉尘外售农户作为牲畜饲料综合利用。</w:t>
            </w:r>
          </w:p>
          <w:p w14:paraId="013629AE">
            <w:pPr>
              <w:pStyle w:val="2"/>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⑤危险废物</w:t>
            </w:r>
          </w:p>
          <w:p w14:paraId="5D86FB3D">
            <w:pPr>
              <w:pStyle w:val="2"/>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hAnsi="宋体"/>
                <w:color w:val="auto"/>
                <w:sz w:val="21"/>
                <w:szCs w:val="21"/>
                <w:highlight w:val="none"/>
                <w:lang w:eastAsia="zh-CN"/>
              </w:rPr>
            </w:pPr>
            <w:r>
              <w:rPr>
                <w:rFonts w:hint="eastAsia" w:cs="Times New Roman"/>
                <w:color w:val="auto"/>
                <w:sz w:val="21"/>
                <w:szCs w:val="21"/>
                <w:highlight w:val="none"/>
                <w:lang w:val="en-US" w:eastAsia="zh-CN"/>
              </w:rPr>
              <w:t>本项目可移动设备拉运至附近修理厂进行维修与养护，不在厂内进行，不可移动的大型设备在厂区内维修养护产生的</w:t>
            </w:r>
            <w:r>
              <w:rPr>
                <w:rFonts w:hint="eastAsia" w:cs="Times New Roman"/>
                <w:bCs/>
                <w:color w:val="auto"/>
                <w:sz w:val="21"/>
                <w:szCs w:val="21"/>
                <w:highlight w:val="none"/>
                <w:lang w:val="en-US" w:eastAsia="zh-CN"/>
              </w:rPr>
              <w:t>废机油、废机油桶、含油抹布手套等</w:t>
            </w:r>
            <w:r>
              <w:rPr>
                <w:rFonts w:hint="eastAsia" w:ascii="Times New Roman" w:hAnsi="Times New Roman" w:eastAsia="宋体" w:cs="Times New Roman"/>
                <w:bCs/>
                <w:color w:val="auto"/>
                <w:sz w:val="21"/>
                <w:szCs w:val="21"/>
                <w:highlight w:val="none"/>
                <w:lang w:val="en-US" w:eastAsia="zh-CN"/>
              </w:rPr>
              <w:t>统一储存在</w:t>
            </w: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内</w:t>
            </w:r>
            <w:r>
              <w:rPr>
                <w:rFonts w:hint="eastAsia" w:cs="Times New Roman"/>
                <w:bCs/>
                <w:color w:val="auto"/>
                <w:sz w:val="21"/>
                <w:szCs w:val="21"/>
                <w:highlight w:val="none"/>
                <w:lang w:val="en-US" w:eastAsia="zh-CN"/>
              </w:rPr>
              <w:t>密闭容器内</w:t>
            </w:r>
            <w:r>
              <w:rPr>
                <w:rFonts w:hint="eastAsia" w:ascii="Times New Roman" w:hAnsi="Times New Roman" w:eastAsia="宋体" w:cs="Times New Roman"/>
                <w:bCs/>
                <w:color w:val="auto"/>
                <w:sz w:val="21"/>
                <w:szCs w:val="21"/>
                <w:highlight w:val="none"/>
                <w:lang w:val="en-US" w:eastAsia="zh-CN"/>
              </w:rPr>
              <w:t>，</w:t>
            </w:r>
            <w:r>
              <w:rPr>
                <w:rFonts w:hint="eastAsia" w:cs="Times New Roman"/>
                <w:bCs/>
                <w:color w:val="auto"/>
                <w:sz w:val="21"/>
                <w:szCs w:val="21"/>
                <w:highlight w:val="none"/>
                <w:lang w:val="en-US" w:eastAsia="zh-CN"/>
              </w:rPr>
              <w:t>产生量</w:t>
            </w:r>
            <w:r>
              <w:rPr>
                <w:rFonts w:hint="eastAsia" w:ascii="Times New Roman" w:hAnsi="Times New Roman" w:eastAsia="宋体" w:cs="Times New Roman"/>
                <w:bCs/>
                <w:color w:val="auto"/>
                <w:sz w:val="21"/>
                <w:szCs w:val="21"/>
                <w:highlight w:val="none"/>
                <w:lang w:val="en-US" w:eastAsia="zh-CN"/>
              </w:rPr>
              <w:t>0.0</w:t>
            </w:r>
            <w:r>
              <w:rPr>
                <w:rFonts w:hint="eastAsia" w:cs="Times New Roman"/>
                <w:bCs/>
                <w:color w:val="auto"/>
                <w:sz w:val="21"/>
                <w:szCs w:val="21"/>
                <w:highlight w:val="none"/>
                <w:lang w:val="en-US" w:eastAsia="zh-CN"/>
              </w:rPr>
              <w:t>3</w:t>
            </w:r>
            <w:r>
              <w:rPr>
                <w:rFonts w:hint="eastAsia" w:ascii="Times New Roman" w:hAnsi="Times New Roman" w:eastAsia="宋体" w:cs="Times New Roman"/>
                <w:bCs/>
                <w:color w:val="auto"/>
                <w:sz w:val="21"/>
                <w:szCs w:val="21"/>
                <w:highlight w:val="none"/>
                <w:lang w:val="en-US" w:eastAsia="zh-CN"/>
              </w:rPr>
              <w:t>t/a，集中收集后</w:t>
            </w:r>
            <w:r>
              <w:rPr>
                <w:rFonts w:hint="eastAsia" w:ascii="Times New Roman" w:hAnsi="Times New Roman" w:eastAsia="宋体" w:cs="Times New Roman"/>
                <w:bCs/>
                <w:color w:val="auto"/>
                <w:sz w:val="21"/>
                <w:szCs w:val="21"/>
                <w:highlight w:val="none"/>
                <w:lang w:eastAsia="zh-CN"/>
              </w:rPr>
              <w:t>，定期</w:t>
            </w:r>
            <w:r>
              <w:rPr>
                <w:rFonts w:hint="eastAsia" w:ascii="Times New Roman" w:hAnsi="Times New Roman" w:eastAsia="宋体" w:cs="Times New Roman"/>
                <w:bCs/>
                <w:color w:val="auto"/>
                <w:sz w:val="21"/>
                <w:szCs w:val="21"/>
                <w:highlight w:val="none"/>
                <w:lang w:val="en-US" w:eastAsia="zh-CN"/>
              </w:rPr>
              <w:t>交由有资质单位处理。</w:t>
            </w: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必须地面与裙脚要用坚固、防渗的建筑材料建造，防渗层为至少2mm厚的防渗人工材料，防渗系数≤10</w:t>
            </w:r>
            <w:r>
              <w:rPr>
                <w:rFonts w:hint="eastAsia" w:ascii="Times New Roman" w:hAnsi="Times New Roman" w:eastAsia="宋体" w:cs="Times New Roman"/>
                <w:bCs/>
                <w:color w:val="auto"/>
                <w:sz w:val="21"/>
                <w:szCs w:val="21"/>
                <w:highlight w:val="none"/>
                <w:vertAlign w:val="superscript"/>
                <w:lang w:val="en-US" w:eastAsia="zh-CN"/>
              </w:rPr>
              <w:t>-</w:t>
            </w:r>
            <w:r>
              <w:rPr>
                <w:rFonts w:hint="eastAsia" w:cs="Times New Roman"/>
                <w:bCs/>
                <w:color w:val="auto"/>
                <w:sz w:val="21"/>
                <w:szCs w:val="21"/>
                <w:highlight w:val="none"/>
                <w:vertAlign w:val="superscript"/>
                <w:lang w:val="en-US" w:eastAsia="zh-CN"/>
              </w:rPr>
              <w:t>10</w:t>
            </w:r>
            <w:r>
              <w:rPr>
                <w:rFonts w:hint="eastAsia" w:ascii="Times New Roman" w:hAnsi="Times New Roman" w:eastAsia="宋体" w:cs="Times New Roman"/>
                <w:bCs/>
                <w:color w:val="auto"/>
                <w:sz w:val="21"/>
                <w:szCs w:val="21"/>
                <w:highlight w:val="none"/>
                <w:lang w:val="en-US" w:eastAsia="zh-CN"/>
              </w:rPr>
              <w:t>cm/s，危险废物须做好危险废物情况的记录、记录上须标明危险废物的名</w:t>
            </w:r>
            <w:r>
              <w:rPr>
                <w:rFonts w:hint="eastAsia" w:hAnsi="宋体"/>
                <w:color w:val="auto"/>
                <w:sz w:val="21"/>
                <w:szCs w:val="21"/>
                <w:highlight w:val="none"/>
                <w:lang w:val="en-US" w:eastAsia="zh-CN"/>
              </w:rPr>
              <w:t>称、来源、数量、入库时间、废物出库日期及接收单位名称。危险废物经过统一收集后再交给有资质的危险废物处置单位处理。</w:t>
            </w:r>
          </w:p>
          <w:p w14:paraId="0D0DA304">
            <w:pPr>
              <w:keepNext w:val="0"/>
              <w:keepLines w:val="0"/>
              <w:pageBreakBefore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snapToGrid w:val="0"/>
                <w:color w:val="FF0000"/>
                <w:kern w:val="0"/>
                <w:sz w:val="21"/>
                <w:szCs w:val="21"/>
                <w:highlight w:val="none"/>
                <w:lang w:val="en-US" w:eastAsia="zh-CN" w:bidi="ar-SA"/>
              </w:rPr>
            </w:pPr>
            <w:r>
              <w:rPr>
                <w:rFonts w:hint="eastAsia" w:ascii="Times New Roman" w:hAnsi="Times New Roman" w:eastAsia="宋体" w:cs="Times New Roman"/>
                <w:color w:val="FF0000"/>
                <w:sz w:val="21"/>
                <w:szCs w:val="21"/>
                <w:lang w:val="en-US" w:eastAsia="zh-CN"/>
              </w:rPr>
              <w:t>生物质灰中含有较多的有机物质，这些有机物质可以改善土壤性质，提高土壤的蓄水、保水、保肥能力。同时，灰中的微量元素和石灰质也可以促进土壤的改良，促进植物的吸收利用。在耕地中适量使用生物质灰作为土壤改良剂是非常有益的。</w:t>
            </w:r>
            <w:r>
              <w:rPr>
                <w:rFonts w:hint="eastAsia" w:cs="Times New Roman"/>
                <w:color w:val="FF0000"/>
                <w:sz w:val="21"/>
                <w:szCs w:val="21"/>
                <w:highlight w:val="none"/>
                <w:lang w:val="en-US" w:eastAsia="zh-CN"/>
              </w:rPr>
              <w:t>烘干粉尘主要为玉米烘干过程脱落的玉米皮，可用于牲畜饲料综合利用。</w:t>
            </w:r>
          </w:p>
          <w:p w14:paraId="6165B465">
            <w:pPr>
              <w:keepNext w:val="0"/>
              <w:keepLines w:val="0"/>
              <w:pageBreakBefore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采取上述措施后，运营期产生的固体废物可以得到有效处理处置，不会对周边环境产生危害性影响。</w:t>
            </w:r>
          </w:p>
          <w:p w14:paraId="4A30A68F">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（2）</w:t>
            </w:r>
            <w:r>
              <w:rPr>
                <w:rFonts w:hint="eastAsia" w:ascii="Times New Roman" w:hAnsi="Times New Roman" w:eastAsia="宋体" w:cs="Times New Roman"/>
                <w:bCs/>
                <w:color w:val="auto"/>
                <w:sz w:val="21"/>
                <w:szCs w:val="21"/>
                <w:highlight w:val="none"/>
                <w:lang w:val="en-US" w:eastAsia="zh-CN"/>
              </w:rPr>
              <w:t>危险废物处置措施</w:t>
            </w:r>
          </w:p>
          <w:p w14:paraId="655DFD9A">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①</w:t>
            </w: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设置要求</w:t>
            </w:r>
          </w:p>
          <w:p w14:paraId="08700E9D">
            <w:pPr>
              <w:keepNext w:val="0"/>
              <w:keepLines w:val="0"/>
              <w:suppressLineNumbers w:val="0"/>
              <w:adjustRightInd w:val="0"/>
              <w:snapToGrid w:val="0"/>
              <w:spacing w:before="0" w:beforeAutospacing="0" w:after="0" w:afterAutospacing="0" w:line="360" w:lineRule="auto"/>
              <w:ind w:left="0" w:right="0" w:firstLine="420" w:firstLineChars="200"/>
              <w:rPr>
                <w:rFonts w:hint="eastAsia" w:ascii="Times New Roman" w:hAnsi="Times New Roman" w:eastAsia="宋体" w:cs="Times New Roman"/>
                <w:color w:val="auto"/>
                <w:sz w:val="21"/>
                <w:szCs w:val="21"/>
                <w:highlight w:val="none"/>
              </w:rPr>
            </w:pPr>
            <w:r>
              <w:rPr>
                <w:rFonts w:hint="eastAsia" w:cs="Times New Roman"/>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应做到防风、防雨、防晒、防渗漏，贮存设施地面与裙脚应采取表面防渗措施</w:t>
            </w:r>
            <w:r>
              <w:rPr>
                <w:rFonts w:hint="eastAsia" w:cs="Times New Roman"/>
                <w:bCs/>
                <w:color w:val="auto"/>
                <w:sz w:val="21"/>
                <w:szCs w:val="21"/>
                <w:highlight w:val="none"/>
                <w:lang w:val="en-US" w:eastAsia="zh-CN"/>
              </w:rPr>
              <w:t>，防渗、防腐材料应覆盖所有可能与废物及其渗滤液、渗漏液等接触的构筑物表面。</w:t>
            </w:r>
            <w:r>
              <w:rPr>
                <w:rFonts w:hint="eastAsia" w:ascii="Times New Roman" w:hAnsi="Times New Roman" w:eastAsia="宋体" w:cs="Times New Roman"/>
                <w:bCs/>
                <w:color w:val="auto"/>
                <w:sz w:val="21"/>
                <w:szCs w:val="21"/>
                <w:highlight w:val="none"/>
                <w:lang w:val="en-US" w:eastAsia="zh-CN"/>
              </w:rPr>
              <w:t>严格按照《危险废物贮存污染控制标准》（GB18597-20</w:t>
            </w:r>
            <w:r>
              <w:rPr>
                <w:rFonts w:hint="eastAsia" w:cs="Times New Roman"/>
                <w:bCs/>
                <w:color w:val="auto"/>
                <w:sz w:val="21"/>
                <w:szCs w:val="21"/>
                <w:highlight w:val="none"/>
                <w:lang w:val="en-US" w:eastAsia="zh-CN"/>
              </w:rPr>
              <w:t>23</w:t>
            </w:r>
            <w:r>
              <w:rPr>
                <w:rFonts w:hint="eastAsia" w:ascii="Times New Roman" w:hAnsi="Times New Roman" w:eastAsia="宋体" w:cs="Times New Roman"/>
                <w:bCs/>
                <w:color w:val="auto"/>
                <w:sz w:val="21"/>
                <w:szCs w:val="21"/>
                <w:highlight w:val="none"/>
                <w:lang w:val="en-US" w:eastAsia="zh-CN"/>
              </w:rPr>
              <w:t>）的要求进行防渗、防漏</w:t>
            </w:r>
            <w:r>
              <w:rPr>
                <w:rFonts w:hint="eastAsia" w:cs="Times New Roman"/>
                <w:bCs/>
                <w:color w:val="auto"/>
                <w:sz w:val="21"/>
                <w:szCs w:val="21"/>
                <w:highlight w:val="none"/>
                <w:lang w:val="en-US" w:eastAsia="zh-CN"/>
              </w:rPr>
              <w:t>。</w:t>
            </w:r>
          </w:p>
          <w:p w14:paraId="0941B0BC">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13</w:t>
            </w:r>
            <w:r>
              <w:rPr>
                <w:rFonts w:hint="eastAsia" w:ascii="Times New Roman" w:hAnsi="Times New Roman" w:eastAsia="宋体" w:cs="Times New Roman"/>
                <w:b/>
                <w:bCs/>
                <w:color w:val="auto"/>
                <w:kern w:val="2"/>
                <w:sz w:val="21"/>
                <w:szCs w:val="21"/>
                <w:highlight w:val="none"/>
                <w:lang w:val="en-US" w:eastAsia="zh-CN" w:bidi="ar-SA"/>
              </w:rPr>
              <w:t xml:space="preserve">  危险废物贮存场所基本情况</w:t>
            </w:r>
          </w:p>
          <w:tbl>
            <w:tblPr>
              <w:tblStyle w:val="36"/>
              <w:tblW w:w="807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1237"/>
              <w:gridCol w:w="1309"/>
              <w:gridCol w:w="1005"/>
              <w:gridCol w:w="1544"/>
              <w:gridCol w:w="903"/>
              <w:gridCol w:w="899"/>
            </w:tblGrid>
            <w:tr w14:paraId="6C53FC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178" w:type="dxa"/>
                  <w:tcBorders>
                    <w:top w:val="single" w:color="auto" w:sz="12" w:space="0"/>
                  </w:tcBorders>
                  <w:noWrap w:val="0"/>
                  <w:vAlign w:val="center"/>
                </w:tcPr>
                <w:p w14:paraId="46299BE5">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危险废物名称</w:t>
                  </w:r>
                </w:p>
              </w:tc>
              <w:tc>
                <w:tcPr>
                  <w:tcW w:w="1237" w:type="dxa"/>
                  <w:tcBorders>
                    <w:top w:val="single" w:color="auto" w:sz="12" w:space="0"/>
                  </w:tcBorders>
                  <w:noWrap w:val="0"/>
                  <w:vAlign w:val="center"/>
                </w:tcPr>
                <w:p w14:paraId="611BAFDE">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危险废物类别</w:t>
                  </w:r>
                </w:p>
              </w:tc>
              <w:tc>
                <w:tcPr>
                  <w:tcW w:w="1309" w:type="dxa"/>
                  <w:tcBorders>
                    <w:top w:val="single" w:color="auto" w:sz="12" w:space="0"/>
                  </w:tcBorders>
                  <w:noWrap w:val="0"/>
                  <w:vAlign w:val="center"/>
                </w:tcPr>
                <w:p w14:paraId="4020758F">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危险废物代码</w:t>
                  </w:r>
                </w:p>
              </w:tc>
              <w:tc>
                <w:tcPr>
                  <w:tcW w:w="1005" w:type="dxa"/>
                  <w:tcBorders>
                    <w:top w:val="single" w:color="auto" w:sz="12" w:space="0"/>
                  </w:tcBorders>
                  <w:noWrap w:val="0"/>
                  <w:vAlign w:val="center"/>
                </w:tcPr>
                <w:p w14:paraId="5DE1A32A">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年产生量</w:t>
                  </w:r>
                </w:p>
              </w:tc>
              <w:tc>
                <w:tcPr>
                  <w:tcW w:w="1544" w:type="dxa"/>
                  <w:tcBorders>
                    <w:top w:val="single" w:color="auto" w:sz="12" w:space="0"/>
                  </w:tcBorders>
                  <w:noWrap w:val="0"/>
                  <w:vAlign w:val="center"/>
                </w:tcPr>
                <w:p w14:paraId="13E5C7EE">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贮存方式</w:t>
                  </w:r>
                </w:p>
              </w:tc>
              <w:tc>
                <w:tcPr>
                  <w:tcW w:w="903" w:type="dxa"/>
                  <w:tcBorders>
                    <w:top w:val="single" w:color="auto" w:sz="12" w:space="0"/>
                  </w:tcBorders>
                  <w:noWrap w:val="0"/>
                  <w:vAlign w:val="center"/>
                </w:tcPr>
                <w:p w14:paraId="7CC62A03">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 w:val="18"/>
                      <w:szCs w:val="18"/>
                      <w:highlight w:val="none"/>
                      <w:lang w:val="en-US" w:eastAsia="zh-CN"/>
                    </w:rPr>
                  </w:pPr>
                  <w:r>
                    <w:rPr>
                      <w:rFonts w:hint="eastAsia" w:ascii="Times New Roman" w:hAnsi="Times New Roman" w:eastAsia="宋体" w:cs="Times New Roman"/>
                      <w:bCs/>
                      <w:color w:val="FF0000"/>
                      <w:sz w:val="18"/>
                      <w:szCs w:val="18"/>
                      <w:highlight w:val="none"/>
                      <w:lang w:val="en-US" w:eastAsia="zh-CN"/>
                    </w:rPr>
                    <w:t>贮存能力</w:t>
                  </w:r>
                </w:p>
              </w:tc>
              <w:tc>
                <w:tcPr>
                  <w:tcW w:w="899" w:type="dxa"/>
                  <w:tcBorders>
                    <w:top w:val="single" w:color="auto" w:sz="12" w:space="0"/>
                  </w:tcBorders>
                  <w:noWrap w:val="0"/>
                  <w:vAlign w:val="center"/>
                </w:tcPr>
                <w:p w14:paraId="2F203AE8">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贮存周期</w:t>
                  </w:r>
                </w:p>
              </w:tc>
            </w:tr>
            <w:tr w14:paraId="11E952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178" w:type="dxa"/>
                  <w:noWrap w:val="0"/>
                  <w:vAlign w:val="center"/>
                </w:tcPr>
                <w:p w14:paraId="53241F21">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废机油</w:t>
                  </w:r>
                </w:p>
              </w:tc>
              <w:tc>
                <w:tcPr>
                  <w:tcW w:w="1237" w:type="dxa"/>
                  <w:noWrap w:val="0"/>
                  <w:vAlign w:val="center"/>
                </w:tcPr>
                <w:p w14:paraId="1C69FE09">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HW08</w:t>
                  </w:r>
                </w:p>
              </w:tc>
              <w:tc>
                <w:tcPr>
                  <w:tcW w:w="1309" w:type="dxa"/>
                  <w:noWrap w:val="0"/>
                  <w:vAlign w:val="center"/>
                </w:tcPr>
                <w:p w14:paraId="1CE55187">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900-21</w:t>
                  </w:r>
                  <w:r>
                    <w:rPr>
                      <w:rFonts w:hint="eastAsia" w:ascii="Times New Roman" w:hAnsi="Times New Roman" w:cs="Times New Roman"/>
                      <w:bCs/>
                      <w:color w:val="auto"/>
                      <w:sz w:val="18"/>
                      <w:szCs w:val="18"/>
                      <w:highlight w:val="none"/>
                      <w:lang w:val="en-US" w:eastAsia="zh-CN"/>
                    </w:rPr>
                    <w:t>4</w:t>
                  </w:r>
                  <w:r>
                    <w:rPr>
                      <w:rFonts w:hint="eastAsia" w:ascii="Times New Roman" w:hAnsi="Times New Roman" w:eastAsia="宋体" w:cs="Times New Roman"/>
                      <w:bCs/>
                      <w:color w:val="auto"/>
                      <w:sz w:val="18"/>
                      <w:szCs w:val="18"/>
                      <w:highlight w:val="none"/>
                      <w:lang w:val="en-US" w:eastAsia="zh-CN"/>
                    </w:rPr>
                    <w:t>-08</w:t>
                  </w:r>
                </w:p>
              </w:tc>
              <w:tc>
                <w:tcPr>
                  <w:tcW w:w="1005" w:type="dxa"/>
                  <w:noWrap w:val="0"/>
                  <w:vAlign w:val="center"/>
                </w:tcPr>
                <w:p w14:paraId="53680E41">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0.</w:t>
                  </w:r>
                  <w:r>
                    <w:rPr>
                      <w:rFonts w:hint="eastAsia" w:cs="Times New Roman"/>
                      <w:bCs/>
                      <w:color w:val="auto"/>
                      <w:sz w:val="18"/>
                      <w:szCs w:val="18"/>
                      <w:highlight w:val="none"/>
                      <w:lang w:val="en-US" w:eastAsia="zh-CN"/>
                    </w:rPr>
                    <w:t>02t</w:t>
                  </w:r>
                </w:p>
              </w:tc>
              <w:tc>
                <w:tcPr>
                  <w:tcW w:w="1544" w:type="dxa"/>
                  <w:noWrap w:val="0"/>
                  <w:vAlign w:val="center"/>
                </w:tcPr>
                <w:p w14:paraId="20B23ECB">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暂存于</w:t>
                  </w:r>
                  <w:r>
                    <w:rPr>
                      <w:rFonts w:hint="eastAsia"/>
                      <w:color w:val="auto"/>
                      <w:sz w:val="18"/>
                      <w:szCs w:val="18"/>
                      <w:highlight w:val="none"/>
                      <w:lang w:val="en-US" w:eastAsia="zh-CN"/>
                    </w:rPr>
                    <w:t>危险废物贮存点</w:t>
                  </w:r>
                </w:p>
              </w:tc>
              <w:tc>
                <w:tcPr>
                  <w:tcW w:w="903" w:type="dxa"/>
                  <w:noWrap w:val="0"/>
                  <w:vAlign w:val="center"/>
                </w:tcPr>
                <w:p w14:paraId="55C0D95E">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 w:val="18"/>
                      <w:szCs w:val="18"/>
                      <w:highlight w:val="none"/>
                      <w:lang w:val="en-US" w:eastAsia="zh-CN"/>
                    </w:rPr>
                  </w:pPr>
                  <w:r>
                    <w:rPr>
                      <w:rFonts w:hint="eastAsia" w:cs="Times New Roman"/>
                      <w:bCs/>
                      <w:color w:val="FF0000"/>
                      <w:sz w:val="18"/>
                      <w:szCs w:val="18"/>
                      <w:highlight w:val="none"/>
                      <w:lang w:val="en-US" w:eastAsia="zh-CN"/>
                    </w:rPr>
                    <w:t>30kg</w:t>
                  </w:r>
                </w:p>
              </w:tc>
              <w:tc>
                <w:tcPr>
                  <w:tcW w:w="899" w:type="dxa"/>
                  <w:noWrap w:val="0"/>
                  <w:vAlign w:val="center"/>
                </w:tcPr>
                <w:p w14:paraId="19A343D9">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100</w:t>
                  </w:r>
                  <w:r>
                    <w:rPr>
                      <w:rFonts w:hint="eastAsia" w:ascii="Times New Roman" w:hAnsi="Times New Roman" w:eastAsia="宋体" w:cs="Times New Roman"/>
                      <w:bCs/>
                      <w:color w:val="auto"/>
                      <w:sz w:val="18"/>
                      <w:szCs w:val="18"/>
                      <w:highlight w:val="none"/>
                      <w:lang w:val="en-US" w:eastAsia="zh-CN"/>
                    </w:rPr>
                    <w:t>d</w:t>
                  </w:r>
                </w:p>
              </w:tc>
            </w:tr>
            <w:tr w14:paraId="4C1439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178" w:type="dxa"/>
                  <w:shd w:val="clear" w:color="auto" w:fill="auto"/>
                  <w:noWrap w:val="0"/>
                  <w:vAlign w:val="center"/>
                </w:tcPr>
                <w:p w14:paraId="31872CBA">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废弃含油抹布手套</w:t>
                  </w:r>
                </w:p>
              </w:tc>
              <w:tc>
                <w:tcPr>
                  <w:tcW w:w="1237" w:type="dxa"/>
                  <w:shd w:val="clear" w:color="auto" w:fill="auto"/>
                  <w:noWrap w:val="0"/>
                  <w:vAlign w:val="center"/>
                </w:tcPr>
                <w:p w14:paraId="2802334C">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HW08</w:t>
                  </w:r>
                </w:p>
              </w:tc>
              <w:tc>
                <w:tcPr>
                  <w:tcW w:w="1309" w:type="dxa"/>
                  <w:shd w:val="clear" w:color="auto" w:fill="auto"/>
                  <w:noWrap w:val="0"/>
                  <w:vAlign w:val="center"/>
                </w:tcPr>
                <w:p w14:paraId="02A42699">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900-041-49</w:t>
                  </w:r>
                </w:p>
              </w:tc>
              <w:tc>
                <w:tcPr>
                  <w:tcW w:w="1005" w:type="dxa"/>
                  <w:shd w:val="clear" w:color="auto" w:fill="auto"/>
                  <w:noWrap w:val="0"/>
                  <w:vAlign w:val="center"/>
                </w:tcPr>
                <w:p w14:paraId="2B5390B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0.01t</w:t>
                  </w:r>
                </w:p>
              </w:tc>
              <w:tc>
                <w:tcPr>
                  <w:tcW w:w="1544" w:type="dxa"/>
                  <w:shd w:val="clear" w:color="auto" w:fill="auto"/>
                  <w:noWrap w:val="0"/>
                  <w:vAlign w:val="center"/>
                </w:tcPr>
                <w:p w14:paraId="31D81ECD">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暂存</w:t>
                  </w:r>
                  <w:r>
                    <w:rPr>
                      <w:rFonts w:hint="eastAsia"/>
                      <w:color w:val="auto"/>
                      <w:sz w:val="18"/>
                      <w:szCs w:val="18"/>
                      <w:highlight w:val="none"/>
                      <w:lang w:val="en-US" w:eastAsia="zh-CN"/>
                    </w:rPr>
                    <w:t>危险废物贮存点</w:t>
                  </w:r>
                  <w:r>
                    <w:rPr>
                      <w:rFonts w:hint="eastAsia" w:ascii="Times New Roman" w:hAnsi="Times New Roman" w:eastAsia="宋体" w:cs="Times New Roman"/>
                      <w:bCs/>
                      <w:color w:val="auto"/>
                      <w:sz w:val="18"/>
                      <w:szCs w:val="18"/>
                      <w:highlight w:val="none"/>
                      <w:lang w:val="en-US" w:eastAsia="zh-CN"/>
                    </w:rPr>
                    <w:t>内</w:t>
                  </w:r>
                  <w:r>
                    <w:rPr>
                      <w:rFonts w:hint="eastAsia" w:cs="Times New Roman"/>
                      <w:bCs/>
                      <w:color w:val="auto"/>
                      <w:sz w:val="18"/>
                      <w:szCs w:val="18"/>
                      <w:highlight w:val="none"/>
                      <w:lang w:val="en-US" w:eastAsia="zh-CN"/>
                    </w:rPr>
                    <w:t>密闭容器内</w:t>
                  </w:r>
                </w:p>
              </w:tc>
              <w:tc>
                <w:tcPr>
                  <w:tcW w:w="903" w:type="dxa"/>
                  <w:shd w:val="clear" w:color="auto" w:fill="auto"/>
                  <w:noWrap w:val="0"/>
                  <w:vAlign w:val="center"/>
                </w:tcPr>
                <w:p w14:paraId="6A79E232">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FF0000"/>
                      <w:kern w:val="2"/>
                      <w:sz w:val="18"/>
                      <w:szCs w:val="18"/>
                      <w:highlight w:val="none"/>
                      <w:lang w:val="en-US" w:eastAsia="zh-CN" w:bidi="ar-SA"/>
                    </w:rPr>
                  </w:pPr>
                  <w:r>
                    <w:rPr>
                      <w:rFonts w:hint="eastAsia" w:cs="Times New Roman"/>
                      <w:bCs/>
                      <w:color w:val="FF0000"/>
                      <w:sz w:val="18"/>
                      <w:szCs w:val="18"/>
                      <w:highlight w:val="none"/>
                      <w:lang w:val="en-US" w:eastAsia="zh-CN"/>
                    </w:rPr>
                    <w:t>20kg</w:t>
                  </w:r>
                </w:p>
              </w:tc>
              <w:tc>
                <w:tcPr>
                  <w:tcW w:w="899" w:type="dxa"/>
                  <w:shd w:val="clear" w:color="auto" w:fill="auto"/>
                  <w:noWrap w:val="0"/>
                  <w:vAlign w:val="center"/>
                </w:tcPr>
                <w:p w14:paraId="0856F84B">
                  <w:pPr>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100</w:t>
                  </w:r>
                  <w:r>
                    <w:rPr>
                      <w:rFonts w:hint="eastAsia" w:ascii="Times New Roman" w:hAnsi="Times New Roman" w:eastAsia="宋体" w:cs="Times New Roman"/>
                      <w:bCs/>
                      <w:color w:val="auto"/>
                      <w:sz w:val="18"/>
                      <w:szCs w:val="18"/>
                      <w:highlight w:val="none"/>
                      <w:lang w:val="en-US" w:eastAsia="zh-CN"/>
                    </w:rPr>
                    <w:t>d</w:t>
                  </w:r>
                </w:p>
              </w:tc>
            </w:tr>
            <w:tr w14:paraId="48AD0B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178" w:type="dxa"/>
                  <w:tcBorders>
                    <w:bottom w:val="single" w:color="auto" w:sz="12" w:space="0"/>
                  </w:tcBorders>
                  <w:shd w:val="clear" w:color="auto" w:fill="auto"/>
                  <w:noWrap w:val="0"/>
                  <w:vAlign w:val="center"/>
                </w:tcPr>
                <w:p w14:paraId="7AC41D68">
                  <w:pPr>
                    <w:keepNext w:val="0"/>
                    <w:keepLines w:val="0"/>
                    <w:suppressLineNumbers w:val="0"/>
                    <w:adjustRightInd w:val="0"/>
                    <w:snapToGrid w:val="0"/>
                    <w:spacing w:before="0" w:beforeAutospacing="0" w:after="0" w:afterAutospacing="0"/>
                    <w:ind w:left="0" w:right="0"/>
                    <w:jc w:val="center"/>
                    <w:rPr>
                      <w:rFonts w:hint="default"/>
                      <w:bCs/>
                      <w:color w:val="FF0000"/>
                      <w:sz w:val="18"/>
                      <w:szCs w:val="18"/>
                      <w:highlight w:val="none"/>
                      <w:lang w:val="en-US" w:eastAsia="zh-CN"/>
                    </w:rPr>
                  </w:pPr>
                  <w:r>
                    <w:rPr>
                      <w:rFonts w:hint="eastAsia"/>
                      <w:bCs/>
                      <w:color w:val="FF0000"/>
                      <w:sz w:val="18"/>
                      <w:szCs w:val="18"/>
                      <w:highlight w:val="none"/>
                      <w:lang w:val="en-US" w:eastAsia="zh-CN"/>
                    </w:rPr>
                    <w:t>废机油桶</w:t>
                  </w:r>
                </w:p>
              </w:tc>
              <w:tc>
                <w:tcPr>
                  <w:tcW w:w="1237" w:type="dxa"/>
                  <w:tcBorders>
                    <w:bottom w:val="single" w:color="auto" w:sz="12" w:space="0"/>
                  </w:tcBorders>
                  <w:shd w:val="clear" w:color="auto" w:fill="auto"/>
                  <w:noWrap w:val="0"/>
                  <w:vAlign w:val="center"/>
                </w:tcPr>
                <w:p w14:paraId="21B5547D">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FF0000"/>
                      <w:sz w:val="18"/>
                      <w:szCs w:val="18"/>
                      <w:highlight w:val="none"/>
                      <w:lang w:val="en-US" w:eastAsia="zh-CN"/>
                    </w:rPr>
                  </w:pPr>
                  <w:r>
                    <w:rPr>
                      <w:rFonts w:hint="eastAsia" w:cs="Times New Roman"/>
                      <w:bCs/>
                      <w:color w:val="FF0000"/>
                      <w:sz w:val="18"/>
                      <w:szCs w:val="18"/>
                      <w:highlight w:val="none"/>
                      <w:lang w:val="en-US" w:eastAsia="zh-CN"/>
                    </w:rPr>
                    <w:t>HW08</w:t>
                  </w:r>
                </w:p>
              </w:tc>
              <w:tc>
                <w:tcPr>
                  <w:tcW w:w="1309" w:type="dxa"/>
                  <w:tcBorders>
                    <w:bottom w:val="single" w:color="auto" w:sz="12" w:space="0"/>
                  </w:tcBorders>
                  <w:shd w:val="clear" w:color="auto" w:fill="auto"/>
                  <w:noWrap w:val="0"/>
                  <w:vAlign w:val="center"/>
                </w:tcPr>
                <w:p w14:paraId="7AD37E96">
                  <w:pPr>
                    <w:keepNext w:val="0"/>
                    <w:keepLines w:val="0"/>
                    <w:suppressLineNumbers w:val="0"/>
                    <w:adjustRightInd w:val="0"/>
                    <w:snapToGrid w:val="0"/>
                    <w:spacing w:before="0" w:beforeAutospacing="0" w:after="0" w:afterAutospacing="0"/>
                    <w:ind w:left="0" w:right="0"/>
                    <w:jc w:val="center"/>
                    <w:rPr>
                      <w:rFonts w:hint="default"/>
                      <w:bCs/>
                      <w:color w:val="FF0000"/>
                      <w:sz w:val="18"/>
                      <w:szCs w:val="18"/>
                      <w:highlight w:val="none"/>
                      <w:lang w:val="en-US" w:eastAsia="zh-CN"/>
                    </w:rPr>
                  </w:pPr>
                  <w:r>
                    <w:rPr>
                      <w:rFonts w:hint="eastAsia"/>
                      <w:bCs/>
                      <w:color w:val="FF0000"/>
                      <w:sz w:val="18"/>
                      <w:szCs w:val="18"/>
                      <w:highlight w:val="none"/>
                      <w:lang w:val="en-US" w:eastAsia="zh-CN"/>
                    </w:rPr>
                    <w:t>900-249-08</w:t>
                  </w:r>
                </w:p>
              </w:tc>
              <w:tc>
                <w:tcPr>
                  <w:tcW w:w="1005" w:type="dxa"/>
                  <w:tcBorders>
                    <w:bottom w:val="single" w:color="auto" w:sz="12" w:space="0"/>
                  </w:tcBorders>
                  <w:shd w:val="clear" w:color="auto" w:fill="auto"/>
                  <w:noWrap w:val="0"/>
                  <w:vAlign w:val="center"/>
                </w:tcPr>
                <w:p w14:paraId="3075B8B3">
                  <w:pPr>
                    <w:keepNext w:val="0"/>
                    <w:keepLines w:val="0"/>
                    <w:suppressLineNumbers w:val="0"/>
                    <w:adjustRightInd w:val="0"/>
                    <w:snapToGrid w:val="0"/>
                    <w:spacing w:before="0" w:beforeAutospacing="0" w:after="0" w:afterAutospacing="0"/>
                    <w:ind w:left="0" w:right="0"/>
                    <w:jc w:val="center"/>
                    <w:rPr>
                      <w:rFonts w:hint="default"/>
                      <w:bCs/>
                      <w:color w:val="FF0000"/>
                      <w:sz w:val="18"/>
                      <w:szCs w:val="18"/>
                      <w:highlight w:val="none"/>
                      <w:lang w:val="en-US" w:eastAsia="zh-CN"/>
                    </w:rPr>
                  </w:pPr>
                  <w:r>
                    <w:rPr>
                      <w:rFonts w:hint="eastAsia"/>
                      <w:bCs/>
                      <w:color w:val="FF0000"/>
                      <w:sz w:val="18"/>
                      <w:szCs w:val="18"/>
                      <w:highlight w:val="none"/>
                      <w:lang w:val="en-US" w:eastAsia="zh-CN"/>
                    </w:rPr>
                    <w:t>0.01t</w:t>
                  </w:r>
                </w:p>
              </w:tc>
              <w:tc>
                <w:tcPr>
                  <w:tcW w:w="1544" w:type="dxa"/>
                  <w:tcBorders>
                    <w:bottom w:val="single" w:color="auto" w:sz="12" w:space="0"/>
                  </w:tcBorders>
                  <w:shd w:val="clear" w:color="auto" w:fill="auto"/>
                  <w:noWrap w:val="0"/>
                  <w:vAlign w:val="center"/>
                </w:tcPr>
                <w:p w14:paraId="1BD4452E">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FF0000"/>
                      <w:sz w:val="18"/>
                      <w:szCs w:val="18"/>
                      <w:highlight w:val="none"/>
                      <w:lang w:val="en-US" w:eastAsia="zh-CN"/>
                    </w:rPr>
                  </w:pPr>
                  <w:r>
                    <w:rPr>
                      <w:rFonts w:hint="eastAsia" w:ascii="Times New Roman" w:hAnsi="Times New Roman" w:eastAsia="宋体" w:cs="Times New Roman"/>
                      <w:bCs/>
                      <w:color w:val="FF0000"/>
                      <w:sz w:val="18"/>
                      <w:szCs w:val="18"/>
                      <w:highlight w:val="none"/>
                      <w:lang w:val="en-US" w:eastAsia="zh-CN"/>
                    </w:rPr>
                    <w:t>暂存</w:t>
                  </w:r>
                  <w:r>
                    <w:rPr>
                      <w:rFonts w:hint="eastAsia"/>
                      <w:color w:val="FF0000"/>
                      <w:sz w:val="18"/>
                      <w:szCs w:val="18"/>
                      <w:highlight w:val="none"/>
                      <w:lang w:val="en-US" w:eastAsia="zh-CN"/>
                    </w:rPr>
                    <w:t>危险废物贮存点</w:t>
                  </w:r>
                </w:p>
              </w:tc>
              <w:tc>
                <w:tcPr>
                  <w:tcW w:w="903" w:type="dxa"/>
                  <w:tcBorders>
                    <w:bottom w:val="single" w:color="auto" w:sz="12" w:space="0"/>
                  </w:tcBorders>
                  <w:shd w:val="clear" w:color="auto" w:fill="auto"/>
                  <w:noWrap w:val="0"/>
                  <w:vAlign w:val="center"/>
                </w:tcPr>
                <w:p w14:paraId="00CE2340">
                  <w:pPr>
                    <w:keepNext w:val="0"/>
                    <w:keepLines w:val="0"/>
                    <w:suppressLineNumbers w:val="0"/>
                    <w:spacing w:before="0" w:beforeAutospacing="0" w:after="0" w:afterAutospacing="0"/>
                    <w:ind w:left="0" w:right="0"/>
                    <w:jc w:val="center"/>
                    <w:rPr>
                      <w:rFonts w:hint="eastAsia" w:cs="Times New Roman"/>
                      <w:bCs/>
                      <w:color w:val="FF0000"/>
                      <w:sz w:val="18"/>
                      <w:szCs w:val="18"/>
                      <w:highlight w:val="none"/>
                      <w:lang w:val="en-US" w:eastAsia="zh-CN"/>
                    </w:rPr>
                  </w:pPr>
                  <w:r>
                    <w:rPr>
                      <w:rFonts w:hint="eastAsia" w:cs="Times New Roman"/>
                      <w:bCs/>
                      <w:color w:val="FF0000"/>
                      <w:sz w:val="18"/>
                      <w:szCs w:val="18"/>
                      <w:highlight w:val="none"/>
                      <w:lang w:val="en-US" w:eastAsia="zh-CN"/>
                    </w:rPr>
                    <w:t>20kg</w:t>
                  </w:r>
                </w:p>
              </w:tc>
              <w:tc>
                <w:tcPr>
                  <w:tcW w:w="899" w:type="dxa"/>
                  <w:tcBorders>
                    <w:bottom w:val="single" w:color="auto" w:sz="12" w:space="0"/>
                  </w:tcBorders>
                  <w:shd w:val="clear" w:color="auto" w:fill="auto"/>
                  <w:noWrap w:val="0"/>
                  <w:vAlign w:val="center"/>
                </w:tcPr>
                <w:p w14:paraId="3D3CB77B">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Cs/>
                      <w:color w:val="FF0000"/>
                      <w:kern w:val="2"/>
                      <w:sz w:val="18"/>
                      <w:szCs w:val="18"/>
                      <w:highlight w:val="none"/>
                      <w:lang w:val="en-US" w:eastAsia="zh-CN" w:bidi="ar-SA"/>
                    </w:rPr>
                  </w:pPr>
                  <w:r>
                    <w:rPr>
                      <w:rFonts w:hint="eastAsia" w:cs="Times New Roman"/>
                      <w:bCs/>
                      <w:color w:val="FF0000"/>
                      <w:sz w:val="18"/>
                      <w:szCs w:val="18"/>
                      <w:highlight w:val="none"/>
                      <w:lang w:val="en-US" w:eastAsia="zh-CN"/>
                    </w:rPr>
                    <w:t>100</w:t>
                  </w:r>
                  <w:r>
                    <w:rPr>
                      <w:rFonts w:hint="eastAsia" w:ascii="Times New Roman" w:hAnsi="Times New Roman" w:eastAsia="宋体" w:cs="Times New Roman"/>
                      <w:bCs/>
                      <w:color w:val="FF0000"/>
                      <w:sz w:val="18"/>
                      <w:szCs w:val="18"/>
                      <w:highlight w:val="none"/>
                      <w:lang w:val="en-US" w:eastAsia="zh-CN"/>
                    </w:rPr>
                    <w:t>d</w:t>
                  </w:r>
                </w:p>
              </w:tc>
            </w:tr>
          </w:tbl>
          <w:p w14:paraId="11601ED1">
            <w:pPr>
              <w:pStyle w:val="45"/>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jc w:val="both"/>
              <w:textAlignment w:val="auto"/>
              <w:rPr>
                <w:rFonts w:hint="eastAsia" w:ascii="Times New Roman" w:hAnsi="Times New Roman" w:cs="Times New Roman"/>
                <w:b w:val="0"/>
                <w:bCs/>
                <w:color w:val="auto"/>
                <w:sz w:val="21"/>
                <w:szCs w:val="21"/>
                <w:lang w:val="en-US" w:eastAsia="zh-CN"/>
              </w:rPr>
            </w:pPr>
            <w:r>
              <w:rPr>
                <w:rFonts w:hint="eastAsia" w:cs="Times New Roman"/>
                <w:color w:val="auto"/>
                <w:kern w:val="2"/>
                <w:sz w:val="21"/>
                <w:szCs w:val="21"/>
                <w:lang w:val="en-US" w:eastAsia="zh-CN" w:bidi="ar-SA"/>
              </w:rPr>
              <w:t>②危废</w:t>
            </w:r>
            <w:r>
              <w:rPr>
                <w:rFonts w:hint="eastAsia" w:ascii="Times New Roman" w:hAnsi="Times New Roman" w:cs="Times New Roman"/>
                <w:b w:val="0"/>
                <w:bCs/>
                <w:color w:val="auto"/>
                <w:sz w:val="21"/>
                <w:szCs w:val="21"/>
                <w:lang w:val="en-US" w:eastAsia="zh-CN"/>
              </w:rPr>
              <w:t>贮存点贮存可行性分析</w:t>
            </w:r>
          </w:p>
          <w:p w14:paraId="162E880E">
            <w:pPr>
              <w:pStyle w:val="45"/>
              <w:keepNext w:val="0"/>
              <w:keepLines w:val="0"/>
              <w:pageBreakBefore w:val="0"/>
              <w:widowControl/>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20" w:firstLineChars="200"/>
              <w:jc w:val="both"/>
              <w:textAlignment w:val="auto"/>
              <w:rPr>
                <w:rFonts w:hint="eastAsia" w:cs="Times New Roman"/>
                <w:color w:val="FF0000"/>
                <w:kern w:val="21"/>
                <w:sz w:val="21"/>
                <w:szCs w:val="21"/>
                <w:highlight w:val="none"/>
                <w:lang w:eastAsia="zh-CN"/>
              </w:rPr>
            </w:pPr>
            <w:r>
              <w:rPr>
                <w:rFonts w:hint="eastAsia" w:ascii="Times New Roman" w:hAnsi="Times New Roman" w:cs="Times New Roman"/>
                <w:b w:val="0"/>
                <w:bCs/>
                <w:color w:val="FF0000"/>
                <w:sz w:val="21"/>
                <w:szCs w:val="21"/>
                <w:lang w:val="en-US" w:eastAsia="zh-CN"/>
              </w:rPr>
              <w:t>本项目危险废物产生量约为0.03t/a，新建危险废物贮存点位于库房，面积4m</w:t>
            </w:r>
            <w:r>
              <w:rPr>
                <w:rFonts w:hint="eastAsia" w:ascii="Times New Roman" w:hAnsi="Times New Roman" w:cs="Times New Roman"/>
                <w:b w:val="0"/>
                <w:bCs/>
                <w:color w:val="FF0000"/>
                <w:sz w:val="21"/>
                <w:szCs w:val="21"/>
                <w:vertAlign w:val="superscript"/>
                <w:lang w:val="en-US" w:eastAsia="zh-CN"/>
              </w:rPr>
              <w:t>2</w:t>
            </w:r>
            <w:r>
              <w:rPr>
                <w:rFonts w:hint="eastAsia" w:ascii="Times New Roman" w:hAnsi="Times New Roman" w:cs="Times New Roman"/>
                <w:b w:val="0"/>
                <w:bCs/>
                <w:color w:val="FF0000"/>
                <w:sz w:val="21"/>
                <w:szCs w:val="21"/>
                <w:lang w:val="en-US" w:eastAsia="zh-CN"/>
              </w:rPr>
              <w:t>，危险废物贮存点</w:t>
            </w:r>
            <w:r>
              <w:rPr>
                <w:rFonts w:hint="eastAsia" w:ascii="Times New Roman" w:hAnsi="Times New Roman" w:eastAsia="宋体" w:cs="Times New Roman"/>
                <w:color w:val="FF0000"/>
                <w:sz w:val="21"/>
                <w:szCs w:val="21"/>
                <w:highlight w:val="none"/>
                <w:lang w:val="en-US" w:eastAsia="zh-CN"/>
              </w:rPr>
              <w:t>地面与裙脚采取重点防渗</w:t>
            </w:r>
            <w:r>
              <w:rPr>
                <w:rFonts w:hint="eastAsia" w:cs="Times New Roman"/>
                <w:color w:val="FF0000"/>
                <w:sz w:val="21"/>
                <w:szCs w:val="21"/>
                <w:highlight w:val="none"/>
                <w:lang w:val="en-US" w:eastAsia="zh-CN"/>
              </w:rPr>
              <w:t>，采用至少</w:t>
            </w:r>
            <w:r>
              <w:rPr>
                <w:rFonts w:hint="default" w:ascii="Times New Roman" w:hAnsi="Times New Roman" w:cs="Times New Roman"/>
                <w:color w:val="FF0000"/>
                <w:sz w:val="21"/>
                <w:szCs w:val="21"/>
                <w:highlight w:val="none"/>
                <w:lang w:val="en-US" w:eastAsia="zh-CN"/>
              </w:rPr>
              <w:t>2mm</w:t>
            </w:r>
            <w:r>
              <w:rPr>
                <w:rFonts w:hint="eastAsia" w:cs="Times New Roman"/>
                <w:color w:val="FF0000"/>
                <w:sz w:val="21"/>
                <w:szCs w:val="21"/>
                <w:highlight w:val="none"/>
                <w:lang w:val="en-US" w:eastAsia="zh-CN"/>
              </w:rPr>
              <w:t>厚的防渗人工材料，防渗系数≤</w:t>
            </w:r>
            <w:r>
              <w:rPr>
                <w:rFonts w:hint="default" w:ascii="Times New Roman" w:hAnsi="Times New Roman" w:cs="Times New Roman"/>
                <w:color w:val="FF0000"/>
                <w:sz w:val="21"/>
                <w:szCs w:val="21"/>
                <w:highlight w:val="none"/>
                <w:lang w:val="en-US" w:eastAsia="zh-CN"/>
              </w:rPr>
              <w:t>10</w:t>
            </w:r>
            <w:r>
              <w:rPr>
                <w:rFonts w:hint="default" w:ascii="Times New Roman" w:hAnsi="Times New Roman" w:cs="Times New Roman"/>
                <w:color w:val="FF0000"/>
                <w:sz w:val="21"/>
                <w:szCs w:val="21"/>
                <w:highlight w:val="none"/>
                <w:vertAlign w:val="superscript"/>
                <w:lang w:val="en-US" w:eastAsia="zh-CN"/>
              </w:rPr>
              <w:t>-10</w:t>
            </w:r>
            <w:r>
              <w:rPr>
                <w:rFonts w:hint="default" w:ascii="Times New Roman" w:hAnsi="Times New Roman" w:cs="Times New Roman"/>
                <w:color w:val="FF0000"/>
                <w:sz w:val="21"/>
                <w:szCs w:val="21"/>
                <w:highlight w:val="none"/>
                <w:lang w:val="en-US" w:eastAsia="zh-CN"/>
              </w:rPr>
              <w:t>cm/s</w:t>
            </w:r>
            <w:r>
              <w:rPr>
                <w:rFonts w:hint="default" w:ascii="Times New Roman" w:hAnsi="Times New Roman" w:cs="Times New Roman"/>
                <w:b w:val="0"/>
                <w:bCs/>
                <w:color w:val="FF0000"/>
                <w:sz w:val="21"/>
                <w:szCs w:val="21"/>
                <w:lang w:val="en-US" w:eastAsia="zh-CN"/>
              </w:rPr>
              <w:t>，</w:t>
            </w:r>
            <w:r>
              <w:rPr>
                <w:rFonts w:hint="eastAsia" w:ascii="Times New Roman" w:hAnsi="Times New Roman" w:cs="Times New Roman"/>
                <w:b w:val="0"/>
                <w:bCs/>
                <w:color w:val="FF0000"/>
                <w:sz w:val="21"/>
                <w:szCs w:val="21"/>
                <w:lang w:val="en-US" w:eastAsia="zh-CN"/>
              </w:rPr>
              <w:t>满足《危险废物贮存污染控制标准》（GB18597-2023）。废机油在储存过程中，采用专用的密闭容器存储，容器外侧粘贴符合标准要求的醒目标签。建设单位对危废贮存场的设计、建设和管理严格按照《危险废物贮存污染控制标准》（GB18597-2023）、《环境保护图形标志、固体废物贮存（处置）场》（GB15562.2）和《危险废物收集、贮存、运输技术规范》（HJ2025-2012）的规定进行。因此，危险废物贮存点能够满足本项目要求。</w:t>
            </w:r>
          </w:p>
          <w:p w14:paraId="4B000B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 w:val="21"/>
                <w:szCs w:val="21"/>
                <w:highlight w:val="none"/>
              </w:rPr>
            </w:pPr>
            <w:r>
              <w:rPr>
                <w:rFonts w:hint="eastAsia" w:cs="Times New Roman"/>
                <w:color w:val="auto"/>
                <w:kern w:val="21"/>
                <w:sz w:val="21"/>
                <w:szCs w:val="21"/>
                <w:highlight w:val="none"/>
                <w:lang w:eastAsia="zh-CN"/>
              </w:rPr>
              <w:t>（</w:t>
            </w:r>
            <w:r>
              <w:rPr>
                <w:rFonts w:hint="eastAsia" w:ascii="Times New Roman" w:hAnsi="Times New Roman" w:eastAsia="宋体" w:cs="Times New Roman"/>
                <w:color w:val="auto"/>
                <w:kern w:val="21"/>
                <w:sz w:val="21"/>
                <w:szCs w:val="21"/>
                <w:highlight w:val="none"/>
                <w:lang w:val="en-US" w:eastAsia="zh-CN"/>
              </w:rPr>
              <w:t>3</w:t>
            </w:r>
            <w:r>
              <w:rPr>
                <w:rFonts w:hint="default" w:ascii="Times New Roman" w:hAnsi="Times New Roman" w:eastAsia="宋体" w:cs="Times New Roman"/>
                <w:color w:val="auto"/>
                <w:kern w:val="21"/>
                <w:sz w:val="21"/>
                <w:szCs w:val="21"/>
                <w:highlight w:val="none"/>
              </w:rPr>
              <w:t>）环境管理</w:t>
            </w:r>
            <w:r>
              <w:rPr>
                <w:rFonts w:hint="default" w:ascii="Times New Roman" w:hAnsi="Times New Roman" w:cs="Times New Roman"/>
                <w:bCs/>
                <w:color w:val="auto"/>
                <w:sz w:val="21"/>
                <w:szCs w:val="21"/>
                <w:highlight w:val="none"/>
              </w:rPr>
              <w:t>要求</w:t>
            </w:r>
          </w:p>
          <w:p w14:paraId="07E0CC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一般固体废物环境管理要求</w:t>
            </w:r>
          </w:p>
          <w:p w14:paraId="5FFAA8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w:t>
            </w:r>
            <w:r>
              <w:rPr>
                <w:rFonts w:hint="eastAsia" w:ascii="Times New Roman" w:hAnsi="Times New Roman" w:eastAsia="宋体" w:cs="Times New Roman"/>
                <w:color w:val="auto"/>
                <w:kern w:val="2"/>
                <w:sz w:val="21"/>
                <w:szCs w:val="21"/>
                <w:highlight w:val="none"/>
                <w:lang w:val="en-US" w:eastAsia="zh-CN" w:bidi="ar-SA"/>
              </w:rPr>
              <w:t>生活垃圾集中收集委托环卫部门处理，热风炉灰渣暂存密闭灰渣间，定期清运，不在厂区长期储存，</w:t>
            </w:r>
            <w:r>
              <w:rPr>
                <w:rFonts w:hint="eastAsia" w:cs="Times New Roman"/>
                <w:color w:val="auto"/>
                <w:kern w:val="2"/>
                <w:sz w:val="21"/>
                <w:szCs w:val="21"/>
                <w:highlight w:val="none"/>
                <w:lang w:val="en-US" w:eastAsia="zh-CN" w:bidi="ar-SA"/>
              </w:rPr>
              <w:t>外售综合利用</w:t>
            </w:r>
            <w:r>
              <w:rPr>
                <w:rFonts w:hint="eastAsia" w:ascii="Times New Roman" w:hAnsi="Times New Roman" w:eastAsia="宋体" w:cs="Times New Roman"/>
                <w:color w:val="auto"/>
                <w:kern w:val="2"/>
                <w:sz w:val="21"/>
                <w:szCs w:val="21"/>
                <w:highlight w:val="none"/>
                <w:lang w:val="en-US" w:eastAsia="zh-CN" w:bidi="ar-SA"/>
              </w:rPr>
              <w:t>，初清杂质及输送装卸过程产生的砂石杂质外售建材企业综合利用，烘干粉尘外售农户作为牲畜饲料综合利用，除尘器废布袋由除尘器厂家更换后回收。</w:t>
            </w:r>
          </w:p>
          <w:p w14:paraId="22598C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1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①</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2A1280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2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②</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禁止向生活垃圾收集设施中投放工业固体废物。</w:t>
            </w:r>
          </w:p>
          <w:p w14:paraId="0A632A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3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③</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2E8036F5">
            <w:pPr>
              <w:pStyle w:val="2"/>
              <w:keepNext w:val="0"/>
              <w:keepLines w:val="0"/>
              <w:suppressLineNumbers w:val="0"/>
              <w:tabs>
                <w:tab w:val="left" w:pos="395"/>
              </w:tabs>
              <w:spacing w:beforeAutospacing="0" w:afterAutospacing="0"/>
              <w:ind w:left="0" w:firstLine="420"/>
              <w:rPr>
                <w:rFonts w:hint="eastAsia" w:cs="Times New Roman"/>
                <w:color w:val="FF0000"/>
                <w:kern w:val="2"/>
                <w:sz w:val="21"/>
                <w:szCs w:val="21"/>
                <w:highlight w:val="none"/>
                <w:lang w:val="en-US" w:eastAsia="zh-CN" w:bidi="ar-SA"/>
              </w:rPr>
            </w:pPr>
            <w:r>
              <w:rPr>
                <w:rFonts w:hint="eastAsia" w:cs="Times New Roman"/>
                <w:color w:val="FF0000"/>
                <w:kern w:val="2"/>
                <w:sz w:val="21"/>
                <w:szCs w:val="21"/>
                <w:highlight w:val="none"/>
                <w:lang w:val="en-US" w:eastAsia="zh-CN" w:bidi="ar-SA"/>
              </w:rPr>
              <w:t>危险废物环境管理要求</w:t>
            </w:r>
          </w:p>
          <w:p w14:paraId="023C6EC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bCs/>
                <w:color w:val="FF0000"/>
                <w:sz w:val="21"/>
                <w:szCs w:val="21"/>
                <w:highlight w:val="none"/>
              </w:rPr>
            </w:pPr>
            <w:r>
              <w:rPr>
                <w:rFonts w:hint="default" w:ascii="Times New Roman" w:hAnsi="Times New Roman" w:cs="Times New Roman"/>
                <w:bCs/>
                <w:color w:val="FF0000"/>
                <w:sz w:val="21"/>
                <w:szCs w:val="21"/>
                <w:highlight w:val="none"/>
              </w:rPr>
              <w:t>本项目</w:t>
            </w:r>
            <w:r>
              <w:rPr>
                <w:rFonts w:hint="eastAsia" w:cs="Times New Roman"/>
                <w:bCs/>
                <w:color w:val="FF0000"/>
                <w:sz w:val="21"/>
                <w:szCs w:val="21"/>
                <w:highlight w:val="none"/>
                <w:lang w:eastAsia="zh-CN"/>
              </w:rPr>
              <w:t>危险废物贮存点</w:t>
            </w:r>
            <w:r>
              <w:rPr>
                <w:rFonts w:hint="default" w:ascii="Times New Roman" w:hAnsi="Times New Roman" w:cs="Times New Roman"/>
                <w:bCs/>
                <w:color w:val="FF0000"/>
                <w:sz w:val="21"/>
                <w:szCs w:val="21"/>
                <w:highlight w:val="none"/>
              </w:rPr>
              <w:t>的设置应按《危险废物贮存污染控制标准》（GB18597-20</w:t>
            </w:r>
            <w:r>
              <w:rPr>
                <w:rFonts w:hint="default" w:ascii="Times New Roman" w:hAnsi="Times New Roman" w:cs="Times New Roman"/>
                <w:bCs/>
                <w:color w:val="FF0000"/>
                <w:sz w:val="21"/>
                <w:szCs w:val="21"/>
                <w:highlight w:val="none"/>
                <w:lang w:val="en-US" w:eastAsia="zh-CN"/>
              </w:rPr>
              <w:t>23</w:t>
            </w:r>
            <w:r>
              <w:rPr>
                <w:rFonts w:hint="default" w:ascii="Times New Roman" w:hAnsi="Times New Roman" w:cs="Times New Roman"/>
                <w:bCs/>
                <w:color w:val="FF0000"/>
                <w:sz w:val="21"/>
                <w:szCs w:val="21"/>
                <w:highlight w:val="none"/>
              </w:rPr>
              <w:t>）相关要求进行设置，并做到以下几点：</w:t>
            </w:r>
          </w:p>
          <w:p w14:paraId="76AE7F9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2"/>
                <w:sz w:val="21"/>
                <w:szCs w:val="21"/>
                <w:lang w:val="en-US" w:eastAsia="zh-CN" w:bidi="ar-SA"/>
              </w:rPr>
            </w:pPr>
            <w:r>
              <w:rPr>
                <w:rFonts w:hint="eastAsia" w:ascii="宋体" w:hAnsi="宋体" w:eastAsia="宋体" w:cs="宋体"/>
                <w:color w:val="FF0000"/>
                <w:kern w:val="2"/>
                <w:sz w:val="21"/>
                <w:szCs w:val="21"/>
                <w:lang w:val="en-US" w:eastAsia="zh-CN" w:bidi="ar-SA"/>
              </w:rPr>
              <w:t>①贮存设施运行环境管理要求</w:t>
            </w:r>
          </w:p>
          <w:p w14:paraId="230D987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2"/>
                <w:sz w:val="21"/>
                <w:szCs w:val="21"/>
                <w:lang w:val="en-US" w:eastAsia="zh-CN" w:bidi="ar-SA"/>
              </w:rPr>
            </w:pPr>
            <w:r>
              <w:rPr>
                <w:rFonts w:hint="eastAsia" w:cs="Times New Roman"/>
                <w:bCs/>
                <w:color w:val="FF0000"/>
                <w:sz w:val="21"/>
                <w:szCs w:val="21"/>
                <w:highlight w:val="none"/>
                <w:lang w:val="en-US" w:eastAsia="zh-CN"/>
              </w:rPr>
              <w:t>A</w:t>
            </w:r>
            <w:r>
              <w:rPr>
                <w:rFonts w:hint="eastAsia" w:ascii="宋体" w:hAnsi="宋体" w:eastAsia="宋体" w:cs="宋体"/>
                <w:color w:val="FF0000"/>
                <w:kern w:val="2"/>
                <w:sz w:val="21"/>
                <w:szCs w:val="21"/>
                <w:lang w:val="en-US" w:eastAsia="zh-CN" w:bidi="ar-SA"/>
              </w:rPr>
              <w:t>危险废物存入贮存设施前应对危险废物类别和特性与危险废物标签等危险废物识别标志的一致性进行核验，不一致的或类别、特性不明的不应存入。</w:t>
            </w:r>
          </w:p>
          <w:p w14:paraId="357770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2"/>
                <w:sz w:val="21"/>
                <w:szCs w:val="21"/>
                <w:lang w:val="en-US" w:eastAsia="zh-CN" w:bidi="ar-SA"/>
              </w:rPr>
            </w:pPr>
            <w:r>
              <w:rPr>
                <w:rFonts w:hint="eastAsia" w:cs="Times New Roman"/>
                <w:bCs/>
                <w:color w:val="FF0000"/>
                <w:sz w:val="21"/>
                <w:szCs w:val="21"/>
                <w:highlight w:val="none"/>
                <w:lang w:val="en-US" w:eastAsia="zh-CN"/>
              </w:rPr>
              <w:t>B</w:t>
            </w:r>
            <w:r>
              <w:rPr>
                <w:rFonts w:hint="eastAsia" w:ascii="宋体" w:hAnsi="宋体" w:eastAsia="宋体" w:cs="宋体"/>
                <w:color w:val="FF0000"/>
                <w:kern w:val="2"/>
                <w:sz w:val="21"/>
                <w:szCs w:val="21"/>
                <w:lang w:val="en-US" w:eastAsia="zh-CN" w:bidi="ar-SA"/>
              </w:rPr>
              <w:t xml:space="preserve">应定期检查危险废物的贮存状况，及时清理贮存设施地面，更换破损泄漏的危险废物贮存容器和包装物，保证堆存危险废物的防雨、防风、防扬尘等设施功能完好。                              </w:t>
            </w:r>
          </w:p>
          <w:p w14:paraId="31AD64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2"/>
                <w:sz w:val="21"/>
                <w:szCs w:val="21"/>
                <w:lang w:val="en-US" w:eastAsia="zh-CN" w:bidi="ar-SA"/>
              </w:rPr>
            </w:pPr>
            <w:r>
              <w:rPr>
                <w:rFonts w:hint="eastAsia" w:cs="Times New Roman"/>
                <w:bCs/>
                <w:color w:val="FF0000"/>
                <w:sz w:val="21"/>
                <w:szCs w:val="21"/>
                <w:highlight w:val="none"/>
                <w:lang w:val="en-US" w:eastAsia="zh-CN"/>
              </w:rPr>
              <w:t>C</w:t>
            </w:r>
            <w:r>
              <w:rPr>
                <w:rFonts w:hint="eastAsia" w:ascii="宋体" w:hAnsi="宋体" w:eastAsia="宋体" w:cs="宋体"/>
                <w:color w:val="FF0000"/>
                <w:kern w:val="2"/>
                <w:sz w:val="21"/>
                <w:szCs w:val="21"/>
                <w:lang w:val="en-US" w:eastAsia="zh-CN" w:bidi="ar-SA"/>
              </w:rPr>
              <w:t>作业设备及车辆等结束作业离开贮存设施时，应对其残留的危险废物进行清理，清理的废物或清洗废水应收集处理。</w:t>
            </w:r>
          </w:p>
          <w:p w14:paraId="63E5E22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2"/>
                <w:sz w:val="21"/>
                <w:szCs w:val="21"/>
                <w:lang w:val="en-US" w:eastAsia="zh-CN" w:bidi="ar-SA"/>
              </w:rPr>
            </w:pPr>
            <w:r>
              <w:rPr>
                <w:rFonts w:hint="eastAsia" w:cs="Times New Roman"/>
                <w:bCs/>
                <w:color w:val="FF0000"/>
                <w:sz w:val="21"/>
                <w:szCs w:val="21"/>
                <w:highlight w:val="none"/>
                <w:lang w:val="en-US" w:eastAsia="zh-CN"/>
              </w:rPr>
              <w:t>D</w:t>
            </w:r>
            <w:r>
              <w:rPr>
                <w:rFonts w:hint="eastAsia" w:ascii="宋体" w:hAnsi="宋体" w:eastAsia="宋体" w:cs="宋体"/>
                <w:color w:val="FF0000"/>
                <w:kern w:val="2"/>
                <w:sz w:val="21"/>
                <w:szCs w:val="21"/>
                <w:lang w:val="en-US" w:eastAsia="zh-CN" w:bidi="ar-SA"/>
              </w:rPr>
              <w:t>贮存设施运行期间，应按国家有关标准和规定建立危险废物管理台账并保存。</w:t>
            </w:r>
          </w:p>
          <w:p w14:paraId="4E6BE3B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2"/>
                <w:sz w:val="21"/>
                <w:szCs w:val="21"/>
                <w:lang w:val="en-US" w:eastAsia="zh-CN" w:bidi="ar-SA"/>
              </w:rPr>
            </w:pPr>
            <w:r>
              <w:rPr>
                <w:rFonts w:hint="eastAsia" w:cs="Times New Roman"/>
                <w:bCs/>
                <w:color w:val="FF0000"/>
                <w:sz w:val="21"/>
                <w:szCs w:val="21"/>
                <w:highlight w:val="none"/>
                <w:lang w:val="en-US" w:eastAsia="zh-CN"/>
              </w:rPr>
              <w:t>E</w:t>
            </w:r>
            <w:r>
              <w:rPr>
                <w:rFonts w:hint="eastAsia" w:ascii="宋体" w:hAnsi="宋体" w:eastAsia="宋体" w:cs="宋体"/>
                <w:color w:val="FF0000"/>
                <w:kern w:val="2"/>
                <w:sz w:val="21"/>
                <w:szCs w:val="21"/>
                <w:lang w:val="en-US" w:eastAsia="zh-CN" w:bidi="ar-SA"/>
              </w:rPr>
              <w:t>贮存设施所有者或运营者应建立贮存设施环境管理制度、管理人员岗位职责制度、设施运行操作制度、人员岗位培训制度等。</w:t>
            </w:r>
          </w:p>
          <w:p w14:paraId="709FB43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2"/>
                <w:sz w:val="21"/>
                <w:szCs w:val="21"/>
                <w:lang w:val="en-US" w:eastAsia="zh-CN" w:bidi="ar-SA"/>
              </w:rPr>
            </w:pPr>
            <w:r>
              <w:rPr>
                <w:rFonts w:hint="eastAsia" w:cs="Times New Roman"/>
                <w:bCs/>
                <w:color w:val="FF0000"/>
                <w:sz w:val="21"/>
                <w:szCs w:val="21"/>
                <w:highlight w:val="none"/>
                <w:lang w:val="en-US" w:eastAsia="zh-CN"/>
              </w:rPr>
              <w:t>F</w:t>
            </w:r>
            <w:r>
              <w:rPr>
                <w:rFonts w:hint="eastAsia" w:ascii="宋体" w:hAnsi="宋体" w:eastAsia="宋体" w:cs="宋体"/>
                <w:color w:val="FF0000"/>
                <w:kern w:val="2"/>
                <w:sz w:val="21"/>
                <w:szCs w:val="21"/>
                <w:lang w:val="en-US" w:eastAsia="zh-CN" w:bidi="ar-SA"/>
              </w:rPr>
              <w:t>贮存设施所有者或运营者应依据国家土壤和地下水污染防治的有关规定，结合贮存设施特点建立土壤和地下水污染隐患排查制度，并定期开展隐患排查；发现隐患应及时采取措施消除隐患，并建立档案。</w:t>
            </w:r>
          </w:p>
          <w:p w14:paraId="111EE2B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2"/>
                <w:sz w:val="21"/>
                <w:szCs w:val="21"/>
                <w:lang w:val="en-US" w:eastAsia="zh-CN" w:bidi="ar-SA"/>
              </w:rPr>
            </w:pPr>
            <w:r>
              <w:rPr>
                <w:rFonts w:hint="eastAsia" w:cs="Times New Roman"/>
                <w:bCs/>
                <w:color w:val="FF0000"/>
                <w:sz w:val="21"/>
                <w:szCs w:val="21"/>
                <w:highlight w:val="none"/>
                <w:lang w:val="en-US" w:eastAsia="zh-CN"/>
              </w:rPr>
              <w:t>G</w:t>
            </w:r>
            <w:r>
              <w:rPr>
                <w:rFonts w:hint="eastAsia" w:ascii="宋体" w:hAnsi="宋体" w:eastAsia="宋体" w:cs="宋体"/>
                <w:color w:val="FF0000"/>
                <w:kern w:val="2"/>
                <w:sz w:val="21"/>
                <w:szCs w:val="21"/>
                <w:lang w:val="en-US" w:eastAsia="zh-CN" w:bidi="ar-SA"/>
              </w:rPr>
              <w:t>贮存设施所有者或运营者应建立贮存设施全部档案，包括设计、施工、验收、运行、监测和环境应急等，应按国家有关档案管理的法律法规进行整理和归档。</w:t>
            </w:r>
          </w:p>
          <w:p w14:paraId="3DC9A70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2"/>
                <w:sz w:val="21"/>
                <w:szCs w:val="21"/>
                <w:lang w:val="en-US" w:eastAsia="zh-CN" w:bidi="ar-SA"/>
              </w:rPr>
            </w:pPr>
            <w:r>
              <w:rPr>
                <w:rFonts w:hint="eastAsia" w:ascii="宋体" w:hAnsi="宋体" w:eastAsia="宋体" w:cs="宋体"/>
                <w:color w:val="FF0000"/>
                <w:kern w:val="2"/>
                <w:sz w:val="21"/>
                <w:szCs w:val="21"/>
                <w:lang w:val="en-US" w:eastAsia="zh-CN" w:bidi="ar-SA"/>
              </w:rPr>
              <w:t>②贮存点环境管理要求</w:t>
            </w:r>
          </w:p>
          <w:p w14:paraId="7D7328E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2"/>
                <w:sz w:val="21"/>
                <w:szCs w:val="21"/>
                <w:lang w:val="en-US" w:eastAsia="zh-CN" w:bidi="ar-SA"/>
              </w:rPr>
            </w:pPr>
            <w:r>
              <w:rPr>
                <w:rFonts w:hint="eastAsia" w:cs="Times New Roman"/>
                <w:bCs/>
                <w:color w:val="FF0000"/>
                <w:sz w:val="21"/>
                <w:szCs w:val="21"/>
                <w:highlight w:val="none"/>
                <w:lang w:val="en-US" w:eastAsia="zh-CN"/>
              </w:rPr>
              <w:t>A</w:t>
            </w:r>
            <w:r>
              <w:rPr>
                <w:rFonts w:hint="eastAsia" w:ascii="宋体" w:hAnsi="宋体" w:eastAsia="宋体" w:cs="宋体"/>
                <w:color w:val="FF0000"/>
                <w:kern w:val="2"/>
                <w:sz w:val="21"/>
                <w:szCs w:val="21"/>
                <w:lang w:val="en-US" w:eastAsia="zh-CN" w:bidi="ar-SA"/>
              </w:rPr>
              <w:t>贮存点应具有固定的区域边界，并应采取与其他区域进行隔离的措施。</w:t>
            </w:r>
          </w:p>
          <w:p w14:paraId="5F8B2FF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2"/>
                <w:sz w:val="21"/>
                <w:szCs w:val="21"/>
                <w:lang w:val="en-US" w:eastAsia="zh-CN" w:bidi="ar-SA"/>
              </w:rPr>
            </w:pPr>
            <w:r>
              <w:rPr>
                <w:rFonts w:hint="eastAsia" w:cs="Times New Roman"/>
                <w:bCs/>
                <w:color w:val="FF0000"/>
                <w:sz w:val="21"/>
                <w:szCs w:val="21"/>
                <w:highlight w:val="none"/>
                <w:lang w:val="en-US" w:eastAsia="zh-CN"/>
              </w:rPr>
              <w:t>B</w:t>
            </w:r>
            <w:r>
              <w:rPr>
                <w:rFonts w:hint="eastAsia" w:ascii="宋体" w:hAnsi="宋体" w:eastAsia="宋体" w:cs="宋体"/>
                <w:color w:val="FF0000"/>
                <w:kern w:val="2"/>
                <w:sz w:val="21"/>
                <w:szCs w:val="21"/>
                <w:lang w:val="en-US" w:eastAsia="zh-CN" w:bidi="ar-SA"/>
              </w:rPr>
              <w:t>贮存点应采取防风、防雨、防晒和防止危险废物流失、扬散等措施。</w:t>
            </w:r>
          </w:p>
          <w:p w14:paraId="3237FC4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2"/>
                <w:sz w:val="21"/>
                <w:szCs w:val="21"/>
                <w:lang w:val="en-US" w:eastAsia="zh-CN" w:bidi="ar-SA"/>
              </w:rPr>
            </w:pPr>
            <w:r>
              <w:rPr>
                <w:rFonts w:hint="eastAsia" w:cs="Times New Roman"/>
                <w:bCs/>
                <w:color w:val="FF0000"/>
                <w:sz w:val="21"/>
                <w:szCs w:val="21"/>
                <w:highlight w:val="none"/>
                <w:lang w:val="en-US" w:eastAsia="zh-CN"/>
              </w:rPr>
              <w:t>C</w:t>
            </w:r>
            <w:r>
              <w:rPr>
                <w:rFonts w:hint="eastAsia" w:ascii="宋体" w:hAnsi="宋体" w:eastAsia="宋体" w:cs="宋体"/>
                <w:color w:val="FF0000"/>
                <w:kern w:val="2"/>
                <w:sz w:val="21"/>
                <w:szCs w:val="21"/>
                <w:lang w:val="en-US" w:eastAsia="zh-CN" w:bidi="ar-SA"/>
              </w:rPr>
              <w:t>贮存点应根据危险废物的形态、物理化学性质、包装形式等，采取防渗、防漏等污染防治措施或采用具有相应功能的装置。</w:t>
            </w:r>
          </w:p>
          <w:p w14:paraId="5387BC2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2"/>
                <w:sz w:val="21"/>
                <w:szCs w:val="21"/>
                <w:lang w:val="en-US" w:eastAsia="zh-CN" w:bidi="ar-SA"/>
              </w:rPr>
            </w:pPr>
            <w:r>
              <w:rPr>
                <w:rFonts w:hint="eastAsia" w:cs="Times New Roman"/>
                <w:bCs/>
                <w:color w:val="FF0000"/>
                <w:sz w:val="21"/>
                <w:szCs w:val="21"/>
                <w:highlight w:val="none"/>
                <w:lang w:val="en-US" w:eastAsia="zh-CN"/>
              </w:rPr>
              <w:t>D</w:t>
            </w:r>
            <w:r>
              <w:rPr>
                <w:rFonts w:hint="eastAsia" w:ascii="宋体" w:hAnsi="宋体" w:eastAsia="宋体" w:cs="宋体"/>
                <w:color w:val="FF0000"/>
                <w:kern w:val="2"/>
                <w:sz w:val="21"/>
                <w:szCs w:val="21"/>
                <w:lang w:val="en-US" w:eastAsia="zh-CN" w:bidi="ar-SA"/>
              </w:rPr>
              <w:t>贮存点应及时清运贮存的危险废物，实时贮存量不应超过</w:t>
            </w:r>
            <w:r>
              <w:rPr>
                <w:rFonts w:hint="default" w:ascii="Times New Roman" w:hAnsi="Times New Roman" w:eastAsia="宋体" w:cs="Times New Roman"/>
                <w:color w:val="FF0000"/>
                <w:kern w:val="2"/>
                <w:sz w:val="21"/>
                <w:szCs w:val="21"/>
                <w:lang w:val="en-US" w:eastAsia="zh-CN" w:bidi="ar-SA"/>
              </w:rPr>
              <w:t>3</w:t>
            </w:r>
            <w:r>
              <w:rPr>
                <w:rFonts w:hint="eastAsia" w:ascii="宋体" w:hAnsi="宋体" w:eastAsia="宋体" w:cs="宋体"/>
                <w:color w:val="FF0000"/>
                <w:kern w:val="2"/>
                <w:sz w:val="21"/>
                <w:szCs w:val="21"/>
                <w:lang w:val="en-US" w:eastAsia="zh-CN" w:bidi="ar-SA"/>
              </w:rPr>
              <w:t>吨。</w:t>
            </w:r>
          </w:p>
          <w:p w14:paraId="3C6A76D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bCs/>
                <w:color w:val="FF0000"/>
                <w:sz w:val="21"/>
                <w:szCs w:val="21"/>
                <w:highlight w:val="none"/>
              </w:rPr>
            </w:pPr>
            <w:r>
              <w:rPr>
                <w:rFonts w:hint="eastAsia" w:cs="Times New Roman"/>
                <w:bCs/>
                <w:color w:val="FF0000"/>
                <w:sz w:val="21"/>
                <w:szCs w:val="21"/>
                <w:highlight w:val="none"/>
                <w:lang w:eastAsia="zh-CN"/>
              </w:rPr>
              <w:t>③</w:t>
            </w:r>
            <w:r>
              <w:rPr>
                <w:rFonts w:hint="default" w:ascii="Times New Roman" w:hAnsi="Times New Roman" w:cs="Times New Roman"/>
                <w:bCs/>
                <w:color w:val="FF0000"/>
                <w:sz w:val="21"/>
                <w:szCs w:val="21"/>
                <w:highlight w:val="none"/>
              </w:rPr>
              <w:t>对于委托处理的</w:t>
            </w:r>
            <w:r>
              <w:rPr>
                <w:rFonts w:hint="eastAsia" w:cs="Times New Roman"/>
                <w:bCs/>
                <w:color w:val="FF0000"/>
                <w:sz w:val="21"/>
                <w:szCs w:val="21"/>
                <w:highlight w:val="none"/>
                <w:lang w:eastAsia="zh-CN"/>
              </w:rPr>
              <w:t>危险废物</w:t>
            </w:r>
            <w:r>
              <w:rPr>
                <w:rFonts w:hint="default" w:ascii="Times New Roman" w:hAnsi="Times New Roman" w:cs="Times New Roman"/>
                <w:bCs/>
                <w:color w:val="FF0000"/>
                <w:sz w:val="21"/>
                <w:szCs w:val="21"/>
                <w:highlight w:val="none"/>
              </w:rPr>
              <w:t>，其运输转移过程中需做到以下几点：</w:t>
            </w:r>
          </w:p>
          <w:p w14:paraId="6D82504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bCs/>
                <w:color w:val="FF0000"/>
                <w:sz w:val="21"/>
                <w:szCs w:val="21"/>
                <w:highlight w:val="none"/>
              </w:rPr>
            </w:pPr>
            <w:r>
              <w:rPr>
                <w:rFonts w:hint="eastAsia" w:cs="Times New Roman"/>
                <w:bCs/>
                <w:color w:val="FF0000"/>
                <w:sz w:val="21"/>
                <w:szCs w:val="21"/>
                <w:highlight w:val="none"/>
                <w:lang w:val="en-US" w:eastAsia="zh-CN"/>
              </w:rPr>
              <w:t>A</w:t>
            </w:r>
            <w:r>
              <w:rPr>
                <w:rFonts w:hint="default" w:ascii="Times New Roman" w:hAnsi="Times New Roman" w:cs="Times New Roman"/>
                <w:bCs/>
                <w:color w:val="FF0000"/>
                <w:sz w:val="21"/>
                <w:szCs w:val="21"/>
                <w:highlight w:val="none"/>
              </w:rPr>
              <w:t>本项目危险废物必须及时运送至危险废物处置单位进行处置，运输过程必须符合国家对危险废物的运输要求。应由固废接收单位的专用车进行运输，该运输车辆须经主管单位检查，并持有有关单位签发的许可证，负责运输的司机应通过培训，持有证明文件。承载危险废物的车辆须有明显的标志或适当的危险符号，以引起注意。运输过程中要注意危险废物安全单独运输，固废的包装容器要注意密闭，以免在运输途中发生泄漏，从而危害环境；</w:t>
            </w:r>
          </w:p>
          <w:p w14:paraId="23CD4B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FF0000"/>
                <w:sz w:val="21"/>
                <w:szCs w:val="21"/>
                <w:highlight w:val="none"/>
                <w:lang w:val="en-US" w:eastAsia="zh-CN"/>
              </w:rPr>
            </w:pPr>
            <w:r>
              <w:rPr>
                <w:rFonts w:hint="eastAsia" w:ascii="Times New Roman" w:hAnsi="Times New Roman" w:eastAsia="宋体" w:cs="Times New Roman"/>
                <w:bCs/>
                <w:color w:val="FF0000"/>
                <w:sz w:val="21"/>
                <w:szCs w:val="21"/>
                <w:highlight w:val="none"/>
                <w:lang w:val="en-US" w:eastAsia="zh-CN"/>
              </w:rPr>
              <w:t>B</w:t>
            </w:r>
            <w:r>
              <w:rPr>
                <w:rFonts w:hint="default" w:ascii="Times New Roman" w:hAnsi="Times New Roman" w:eastAsia="宋体" w:cs="Times New Roman"/>
                <w:bCs/>
                <w:color w:val="FF0000"/>
                <w:sz w:val="21"/>
                <w:szCs w:val="21"/>
                <w:highlight w:val="none"/>
                <w:lang w:val="en-US" w:eastAsia="zh-CN"/>
              </w:rPr>
              <w:t>本项目在危险废物转移的过程中严格执行《危险废物转移管理办法》（生态环境部 公安部 交通运输部 部令 第23号），危险废物的转运</w:t>
            </w:r>
            <w:r>
              <w:rPr>
                <w:rFonts w:hint="eastAsia" w:ascii="Times New Roman" w:hAnsi="Times New Roman" w:eastAsia="宋体" w:cs="Times New Roman"/>
                <w:bCs/>
                <w:color w:val="FF0000"/>
                <w:sz w:val="21"/>
                <w:szCs w:val="21"/>
                <w:highlight w:val="none"/>
                <w:lang w:val="en-US" w:eastAsia="zh-CN"/>
              </w:rPr>
              <w:t>应当执行危险废物转移联单制度</w:t>
            </w:r>
            <w:r>
              <w:rPr>
                <w:rFonts w:hint="default" w:ascii="Times New Roman" w:hAnsi="Times New Roman" w:eastAsia="宋体" w:cs="Times New Roman"/>
                <w:bCs/>
                <w:color w:val="FF0000"/>
                <w:sz w:val="21"/>
                <w:szCs w:val="21"/>
                <w:highlight w:val="none"/>
                <w:lang w:val="en-US" w:eastAsia="zh-CN"/>
              </w:rPr>
              <w:t>，</w:t>
            </w:r>
            <w:r>
              <w:rPr>
                <w:rFonts w:hint="eastAsia" w:ascii="Times New Roman" w:hAnsi="Times New Roman" w:eastAsia="宋体" w:cs="Times New Roman"/>
                <w:bCs/>
                <w:color w:val="FF0000"/>
                <w:sz w:val="21"/>
                <w:szCs w:val="21"/>
                <w:highlight w:val="none"/>
                <w:lang w:val="en-US" w:eastAsia="zh-CN"/>
              </w:rPr>
              <w:t>填写、运行危险废物转移联单，在危险废物转移联单中如实填写移出人、承运人、接受人信息，转移危险废物的种类、重量（数量）、危险特性等信息，以及突发环境事件的防范措施等；危险废物电子转移联单数据应当在信息系统中至少保存十年。因特殊原因无法运行危险废物电子转移联单的，可以先使用纸质转移联单，并于转移活动完成后十个工作日内在信息系统中补录电子转移联单。</w:t>
            </w:r>
          </w:p>
          <w:p w14:paraId="48FF6B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olor w:val="FF0000"/>
                <w:lang w:val="en-US" w:eastAsia="zh-CN"/>
              </w:rPr>
            </w:pPr>
            <w:r>
              <w:rPr>
                <w:rFonts w:hint="eastAsia" w:cs="Times New Roman"/>
                <w:bCs/>
                <w:color w:val="FF0000"/>
                <w:sz w:val="21"/>
                <w:szCs w:val="21"/>
                <w:highlight w:val="none"/>
                <w:lang w:val="en-US" w:eastAsia="zh-CN"/>
              </w:rPr>
              <w:t>C</w:t>
            </w:r>
            <w:r>
              <w:rPr>
                <w:rFonts w:hint="default" w:ascii="Times New Roman" w:hAnsi="Times New Roman" w:eastAsia="宋体" w:cs="Times New Roman"/>
                <w:bCs/>
                <w:color w:val="FF0000"/>
                <w:sz w:val="21"/>
                <w:szCs w:val="21"/>
                <w:highlight w:val="none"/>
              </w:rPr>
              <w:t>载有危险废物的车辆在公路上行驶时，需持有运输许可证，其上应注明废物来源、性质和运往地点。装载危险废物车辆的行驶路线须绕开人口密集的居民区和受保护的水体等环境保护目标。组织危险废物的运输单位，在事先需作出周密的运输计划和行驶路线，其中包括有效的废物</w:t>
            </w:r>
            <w:r>
              <w:rPr>
                <w:rFonts w:hint="eastAsia" w:cs="Times New Roman"/>
                <w:bCs/>
                <w:color w:val="FF0000"/>
                <w:sz w:val="21"/>
                <w:szCs w:val="21"/>
                <w:highlight w:val="none"/>
                <w:lang w:eastAsia="zh-CN"/>
              </w:rPr>
              <w:t>泄漏</w:t>
            </w:r>
            <w:r>
              <w:rPr>
                <w:rFonts w:hint="default" w:ascii="Times New Roman" w:hAnsi="Times New Roman" w:eastAsia="宋体" w:cs="Times New Roman"/>
                <w:bCs/>
                <w:color w:val="FF0000"/>
                <w:sz w:val="21"/>
                <w:szCs w:val="21"/>
                <w:highlight w:val="none"/>
              </w:rPr>
              <w:t>情况下的应急措施</w:t>
            </w:r>
            <w:r>
              <w:rPr>
                <w:rFonts w:hint="eastAsia" w:ascii="Times New Roman" w:hAnsi="Times New Roman" w:cs="Times New Roman"/>
                <w:bCs/>
                <w:color w:val="FF0000"/>
                <w:sz w:val="21"/>
                <w:szCs w:val="21"/>
                <w:highlight w:val="none"/>
                <w:lang w:eastAsia="zh-CN"/>
              </w:rPr>
              <w:t>。</w:t>
            </w:r>
          </w:p>
          <w:p w14:paraId="02C3EE37">
            <w:pPr>
              <w:pStyle w:val="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both"/>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w:t>
            </w:r>
            <w:r>
              <w:rPr>
                <w:rFonts w:hint="eastAsia" w:ascii="Times New Roman" w:hAnsi="Times New Roman" w:cs="Times New Roman"/>
                <w:color w:val="FF0000"/>
                <w:sz w:val="21"/>
                <w:szCs w:val="21"/>
                <w:highlight w:val="none"/>
                <w:lang w:val="en-US" w:eastAsia="zh-CN"/>
              </w:rPr>
              <w:t>4</w:t>
            </w:r>
            <w:r>
              <w:rPr>
                <w:rFonts w:hint="default" w:ascii="Times New Roman" w:hAnsi="Times New Roman" w:cs="Times New Roman"/>
                <w:color w:val="FF0000"/>
                <w:sz w:val="21"/>
                <w:szCs w:val="21"/>
                <w:highlight w:val="none"/>
              </w:rPr>
              <w:t>）环境影响分析</w:t>
            </w:r>
          </w:p>
          <w:p w14:paraId="0B618116">
            <w:pPr>
              <w:pStyle w:val="9"/>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both"/>
              <w:textAlignment w:val="auto"/>
              <w:rPr>
                <w:rFonts w:hint="eastAsia" w:cs="Times New Roman"/>
                <w:color w:val="FF0000"/>
                <w:kern w:val="21"/>
                <w:sz w:val="21"/>
                <w:szCs w:val="21"/>
                <w:highlight w:val="none"/>
                <w:lang w:eastAsia="zh-CN"/>
              </w:rPr>
            </w:pPr>
            <w:r>
              <w:rPr>
                <w:rFonts w:hint="default" w:ascii="Times New Roman" w:hAnsi="Times New Roman" w:cs="Times New Roman"/>
                <w:color w:val="FF0000"/>
                <w:sz w:val="21"/>
                <w:szCs w:val="21"/>
                <w:highlight w:val="none"/>
              </w:rPr>
              <w:t>本项目所产生的固体废物做到及时收集，妥善处置，本项目一般固体废物满足《一般工业固体废物贮存和填埋污染控制标准》（GB18599-2020）</w:t>
            </w:r>
            <w:r>
              <w:rPr>
                <w:rFonts w:hint="eastAsia" w:cs="Times New Roman"/>
                <w:color w:val="FF0000"/>
                <w:sz w:val="21"/>
                <w:szCs w:val="21"/>
                <w:highlight w:val="none"/>
                <w:lang w:eastAsia="zh-CN"/>
              </w:rPr>
              <w:t>、</w:t>
            </w:r>
            <w:r>
              <w:rPr>
                <w:rFonts w:hint="eastAsia"/>
                <w:bCs/>
                <w:color w:val="FF0000"/>
                <w:szCs w:val="21"/>
                <w:highlight w:val="none"/>
              </w:rPr>
              <w:t>《固体废物分类与代码</w:t>
            </w:r>
            <w:r>
              <w:rPr>
                <w:rFonts w:hint="eastAsia"/>
                <w:bCs/>
                <w:color w:val="FF0000"/>
                <w:szCs w:val="21"/>
                <w:highlight w:val="none"/>
                <w:lang w:eastAsia="zh-CN"/>
              </w:rPr>
              <w:t>目录</w:t>
            </w:r>
            <w:r>
              <w:rPr>
                <w:rFonts w:hint="eastAsia"/>
                <w:bCs/>
                <w:color w:val="FF0000"/>
                <w:szCs w:val="21"/>
                <w:highlight w:val="none"/>
              </w:rPr>
              <w:t>》（</w:t>
            </w:r>
            <w:r>
              <w:rPr>
                <w:rFonts w:hint="eastAsia"/>
                <w:bCs/>
                <w:color w:val="FF0000"/>
                <w:szCs w:val="21"/>
                <w:highlight w:val="none"/>
                <w:lang w:eastAsia="zh-CN"/>
              </w:rPr>
              <w:t>公告</w:t>
            </w:r>
            <w:r>
              <w:rPr>
                <w:rFonts w:hint="eastAsia"/>
                <w:bCs/>
                <w:color w:val="FF0000"/>
                <w:szCs w:val="21"/>
                <w:highlight w:val="none"/>
                <w:lang w:val="en-US" w:eastAsia="zh-CN"/>
              </w:rPr>
              <w:t>2024年第4号</w:t>
            </w:r>
            <w:r>
              <w:rPr>
                <w:rFonts w:hint="eastAsia"/>
                <w:bCs/>
                <w:color w:val="FF0000"/>
                <w:szCs w:val="21"/>
                <w:highlight w:val="none"/>
              </w:rPr>
              <w:t>）</w:t>
            </w:r>
            <w:r>
              <w:rPr>
                <w:rFonts w:hint="eastAsia" w:ascii="Times New Roman" w:hAnsi="Times New Roman" w:cs="Times New Roman"/>
                <w:color w:val="FF0000"/>
                <w:sz w:val="21"/>
                <w:szCs w:val="21"/>
                <w:highlight w:val="none"/>
                <w:lang w:eastAsia="zh-CN"/>
              </w:rPr>
              <w:t>，</w:t>
            </w:r>
            <w:r>
              <w:rPr>
                <w:rFonts w:hint="eastAsia" w:cs="Times New Roman"/>
                <w:color w:val="FF0000"/>
                <w:sz w:val="21"/>
                <w:szCs w:val="21"/>
                <w:highlight w:val="none"/>
                <w:lang w:eastAsia="zh-CN"/>
              </w:rPr>
              <w:t>危险废物满</w:t>
            </w:r>
            <w:r>
              <w:rPr>
                <w:rFonts w:hint="eastAsia" w:ascii="Times New Roman" w:hAnsi="Times New Roman" w:cs="Times New Roman"/>
                <w:color w:val="FF0000"/>
                <w:sz w:val="21"/>
                <w:szCs w:val="21"/>
                <w:highlight w:val="none"/>
                <w:lang w:eastAsia="zh-CN"/>
              </w:rPr>
              <w:t>足</w:t>
            </w:r>
            <w:r>
              <w:rPr>
                <w:rFonts w:hint="default" w:ascii="Times New Roman" w:hAnsi="Times New Roman" w:cs="Times New Roman"/>
                <w:color w:val="FF0000"/>
                <w:sz w:val="21"/>
                <w:szCs w:val="21"/>
                <w:highlight w:val="none"/>
                <w:lang w:eastAsia="zh-CN"/>
              </w:rPr>
              <w:t>《危险废物贮存污染控制标准</w:t>
            </w:r>
            <w:r>
              <w:rPr>
                <w:rFonts w:hint="eastAsia" w:ascii="Times New Roman" w:hAnsi="Times New Roman" w:cs="Times New Roman"/>
                <w:color w:val="FF0000"/>
                <w:sz w:val="21"/>
                <w:szCs w:val="21"/>
                <w:highlight w:val="none"/>
                <w:lang w:eastAsia="zh-CN"/>
              </w:rPr>
              <w:t>》、《国家危险废物名录（202</w:t>
            </w:r>
            <w:r>
              <w:rPr>
                <w:rFonts w:hint="eastAsia" w:cs="Times New Roman"/>
                <w:color w:val="FF0000"/>
                <w:sz w:val="21"/>
                <w:szCs w:val="21"/>
                <w:highlight w:val="none"/>
                <w:lang w:val="en-US" w:eastAsia="zh-CN"/>
              </w:rPr>
              <w:t>5</w:t>
            </w:r>
            <w:r>
              <w:rPr>
                <w:rFonts w:hint="eastAsia" w:ascii="Times New Roman" w:hAnsi="Times New Roman" w:cs="Times New Roman"/>
                <w:color w:val="FF0000"/>
                <w:sz w:val="21"/>
                <w:szCs w:val="21"/>
                <w:highlight w:val="none"/>
                <w:lang w:eastAsia="zh-CN"/>
              </w:rPr>
              <w:t xml:space="preserve"> 年版）》，</w:t>
            </w:r>
            <w:r>
              <w:rPr>
                <w:rFonts w:hint="default" w:ascii="Times New Roman" w:hAnsi="Times New Roman" w:cs="Times New Roman"/>
                <w:color w:val="FF0000"/>
                <w:sz w:val="21"/>
                <w:szCs w:val="21"/>
                <w:highlight w:val="none"/>
              </w:rPr>
              <w:t>本项目产生的固体废物</w:t>
            </w:r>
            <w:r>
              <w:rPr>
                <w:rFonts w:hint="eastAsia" w:cs="Times New Roman"/>
                <w:color w:val="FF0000"/>
                <w:sz w:val="21"/>
                <w:szCs w:val="21"/>
                <w:highlight w:val="none"/>
                <w:lang w:eastAsia="zh-CN"/>
              </w:rPr>
              <w:t>、危险废物</w:t>
            </w:r>
            <w:r>
              <w:rPr>
                <w:rFonts w:hint="default" w:ascii="Times New Roman" w:hAnsi="Times New Roman" w:cs="Times New Roman"/>
                <w:color w:val="FF0000"/>
                <w:sz w:val="21"/>
                <w:szCs w:val="21"/>
                <w:highlight w:val="none"/>
              </w:rPr>
              <w:t>经过妥善处理后，处置率达到100%不会影响周边环境。</w:t>
            </w:r>
          </w:p>
          <w:p w14:paraId="29CC1D3C">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leftChars="0" w:right="0"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5、土壤和地下水</w:t>
            </w:r>
          </w:p>
          <w:p w14:paraId="513124D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本项目</w:t>
            </w:r>
            <w:r>
              <w:rPr>
                <w:rFonts w:hint="eastAsia" w:ascii="Times New Roman" w:hAnsi="Times New Roman" w:cs="Times New Roman"/>
                <w:b w:val="0"/>
                <w:bCs/>
                <w:color w:val="auto"/>
                <w:sz w:val="21"/>
                <w:szCs w:val="21"/>
                <w:highlight w:val="none"/>
                <w:lang w:val="en-US" w:eastAsia="zh-CN"/>
              </w:rPr>
              <w:t>危险废物贮存点</w:t>
            </w:r>
            <w:r>
              <w:rPr>
                <w:rFonts w:hint="eastAsia" w:ascii="Times New Roman" w:hAnsi="Times New Roman" w:eastAsia="宋体" w:cs="Times New Roman"/>
                <w:bCs/>
                <w:color w:val="auto"/>
                <w:sz w:val="21"/>
                <w:szCs w:val="21"/>
                <w:highlight w:val="none"/>
                <w:lang w:val="en-US" w:eastAsia="zh-CN"/>
              </w:rPr>
              <w:t>地面与裙脚</w:t>
            </w:r>
            <w:r>
              <w:rPr>
                <w:rFonts w:hint="eastAsia" w:ascii="Times New Roman" w:hAnsi="Times New Roman" w:cs="Times New Roman"/>
                <w:bCs/>
                <w:color w:val="auto"/>
                <w:sz w:val="21"/>
                <w:szCs w:val="21"/>
                <w:highlight w:val="none"/>
                <w:lang w:val="en-US" w:eastAsia="zh-CN"/>
              </w:rPr>
              <w:t>采取重点防渗</w:t>
            </w:r>
            <w:r>
              <w:rPr>
                <w:rFonts w:hint="eastAsia" w:ascii="Times New Roman" w:hAnsi="Times New Roman" w:cs="Times New Roman"/>
                <w:b w:val="0"/>
                <w:bCs/>
                <w:color w:val="auto"/>
                <w:sz w:val="21"/>
                <w:szCs w:val="21"/>
                <w:highlight w:val="none"/>
                <w:lang w:val="en-US" w:eastAsia="zh-CN"/>
              </w:rPr>
              <w:t>，</w:t>
            </w:r>
            <w:r>
              <w:rPr>
                <w:rFonts w:hint="eastAsia" w:cs="Times New Roman"/>
                <w:b w:val="0"/>
                <w:bCs/>
                <w:color w:val="auto"/>
                <w:sz w:val="21"/>
                <w:szCs w:val="21"/>
                <w:highlight w:val="none"/>
                <w:lang w:val="en-US" w:eastAsia="zh-CN"/>
              </w:rPr>
              <w:t>采用</w:t>
            </w:r>
            <w:r>
              <w:rPr>
                <w:rFonts w:hint="eastAsia" w:ascii="Times New Roman" w:hAnsi="Times New Roman" w:cs="Times New Roman"/>
                <w:b w:val="0"/>
                <w:bCs/>
                <w:color w:val="auto"/>
                <w:sz w:val="21"/>
                <w:szCs w:val="21"/>
                <w:highlight w:val="none"/>
                <w:lang w:val="en-US" w:eastAsia="zh-CN"/>
              </w:rPr>
              <w:t>至少2mm厚的防渗人工材料，防渗系数≤10-</w:t>
            </w:r>
            <w:r>
              <w:rPr>
                <w:rFonts w:hint="eastAsia" w:ascii="Times New Roman" w:hAnsi="Times New Roman" w:cs="Times New Roman"/>
                <w:b w:val="0"/>
                <w:bCs/>
                <w:color w:val="auto"/>
                <w:sz w:val="21"/>
                <w:szCs w:val="21"/>
                <w:highlight w:val="none"/>
                <w:vertAlign w:val="superscript"/>
                <w:lang w:val="en-US" w:eastAsia="zh-CN"/>
              </w:rPr>
              <w:t>10</w:t>
            </w:r>
            <w:r>
              <w:rPr>
                <w:rFonts w:hint="eastAsia" w:ascii="Times New Roman" w:hAnsi="Times New Roman" w:cs="Times New Roman"/>
                <w:b w:val="0"/>
                <w:bCs/>
                <w:color w:val="auto"/>
                <w:sz w:val="21"/>
                <w:szCs w:val="21"/>
                <w:highlight w:val="none"/>
                <w:lang w:val="en-US" w:eastAsia="zh-CN"/>
              </w:rPr>
              <w:t>cm/s，厂区内其他区域采取简单防渗，</w:t>
            </w:r>
            <w:r>
              <w:rPr>
                <w:rFonts w:hint="eastAsia" w:cs="Times New Roman"/>
                <w:b w:val="0"/>
                <w:bCs/>
                <w:color w:val="auto"/>
                <w:sz w:val="21"/>
                <w:szCs w:val="21"/>
                <w:highlight w:val="none"/>
                <w:lang w:val="en-US" w:eastAsia="zh-CN"/>
              </w:rPr>
              <w:t>采用</w:t>
            </w:r>
            <w:r>
              <w:rPr>
                <w:rFonts w:hint="eastAsia" w:ascii="Times New Roman" w:hAnsi="Times New Roman" w:cs="Times New Roman"/>
                <w:b w:val="0"/>
                <w:bCs/>
                <w:color w:val="auto"/>
                <w:sz w:val="21"/>
                <w:szCs w:val="21"/>
                <w:highlight w:val="none"/>
                <w:lang w:val="en-US" w:eastAsia="zh-CN"/>
              </w:rPr>
              <w:t>水泥硬化</w:t>
            </w:r>
            <w:r>
              <w:rPr>
                <w:rFonts w:hint="eastAsia" w:cs="Times New Roman"/>
                <w:b w:val="0"/>
                <w:bCs/>
                <w:color w:val="auto"/>
                <w:sz w:val="21"/>
                <w:szCs w:val="21"/>
                <w:highlight w:val="none"/>
                <w:lang w:val="en-US" w:eastAsia="zh-CN"/>
              </w:rPr>
              <w:t>，</w:t>
            </w:r>
            <w:r>
              <w:rPr>
                <w:rFonts w:hint="default" w:ascii="Times New Roman" w:hAnsi="Times New Roman" w:cs="Times New Roman"/>
                <w:b w:val="0"/>
                <w:bCs/>
                <w:color w:val="auto"/>
                <w:sz w:val="21"/>
                <w:szCs w:val="21"/>
                <w:highlight w:val="none"/>
                <w:lang w:val="en-US" w:eastAsia="zh-CN"/>
              </w:rPr>
              <w:t>不存在土壤、地下水环境污染途径，运营期无地下水、土壤跟踪监测要求。</w:t>
            </w:r>
          </w:p>
          <w:p w14:paraId="2D193713">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leftChars="0" w:right="0" w:firstLine="422" w:firstLineChars="200"/>
              <w:rPr>
                <w:rFonts w:hint="eastAsia" w:ascii="Times New Roman" w:hAnsi="Times New Roman" w:eastAsia="宋体" w:cs="Times New Roman"/>
                <w:b/>
                <w:color w:val="FF0000"/>
                <w:szCs w:val="21"/>
                <w:highlight w:val="none"/>
                <w:lang w:eastAsia="zh-CN"/>
              </w:rPr>
            </w:pPr>
            <w:r>
              <w:rPr>
                <w:rFonts w:hint="default" w:ascii="Times New Roman" w:hAnsi="Times New Roman" w:cs="Times New Roman"/>
                <w:b/>
                <w:color w:val="FF0000"/>
                <w:szCs w:val="21"/>
                <w:highlight w:val="none"/>
              </w:rPr>
              <w:t>6、环境风险</w:t>
            </w:r>
          </w:p>
          <w:p w14:paraId="2047E5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rPr>
              <w:t>（1）</w:t>
            </w:r>
            <w:r>
              <w:rPr>
                <w:rFonts w:hint="eastAsia" w:ascii="Times New Roman" w:hAnsi="Times New Roman" w:eastAsia="宋体" w:cs="Times New Roman"/>
                <w:color w:val="FF0000"/>
                <w:sz w:val="21"/>
                <w:szCs w:val="21"/>
                <w:highlight w:val="none"/>
                <w:lang w:val="en-US" w:eastAsia="zh-CN"/>
              </w:rPr>
              <w:t>环境风险识别</w:t>
            </w:r>
          </w:p>
          <w:p w14:paraId="60CC6F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FF0000"/>
                <w:sz w:val="21"/>
                <w:szCs w:val="21"/>
                <w:highlight w:val="none"/>
                <w:lang w:val="en-US"/>
              </w:rPr>
            </w:pPr>
            <w:r>
              <w:rPr>
                <w:rFonts w:hint="default" w:ascii="Times New Roman" w:hAnsi="Times New Roman" w:eastAsia="宋体" w:cs="Times New Roman"/>
                <w:color w:val="FF0000"/>
                <w:sz w:val="21"/>
                <w:szCs w:val="21"/>
                <w:highlight w:val="none"/>
                <w:lang w:val="en-US"/>
              </w:rPr>
              <w:t>依据《建设项目环境风险评价技术导则》（HJ169-2018）中的危险物质或危险化学品，对项目的环境风险物质进行判断，本项目</w:t>
            </w:r>
            <w:r>
              <w:rPr>
                <w:rFonts w:hint="eastAsia" w:cs="Times New Roman"/>
                <w:color w:val="FF0000"/>
                <w:sz w:val="21"/>
                <w:szCs w:val="21"/>
                <w:highlight w:val="none"/>
                <w:lang w:val="en-US" w:eastAsia="zh-CN"/>
              </w:rPr>
              <w:t>厂区内不贮存机油，设备更换机油期间临时外购，</w:t>
            </w:r>
            <w:r>
              <w:rPr>
                <w:rFonts w:hint="default" w:ascii="Times New Roman" w:hAnsi="Times New Roman" w:eastAsia="宋体" w:cs="Times New Roman"/>
                <w:color w:val="FF0000"/>
                <w:sz w:val="21"/>
                <w:szCs w:val="21"/>
                <w:highlight w:val="none"/>
                <w:lang w:val="en-US"/>
              </w:rPr>
              <w:t>风险物质主要</w:t>
            </w:r>
            <w:r>
              <w:rPr>
                <w:rFonts w:hint="eastAsia" w:ascii="Times New Roman" w:hAnsi="Times New Roman" w:eastAsia="宋体" w:cs="Times New Roman"/>
                <w:color w:val="FF0000"/>
                <w:sz w:val="21"/>
                <w:szCs w:val="21"/>
                <w:highlight w:val="none"/>
                <w:lang w:val="en-US" w:eastAsia="zh-CN"/>
              </w:rPr>
              <w:t>为废机油</w:t>
            </w:r>
            <w:r>
              <w:rPr>
                <w:rFonts w:hint="default" w:ascii="Times New Roman" w:hAnsi="Times New Roman" w:eastAsia="宋体" w:cs="Times New Roman"/>
                <w:color w:val="FF0000"/>
                <w:sz w:val="21"/>
                <w:szCs w:val="21"/>
                <w:highlight w:val="none"/>
                <w:lang w:val="en-US"/>
              </w:rPr>
              <w:t>。</w:t>
            </w:r>
          </w:p>
          <w:p w14:paraId="0953CB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（2）建设项目风险物质存储情况</w:t>
            </w:r>
          </w:p>
          <w:p w14:paraId="4C7ADF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rPr>
              <w:t>根据《建设项目环境风险评价技术导则》（HJ 169-2018）附录B可知，本项目风险物质主要为</w:t>
            </w:r>
            <w:r>
              <w:rPr>
                <w:rFonts w:hint="eastAsia" w:ascii="Times New Roman" w:hAnsi="Times New Roman" w:eastAsia="宋体" w:cs="Times New Roman"/>
                <w:color w:val="auto"/>
                <w:sz w:val="21"/>
                <w:szCs w:val="21"/>
                <w:highlight w:val="none"/>
                <w:lang w:val="en-US" w:eastAsia="zh-CN"/>
              </w:rPr>
              <w:t>废机油，</w:t>
            </w:r>
            <w:r>
              <w:rPr>
                <w:rFonts w:hint="eastAsia" w:hAnsi="宋体"/>
                <w:color w:val="auto"/>
                <w:sz w:val="21"/>
                <w:szCs w:val="21"/>
                <w:highlight w:val="none"/>
                <w:lang w:val="en-US" w:eastAsia="zh-CN"/>
              </w:rPr>
              <w:t>产生的废机油暂存在内的危险废物贮存点，</w:t>
            </w:r>
            <w:r>
              <w:rPr>
                <w:rFonts w:hint="eastAsia" w:cs="Times New Roman"/>
                <w:color w:val="auto"/>
                <w:sz w:val="21"/>
                <w:szCs w:val="21"/>
                <w:highlight w:val="none"/>
                <w:lang w:val="en-US" w:eastAsia="zh-CN"/>
              </w:rPr>
              <w:t>危险废物贮存点</w:t>
            </w:r>
            <w:r>
              <w:rPr>
                <w:rFonts w:hint="eastAsia" w:ascii="Times New Roman" w:hAnsi="Times New Roman" w:eastAsia="宋体" w:cs="Times New Roman"/>
                <w:color w:val="auto"/>
                <w:sz w:val="21"/>
                <w:szCs w:val="21"/>
                <w:highlight w:val="none"/>
                <w:lang w:val="en-US" w:eastAsia="zh-CN"/>
              </w:rPr>
              <w:t>内最大储存量</w:t>
            </w:r>
            <w:r>
              <w:rPr>
                <w:rFonts w:hint="eastAsia" w:cs="Times New Roman"/>
                <w:color w:val="auto"/>
                <w:sz w:val="21"/>
                <w:szCs w:val="21"/>
                <w:highlight w:val="none"/>
                <w:lang w:val="en-US" w:eastAsia="zh-CN"/>
              </w:rPr>
              <w:t>2</w:t>
            </w:r>
            <w:r>
              <w:rPr>
                <w:rFonts w:hint="eastAsia" w:ascii="Times New Roman" w:hAnsi="Times New Roman"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kg</w:t>
            </w:r>
            <w:r>
              <w:rPr>
                <w:rFonts w:hint="eastAsia" w:hAnsi="宋体"/>
                <w:color w:val="auto"/>
                <w:sz w:val="21"/>
                <w:szCs w:val="21"/>
                <w:highlight w:val="none"/>
                <w:lang w:val="en-US" w:eastAsia="zh-CN"/>
              </w:rPr>
              <w:t>。</w:t>
            </w:r>
          </w:p>
          <w:p w14:paraId="472B0EDB">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表4-1</w:t>
            </w:r>
            <w:r>
              <w:rPr>
                <w:rFonts w:hint="eastAsia" w:ascii="Times New Roman" w:hAnsi="Times New Roman" w:cs="Times New Roman"/>
                <w:b/>
                <w:bCs/>
                <w:color w:val="auto"/>
                <w:kern w:val="2"/>
                <w:sz w:val="21"/>
                <w:szCs w:val="21"/>
                <w:highlight w:val="none"/>
                <w:lang w:val="en-US" w:eastAsia="zh-CN" w:bidi="ar-SA"/>
              </w:rPr>
              <w:t>4</w:t>
            </w:r>
            <w:r>
              <w:rPr>
                <w:rFonts w:hint="eastAsia" w:ascii="Times New Roman" w:hAnsi="Times New Roman" w:eastAsia="宋体" w:cs="Times New Roman"/>
                <w:b/>
                <w:bCs/>
                <w:color w:val="auto"/>
                <w:kern w:val="2"/>
                <w:sz w:val="21"/>
                <w:szCs w:val="21"/>
                <w:highlight w:val="none"/>
                <w:lang w:val="en-US" w:eastAsia="zh-CN" w:bidi="ar-SA"/>
              </w:rPr>
              <w:t>环境风险物质统计表</w:t>
            </w:r>
          </w:p>
          <w:tbl>
            <w:tblPr>
              <w:tblStyle w:val="36"/>
              <w:tblW w:w="8096" w:type="dxa"/>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12"/>
              <w:gridCol w:w="3185"/>
              <w:gridCol w:w="1025"/>
              <w:gridCol w:w="1457"/>
              <w:gridCol w:w="1185"/>
              <w:gridCol w:w="732"/>
            </w:tblGrid>
            <w:tr w14:paraId="1029A3B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81" w:hRule="atLeast"/>
              </w:trPr>
              <w:tc>
                <w:tcPr>
                  <w:tcW w:w="316" w:type="pct"/>
                  <w:tcBorders>
                    <w:top w:val="single" w:color="000000" w:sz="12" w:space="0"/>
                  </w:tcBorders>
                  <w:noWrap w:val="0"/>
                  <w:vAlign w:val="center"/>
                </w:tcPr>
                <w:p w14:paraId="077DB47F">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序号</w:t>
                  </w:r>
                </w:p>
              </w:tc>
              <w:tc>
                <w:tcPr>
                  <w:tcW w:w="1967" w:type="pct"/>
                  <w:tcBorders>
                    <w:top w:val="single" w:color="000000" w:sz="12" w:space="0"/>
                  </w:tcBorders>
                  <w:noWrap w:val="0"/>
                  <w:vAlign w:val="center"/>
                </w:tcPr>
                <w:p w14:paraId="30F13A3B">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危险物质</w:t>
                  </w:r>
                </w:p>
              </w:tc>
              <w:tc>
                <w:tcPr>
                  <w:tcW w:w="633" w:type="pct"/>
                  <w:tcBorders>
                    <w:top w:val="single" w:color="000000" w:sz="12" w:space="0"/>
                  </w:tcBorders>
                  <w:noWrap w:val="0"/>
                  <w:vAlign w:val="center"/>
                </w:tcPr>
                <w:p w14:paraId="6A9DDD87">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CAS号</w:t>
                  </w:r>
                </w:p>
              </w:tc>
              <w:tc>
                <w:tcPr>
                  <w:tcW w:w="899" w:type="pct"/>
                  <w:tcBorders>
                    <w:top w:val="single" w:color="000000" w:sz="12" w:space="0"/>
                  </w:tcBorders>
                  <w:noWrap w:val="0"/>
                  <w:vAlign w:val="center"/>
                </w:tcPr>
                <w:p w14:paraId="7D3B9848">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最大储存量（t）</w:t>
                  </w:r>
                </w:p>
              </w:tc>
              <w:tc>
                <w:tcPr>
                  <w:tcW w:w="731" w:type="pct"/>
                  <w:tcBorders>
                    <w:top w:val="single" w:color="000000" w:sz="12" w:space="0"/>
                  </w:tcBorders>
                  <w:noWrap w:val="0"/>
                  <w:vAlign w:val="center"/>
                </w:tcPr>
                <w:p w14:paraId="03ED51DF">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临界量（t）</w:t>
                  </w:r>
                </w:p>
              </w:tc>
              <w:tc>
                <w:tcPr>
                  <w:tcW w:w="452" w:type="pct"/>
                  <w:tcBorders>
                    <w:top w:val="single" w:color="000000" w:sz="12" w:space="0"/>
                  </w:tcBorders>
                  <w:noWrap w:val="0"/>
                  <w:vAlign w:val="center"/>
                </w:tcPr>
                <w:p w14:paraId="51C30367">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q值</w:t>
                  </w:r>
                </w:p>
              </w:tc>
            </w:tr>
            <w:tr w14:paraId="59231818">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7" w:hRule="atLeast"/>
              </w:trPr>
              <w:tc>
                <w:tcPr>
                  <w:tcW w:w="316" w:type="pct"/>
                  <w:noWrap w:val="0"/>
                  <w:vAlign w:val="center"/>
                </w:tcPr>
                <w:p w14:paraId="4615E76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eastAsia"/>
                      <w:color w:val="auto"/>
                      <w:sz w:val="18"/>
                      <w:szCs w:val="18"/>
                    </w:rPr>
                  </w:pPr>
                  <w:r>
                    <w:rPr>
                      <w:rFonts w:hint="eastAsia"/>
                      <w:color w:val="auto"/>
                      <w:sz w:val="18"/>
                      <w:szCs w:val="18"/>
                    </w:rPr>
                    <w:t>1</w:t>
                  </w:r>
                </w:p>
              </w:tc>
              <w:tc>
                <w:tcPr>
                  <w:tcW w:w="1967" w:type="pct"/>
                  <w:noWrap w:val="0"/>
                  <w:vAlign w:val="center"/>
                </w:tcPr>
                <w:p w14:paraId="6F2F6E4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center"/>
                    <w:textAlignment w:val="auto"/>
                    <w:rPr>
                      <w:rFonts w:hint="eastAsia"/>
                      <w:color w:val="auto"/>
                      <w:sz w:val="18"/>
                      <w:szCs w:val="18"/>
                    </w:rPr>
                  </w:pPr>
                  <w:r>
                    <w:rPr>
                      <w:rFonts w:hint="eastAsia"/>
                      <w:color w:val="auto"/>
                      <w:sz w:val="18"/>
                      <w:szCs w:val="18"/>
                    </w:rPr>
                    <w:t>油类物质（矿物油类，如石油、汽油、柴油；生物柴油等）</w:t>
                  </w:r>
                </w:p>
              </w:tc>
              <w:tc>
                <w:tcPr>
                  <w:tcW w:w="633" w:type="pct"/>
                  <w:noWrap w:val="0"/>
                  <w:vAlign w:val="center"/>
                </w:tcPr>
                <w:p w14:paraId="02DD2D35">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w:t>
                  </w:r>
                </w:p>
              </w:tc>
              <w:tc>
                <w:tcPr>
                  <w:tcW w:w="899" w:type="pct"/>
                  <w:noWrap w:val="0"/>
                  <w:vAlign w:val="center"/>
                </w:tcPr>
                <w:p w14:paraId="4D487598">
                  <w:pPr>
                    <w:keepNext w:val="0"/>
                    <w:keepLines w:val="0"/>
                    <w:suppressLineNumbers w:val="0"/>
                    <w:bidi w:val="0"/>
                    <w:spacing w:before="0" w:beforeAutospacing="0" w:after="0" w:afterAutospacing="0"/>
                    <w:ind w:left="0" w:right="0"/>
                    <w:jc w:val="center"/>
                    <w:rPr>
                      <w:rFonts w:hint="default"/>
                      <w:color w:val="auto"/>
                      <w:sz w:val="18"/>
                      <w:szCs w:val="18"/>
                      <w:lang w:val="en-US" w:eastAsia="zh-CN"/>
                    </w:rPr>
                  </w:pPr>
                  <w:r>
                    <w:rPr>
                      <w:rFonts w:hint="eastAsia"/>
                      <w:color w:val="auto"/>
                      <w:sz w:val="18"/>
                      <w:szCs w:val="18"/>
                      <w:lang w:val="en-US" w:eastAsia="zh-CN"/>
                    </w:rPr>
                    <w:t>0.02</w:t>
                  </w:r>
                </w:p>
              </w:tc>
              <w:tc>
                <w:tcPr>
                  <w:tcW w:w="731" w:type="pct"/>
                  <w:noWrap w:val="0"/>
                  <w:vAlign w:val="center"/>
                </w:tcPr>
                <w:p w14:paraId="38F4F2EE">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2500</w:t>
                  </w:r>
                </w:p>
              </w:tc>
              <w:tc>
                <w:tcPr>
                  <w:tcW w:w="452" w:type="pct"/>
                  <w:noWrap w:val="0"/>
                  <w:vAlign w:val="center"/>
                </w:tcPr>
                <w:p w14:paraId="02AEFB6F">
                  <w:pPr>
                    <w:keepNext w:val="0"/>
                    <w:keepLines w:val="0"/>
                    <w:suppressLineNumbers w:val="0"/>
                    <w:bidi w:val="0"/>
                    <w:spacing w:before="0" w:beforeAutospacing="0" w:after="0" w:afterAutospacing="0"/>
                    <w:ind w:left="0" w:right="0"/>
                    <w:jc w:val="center"/>
                    <w:rPr>
                      <w:rFonts w:hint="default"/>
                      <w:color w:val="auto"/>
                      <w:sz w:val="18"/>
                      <w:szCs w:val="18"/>
                      <w:lang w:val="en-US" w:eastAsia="zh-CN"/>
                    </w:rPr>
                  </w:pPr>
                  <w:r>
                    <w:rPr>
                      <w:rFonts w:hint="eastAsia"/>
                      <w:color w:val="auto"/>
                      <w:sz w:val="18"/>
                      <w:szCs w:val="18"/>
                      <w:lang w:val="en-US" w:eastAsia="zh-CN"/>
                    </w:rPr>
                    <w:t>8.0</w:t>
                  </w:r>
                  <w:r>
                    <w:rPr>
                      <w:rFonts w:hint="default" w:ascii="Arial" w:hAnsi="Arial" w:cs="Arial"/>
                      <w:color w:val="auto"/>
                      <w:sz w:val="18"/>
                      <w:szCs w:val="18"/>
                      <w:lang w:val="en-US" w:eastAsia="zh-CN"/>
                    </w:rPr>
                    <w:t>×</w:t>
                  </w:r>
                  <w:r>
                    <w:rPr>
                      <w:rFonts w:hint="eastAsia"/>
                      <w:color w:val="auto"/>
                      <w:sz w:val="18"/>
                      <w:szCs w:val="18"/>
                      <w:lang w:val="en-US" w:eastAsia="zh-CN"/>
                    </w:rPr>
                    <w:t>10</w:t>
                  </w:r>
                  <w:r>
                    <w:rPr>
                      <w:rFonts w:hint="eastAsia"/>
                      <w:color w:val="auto"/>
                      <w:sz w:val="18"/>
                      <w:szCs w:val="18"/>
                      <w:vertAlign w:val="superscript"/>
                      <w:lang w:val="en-US" w:eastAsia="zh-CN"/>
                    </w:rPr>
                    <w:t>-6</w:t>
                  </w:r>
                </w:p>
              </w:tc>
            </w:tr>
            <w:tr w14:paraId="20CDC67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4547" w:type="pct"/>
                  <w:gridSpan w:val="5"/>
                  <w:tcBorders>
                    <w:bottom w:val="single" w:color="000000" w:sz="12" w:space="0"/>
                  </w:tcBorders>
                  <w:noWrap w:val="0"/>
                  <w:vAlign w:val="center"/>
                </w:tcPr>
                <w:p w14:paraId="0C631909">
                  <w:pPr>
                    <w:keepNext w:val="0"/>
                    <w:keepLines w:val="0"/>
                    <w:suppressLineNumbers w:val="0"/>
                    <w:bidi w:val="0"/>
                    <w:spacing w:before="0" w:beforeAutospacing="0" w:after="0" w:afterAutospacing="0"/>
                    <w:ind w:left="0" w:right="0"/>
                    <w:jc w:val="center"/>
                    <w:rPr>
                      <w:rFonts w:hint="eastAsia"/>
                      <w:color w:val="auto"/>
                      <w:sz w:val="18"/>
                      <w:szCs w:val="18"/>
                    </w:rPr>
                  </w:pPr>
                  <w:r>
                    <w:rPr>
                      <w:rFonts w:hint="eastAsia"/>
                      <w:color w:val="auto"/>
                      <w:sz w:val="18"/>
                      <w:szCs w:val="18"/>
                    </w:rPr>
                    <w:t>合计</w:t>
                  </w:r>
                </w:p>
              </w:tc>
              <w:tc>
                <w:tcPr>
                  <w:tcW w:w="452" w:type="pct"/>
                  <w:tcBorders>
                    <w:bottom w:val="single" w:color="000000" w:sz="12" w:space="0"/>
                  </w:tcBorders>
                  <w:noWrap w:val="0"/>
                  <w:vAlign w:val="center"/>
                </w:tcPr>
                <w:p w14:paraId="635A23DC">
                  <w:pPr>
                    <w:keepNext w:val="0"/>
                    <w:keepLines w:val="0"/>
                    <w:suppressLineNumbers w:val="0"/>
                    <w:bidi w:val="0"/>
                    <w:spacing w:before="0" w:beforeAutospacing="0" w:after="0" w:afterAutospacing="0"/>
                    <w:ind w:left="0" w:right="0"/>
                    <w:jc w:val="center"/>
                    <w:rPr>
                      <w:rFonts w:hint="eastAsia"/>
                      <w:color w:val="auto"/>
                      <w:sz w:val="18"/>
                      <w:szCs w:val="18"/>
                      <w:lang w:eastAsia="zh-CN"/>
                    </w:rPr>
                  </w:pPr>
                  <w:r>
                    <w:rPr>
                      <w:rFonts w:hint="eastAsia"/>
                      <w:color w:val="auto"/>
                      <w:sz w:val="18"/>
                      <w:szCs w:val="18"/>
                      <w:lang w:val="en-US" w:eastAsia="zh-CN"/>
                    </w:rPr>
                    <w:t>8.0</w:t>
                  </w:r>
                  <w:r>
                    <w:rPr>
                      <w:rFonts w:hint="default" w:ascii="Arial" w:hAnsi="Arial" w:cs="Arial"/>
                      <w:color w:val="auto"/>
                      <w:sz w:val="18"/>
                      <w:szCs w:val="18"/>
                      <w:lang w:val="en-US" w:eastAsia="zh-CN"/>
                    </w:rPr>
                    <w:t>×</w:t>
                  </w:r>
                  <w:r>
                    <w:rPr>
                      <w:rFonts w:hint="eastAsia"/>
                      <w:color w:val="auto"/>
                      <w:sz w:val="18"/>
                      <w:szCs w:val="18"/>
                      <w:lang w:val="en-US" w:eastAsia="zh-CN"/>
                    </w:rPr>
                    <w:t>10</w:t>
                  </w:r>
                  <w:r>
                    <w:rPr>
                      <w:rFonts w:hint="eastAsia"/>
                      <w:color w:val="auto"/>
                      <w:sz w:val="18"/>
                      <w:szCs w:val="18"/>
                      <w:vertAlign w:val="superscript"/>
                      <w:lang w:val="en-US" w:eastAsia="zh-CN"/>
                    </w:rPr>
                    <w:t>-6</w:t>
                  </w:r>
                </w:p>
              </w:tc>
            </w:tr>
          </w:tbl>
          <w:p w14:paraId="3D37B8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ascii="Times New Roman" w:hAnsi="Times New Roman" w:eastAsia="宋体" w:cs="Times New Roman"/>
                <w:b/>
                <w:bCs/>
                <w:color w:val="FF0000"/>
                <w:kern w:val="2"/>
                <w:sz w:val="21"/>
                <w:szCs w:val="21"/>
                <w:highlight w:val="none"/>
                <w:lang w:val="en-US" w:eastAsia="zh-CN" w:bidi="ar-SA"/>
              </w:rPr>
            </w:pPr>
            <w:r>
              <w:rPr>
                <w:rFonts w:hint="eastAsia" w:ascii="Times New Roman" w:hAnsi="Times New Roman" w:eastAsia="宋体" w:cs="Times New Roman"/>
                <w:b/>
                <w:bCs/>
                <w:color w:val="FF0000"/>
                <w:kern w:val="2"/>
                <w:sz w:val="21"/>
                <w:szCs w:val="21"/>
                <w:highlight w:val="none"/>
                <w:lang w:val="en-US" w:eastAsia="zh-CN" w:bidi="ar-SA"/>
              </w:rPr>
              <w:t>表4-1</w:t>
            </w:r>
            <w:r>
              <w:rPr>
                <w:rFonts w:hint="eastAsia" w:cs="Times New Roman"/>
                <w:b/>
                <w:bCs/>
                <w:color w:val="FF0000"/>
                <w:kern w:val="2"/>
                <w:sz w:val="21"/>
                <w:szCs w:val="21"/>
                <w:highlight w:val="none"/>
                <w:lang w:val="en-US" w:eastAsia="zh-CN" w:bidi="ar-SA"/>
              </w:rPr>
              <w:t>5废机油理化性质、危险特性一览</w:t>
            </w:r>
            <w:r>
              <w:rPr>
                <w:rFonts w:hint="eastAsia" w:ascii="Times New Roman" w:hAnsi="Times New Roman" w:eastAsia="宋体" w:cs="Times New Roman"/>
                <w:b/>
                <w:bCs/>
                <w:color w:val="FF0000"/>
                <w:kern w:val="2"/>
                <w:sz w:val="21"/>
                <w:szCs w:val="21"/>
                <w:highlight w:val="none"/>
                <w:lang w:val="en-US" w:eastAsia="zh-CN" w:bidi="ar-SA"/>
              </w:rPr>
              <w:t>表</w:t>
            </w:r>
          </w:p>
          <w:tbl>
            <w:tblPr>
              <w:tblStyle w:val="37"/>
              <w:tblW w:w="805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4"/>
              <w:gridCol w:w="578"/>
              <w:gridCol w:w="6996"/>
            </w:tblGrid>
            <w:tr w14:paraId="1B8A3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484" w:type="dxa"/>
                  <w:vMerge w:val="restart"/>
                  <w:tcBorders>
                    <w:tl2br w:val="nil"/>
                    <w:tr2bl w:val="nil"/>
                  </w:tcBorders>
                  <w:vAlign w:val="center"/>
                </w:tcPr>
                <w:p w14:paraId="4F7ABDE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eastAsia" w:ascii="Times New Roman" w:hAnsi="Times New Roman" w:eastAsia="宋体" w:cs="Times New Roman"/>
                      <w:b w:val="0"/>
                      <w:bCs w:val="0"/>
                      <w:color w:val="FF0000"/>
                      <w:kern w:val="2"/>
                      <w:sz w:val="18"/>
                      <w:szCs w:val="18"/>
                      <w:vertAlign w:val="baseline"/>
                      <w:lang w:val="en-US" w:eastAsia="zh-CN" w:bidi="ar-SA"/>
                    </w:rPr>
                    <w:t>理化性质</w:t>
                  </w:r>
                </w:p>
              </w:tc>
              <w:tc>
                <w:tcPr>
                  <w:tcW w:w="578" w:type="dxa"/>
                  <w:tcBorders>
                    <w:tl2br w:val="nil"/>
                    <w:tr2bl w:val="nil"/>
                  </w:tcBorders>
                  <w:vAlign w:val="center"/>
                </w:tcPr>
                <w:p w14:paraId="11A1B4D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外观与状态</w:t>
                  </w:r>
                </w:p>
              </w:tc>
              <w:tc>
                <w:tcPr>
                  <w:tcW w:w="6996" w:type="dxa"/>
                  <w:tcBorders>
                    <w:tl2br w:val="nil"/>
                    <w:tr2bl w:val="nil"/>
                  </w:tcBorders>
                  <w:vAlign w:val="center"/>
                </w:tcPr>
                <w:p w14:paraId="439FD03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常温下通常为深褐色至黑色的粘稠液体，部分因混入杂质（如金属碎屑、灰尘、水分）可能呈现浑浊状，流动性随温度变化明显，低温时粘度增大甚至凝固，高温时粘度降低。</w:t>
                  </w:r>
                </w:p>
              </w:tc>
            </w:tr>
            <w:tr w14:paraId="50C80E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8" w:hRule="atLeast"/>
              </w:trPr>
              <w:tc>
                <w:tcPr>
                  <w:tcW w:w="484" w:type="dxa"/>
                  <w:vMerge w:val="continue"/>
                  <w:tcBorders>
                    <w:tl2br w:val="nil"/>
                    <w:tr2bl w:val="nil"/>
                  </w:tcBorders>
                  <w:vAlign w:val="center"/>
                </w:tcPr>
                <w:p w14:paraId="591482B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p>
              </w:tc>
              <w:tc>
                <w:tcPr>
                  <w:tcW w:w="578" w:type="dxa"/>
                  <w:tcBorders>
                    <w:tl2br w:val="nil"/>
                    <w:tr2bl w:val="nil"/>
                  </w:tcBorders>
                  <w:vAlign w:val="center"/>
                </w:tcPr>
                <w:p w14:paraId="141AC6D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密度与溶解性</w:t>
                  </w:r>
                </w:p>
              </w:tc>
              <w:tc>
                <w:tcPr>
                  <w:tcW w:w="6996" w:type="dxa"/>
                  <w:tcBorders>
                    <w:tl2br w:val="nil"/>
                    <w:tr2bl w:val="nil"/>
                  </w:tcBorders>
                  <w:vAlign w:val="center"/>
                </w:tcPr>
                <w:p w14:paraId="7404074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密度一般在0.85 - 0.95g/cm</w:t>
                  </w:r>
                  <w:r>
                    <w:rPr>
                      <w:rFonts w:hint="eastAsia" w:ascii="Times New Roman" w:hAnsi="Times New Roman" w:eastAsia="宋体" w:cs="Times New Roman"/>
                      <w:b w:val="0"/>
                      <w:bCs w:val="0"/>
                      <w:color w:val="FF0000"/>
                      <w:kern w:val="2"/>
                      <w:sz w:val="18"/>
                      <w:szCs w:val="18"/>
                      <w:vertAlign w:val="superscript"/>
                      <w:lang w:val="en-US" w:eastAsia="zh-CN" w:bidi="ar-SA"/>
                    </w:rPr>
                    <w:t>3</w:t>
                  </w:r>
                  <w:r>
                    <w:rPr>
                      <w:rFonts w:hint="default" w:ascii="Times New Roman" w:hAnsi="Times New Roman" w:eastAsia="宋体" w:cs="Times New Roman"/>
                      <w:b w:val="0"/>
                      <w:bCs w:val="0"/>
                      <w:color w:val="FF0000"/>
                      <w:kern w:val="2"/>
                      <w:sz w:val="18"/>
                      <w:szCs w:val="18"/>
                      <w:vertAlign w:val="baseline"/>
                      <w:lang w:val="en-US" w:eastAsia="zh-CN" w:bidi="ar-SA"/>
                    </w:rPr>
                    <w:t>之间，略小于水；不溶于水，易溶于苯、汽油、柴油等有机溶剂，会在水体表面形成油膜。</w:t>
                  </w:r>
                </w:p>
              </w:tc>
            </w:tr>
            <w:tr w14:paraId="4033A6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8" w:hRule="atLeast"/>
              </w:trPr>
              <w:tc>
                <w:tcPr>
                  <w:tcW w:w="484" w:type="dxa"/>
                  <w:vMerge w:val="continue"/>
                  <w:tcBorders>
                    <w:tl2br w:val="nil"/>
                    <w:tr2bl w:val="nil"/>
                  </w:tcBorders>
                  <w:vAlign w:val="center"/>
                </w:tcPr>
                <w:p w14:paraId="0C519AC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p>
              </w:tc>
              <w:tc>
                <w:tcPr>
                  <w:tcW w:w="578" w:type="dxa"/>
                  <w:tcBorders>
                    <w:tl2br w:val="nil"/>
                    <w:tr2bl w:val="nil"/>
                  </w:tcBorders>
                  <w:vAlign w:val="center"/>
                </w:tcPr>
                <w:p w14:paraId="54A978C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沸点与闪点</w:t>
                  </w:r>
                </w:p>
              </w:tc>
              <w:tc>
                <w:tcPr>
                  <w:tcW w:w="6996" w:type="dxa"/>
                  <w:tcBorders>
                    <w:tl2br w:val="nil"/>
                    <w:tr2bl w:val="nil"/>
                  </w:tcBorders>
                  <w:vAlign w:val="center"/>
                </w:tcPr>
                <w:p w14:paraId="51C663C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沸点不固定，因原油来源、使用过程中的分解变质，沸点范围通常在150 - 400℃；闪点多为120 - 200℃，属于可燃液体，其中部分废机油因轻质组分挥发，闪点可能降低，火灾风险升高。</w:t>
                  </w:r>
                </w:p>
              </w:tc>
            </w:tr>
            <w:tr w14:paraId="1D3EE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484" w:type="dxa"/>
                  <w:vMerge w:val="continue"/>
                  <w:tcBorders>
                    <w:tl2br w:val="nil"/>
                    <w:tr2bl w:val="nil"/>
                  </w:tcBorders>
                  <w:vAlign w:val="center"/>
                </w:tcPr>
                <w:p w14:paraId="7FE7073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p>
              </w:tc>
              <w:tc>
                <w:tcPr>
                  <w:tcW w:w="578" w:type="dxa"/>
                  <w:tcBorders>
                    <w:tl2br w:val="nil"/>
                    <w:tr2bl w:val="nil"/>
                  </w:tcBorders>
                  <w:vAlign w:val="center"/>
                </w:tcPr>
                <w:p w14:paraId="6F151E4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其他特性</w:t>
                  </w:r>
                </w:p>
              </w:tc>
              <w:tc>
                <w:tcPr>
                  <w:tcW w:w="6996" w:type="dxa"/>
                  <w:tcBorders>
                    <w:tl2br w:val="nil"/>
                    <w:tr2bl w:val="nil"/>
                  </w:tcBorders>
                  <w:vAlign w:val="center"/>
                </w:tcPr>
                <w:p w14:paraId="297EC1B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含有硫、磷、氮化合物及重金属（如铅、镉、铬）、添加剂残留（如抗磨剂、抗氧化剂）等成分，化学稳定性较差，长期储存易发生氧化、酸化，产生腐蚀性物质。</w:t>
                  </w:r>
                </w:p>
              </w:tc>
            </w:tr>
            <w:tr w14:paraId="3AB808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8" w:hRule="atLeast"/>
              </w:trPr>
              <w:tc>
                <w:tcPr>
                  <w:tcW w:w="484" w:type="dxa"/>
                  <w:vMerge w:val="restart"/>
                  <w:tcBorders>
                    <w:tl2br w:val="nil"/>
                    <w:tr2bl w:val="nil"/>
                  </w:tcBorders>
                  <w:vAlign w:val="center"/>
                </w:tcPr>
                <w:p w14:paraId="6D82935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危险特性</w:t>
                  </w:r>
                </w:p>
              </w:tc>
              <w:tc>
                <w:tcPr>
                  <w:tcW w:w="578" w:type="dxa"/>
                  <w:tcBorders>
                    <w:tl2br w:val="nil"/>
                    <w:tr2bl w:val="nil"/>
                  </w:tcBorders>
                  <w:vAlign w:val="center"/>
                </w:tcPr>
                <w:p w14:paraId="31BA37B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易燃性</w:t>
                  </w:r>
                </w:p>
              </w:tc>
              <w:tc>
                <w:tcPr>
                  <w:tcW w:w="6996" w:type="dxa"/>
                  <w:tcBorders>
                    <w:tl2br w:val="nil"/>
                    <w:tr2bl w:val="nil"/>
                  </w:tcBorders>
                  <w:vAlign w:val="center"/>
                </w:tcPr>
                <w:p w14:paraId="17E468E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废机油中的轻质烃类成分具有可燃性，遇明火、高温（如焊接、暴晒）或静电火花会引发燃烧，燃烧时释放一氧化碳、二氧化硫等有毒有害气体，且火势蔓延快，扑救难度较大。</w:t>
                  </w:r>
                </w:p>
              </w:tc>
            </w:tr>
            <w:tr w14:paraId="7E2FD5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484" w:type="dxa"/>
                  <w:vMerge w:val="continue"/>
                  <w:tcBorders>
                    <w:tl2br w:val="nil"/>
                    <w:tr2bl w:val="nil"/>
                  </w:tcBorders>
                  <w:vAlign w:val="center"/>
                </w:tcPr>
                <w:p w14:paraId="4745381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p>
              </w:tc>
              <w:tc>
                <w:tcPr>
                  <w:tcW w:w="578" w:type="dxa"/>
                  <w:tcBorders>
                    <w:tl2br w:val="nil"/>
                    <w:tr2bl w:val="nil"/>
                  </w:tcBorders>
                  <w:vAlign w:val="center"/>
                </w:tcPr>
                <w:p w14:paraId="3B78262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毒性</w:t>
                  </w:r>
                </w:p>
              </w:tc>
              <w:tc>
                <w:tcPr>
                  <w:tcW w:w="6996" w:type="dxa"/>
                  <w:tcBorders>
                    <w:tl2br w:val="nil"/>
                    <w:tr2bl w:val="nil"/>
                  </w:tcBorders>
                  <w:vAlign w:val="center"/>
                </w:tcPr>
                <w:p w14:paraId="652468F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其含有的重金属和多环芳烃等物质具有急性和慢性毒性。短期接触可能刺激皮肤、呼吸道，引发皮炎、咳嗽等症状；长期接触或误食，重金属会在人体肝肾等器官蓄积，多环芳烃具有致癌、致畸、致突变性，严重危害健康。此外，废机油若渗入土壤或水体，会污染地下水和农作物，通过食物链危害生态系统。</w:t>
                  </w:r>
                </w:p>
              </w:tc>
            </w:tr>
            <w:tr w14:paraId="35B77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4" w:hRule="atLeast"/>
              </w:trPr>
              <w:tc>
                <w:tcPr>
                  <w:tcW w:w="484" w:type="dxa"/>
                  <w:vMerge w:val="continue"/>
                  <w:tcBorders>
                    <w:tl2br w:val="nil"/>
                    <w:tr2bl w:val="nil"/>
                  </w:tcBorders>
                  <w:vAlign w:val="center"/>
                </w:tcPr>
                <w:p w14:paraId="3F45DAF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p>
              </w:tc>
              <w:tc>
                <w:tcPr>
                  <w:tcW w:w="578" w:type="dxa"/>
                  <w:tcBorders>
                    <w:tl2br w:val="nil"/>
                    <w:tr2bl w:val="nil"/>
                  </w:tcBorders>
                  <w:vAlign w:val="center"/>
                </w:tcPr>
                <w:p w14:paraId="3C2F9A7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环境危害性</w:t>
                  </w:r>
                </w:p>
              </w:tc>
              <w:tc>
                <w:tcPr>
                  <w:tcW w:w="6996" w:type="dxa"/>
                  <w:tcBorders>
                    <w:tl2br w:val="nil"/>
                    <w:tr2bl w:val="nil"/>
                  </w:tcBorders>
                  <w:vAlign w:val="center"/>
                </w:tcPr>
                <w:p w14:paraId="18B90E2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FF0000"/>
                      <w:kern w:val="2"/>
                      <w:sz w:val="18"/>
                      <w:szCs w:val="18"/>
                      <w:vertAlign w:val="baseline"/>
                      <w:lang w:val="en-US" w:eastAsia="zh-CN" w:bidi="ar-SA"/>
                    </w:rPr>
                  </w:pPr>
                  <w:r>
                    <w:rPr>
                      <w:rFonts w:hint="default" w:ascii="Times New Roman" w:hAnsi="Times New Roman" w:eastAsia="宋体" w:cs="Times New Roman"/>
                      <w:b w:val="0"/>
                      <w:bCs w:val="0"/>
                      <w:color w:val="FF0000"/>
                      <w:kern w:val="2"/>
                      <w:sz w:val="18"/>
                      <w:szCs w:val="18"/>
                      <w:vertAlign w:val="baseline"/>
                      <w:lang w:val="en-US" w:eastAsia="zh-CN" w:bidi="ar-SA"/>
                    </w:rPr>
                    <w:t>废机油不溶于水，泄漏后会在水体表面形成油膜，阻碍水体与空气的氧气交换，导致水生生物缺氧死亡；渗入土壤后，会破坏土壤结构，抑制植物生长，且土壤和水体的污染治理难度大、周期长。</w:t>
                  </w:r>
                </w:p>
              </w:tc>
            </w:tr>
          </w:tbl>
          <w:p w14:paraId="0429C2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highlight w:val="none"/>
                <w:lang w:val="en-US" w:eastAsia="zh-CN"/>
              </w:rPr>
              <w:t>（3）</w:t>
            </w:r>
            <w:r>
              <w:rPr>
                <w:rFonts w:hint="default" w:ascii="Times New Roman" w:hAnsi="Times New Roman" w:eastAsia="宋体" w:cs="Times New Roman"/>
                <w:color w:val="FF0000"/>
                <w:kern w:val="0"/>
                <w:sz w:val="21"/>
                <w:szCs w:val="21"/>
                <w:lang w:val="en-US" w:eastAsia="zh-CN" w:bidi="ar"/>
              </w:rPr>
              <w:t>环境风险识别</w:t>
            </w:r>
          </w:p>
          <w:p w14:paraId="2AC6FC6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FF0000"/>
                <w:kern w:val="0"/>
                <w:sz w:val="21"/>
                <w:szCs w:val="21"/>
                <w:lang w:val="en-US" w:eastAsia="zh-CN" w:bidi="ar"/>
              </w:rPr>
            </w:pPr>
            <w:r>
              <w:rPr>
                <w:rFonts w:hint="default" w:ascii="Times New Roman" w:hAnsi="Times New Roman" w:eastAsia="宋体" w:cs="Times New Roman"/>
                <w:color w:val="FF0000"/>
                <w:kern w:val="0"/>
                <w:sz w:val="21"/>
                <w:szCs w:val="21"/>
                <w:lang w:val="en-US" w:eastAsia="zh-CN" w:bidi="ar"/>
              </w:rPr>
              <w:t>对照《建设项目环境风险评价技术导则》（HJ169-2018），建设项目所涉及主要危险物质环境风险识别见表 4-16。</w:t>
            </w:r>
          </w:p>
          <w:p w14:paraId="05C804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ascii="Times New Roman" w:hAnsi="Times New Roman" w:eastAsia="宋体" w:cs="Times New Roman"/>
                <w:b/>
                <w:bCs/>
                <w:color w:val="FF0000"/>
                <w:kern w:val="2"/>
                <w:sz w:val="21"/>
                <w:szCs w:val="21"/>
                <w:highlight w:val="none"/>
                <w:lang w:val="en-US" w:eastAsia="zh-CN" w:bidi="ar-SA"/>
              </w:rPr>
            </w:pPr>
            <w:r>
              <w:rPr>
                <w:rFonts w:hint="eastAsia" w:ascii="Times New Roman" w:hAnsi="Times New Roman" w:eastAsia="宋体" w:cs="Times New Roman"/>
                <w:b/>
                <w:bCs/>
                <w:color w:val="FF0000"/>
                <w:kern w:val="2"/>
                <w:sz w:val="21"/>
                <w:szCs w:val="21"/>
                <w:highlight w:val="none"/>
                <w:lang w:val="en-US" w:eastAsia="zh-CN" w:bidi="ar-SA"/>
              </w:rPr>
              <w:t>表4-16建设项目主要危险物质环境风险识别</w:t>
            </w:r>
          </w:p>
          <w:tbl>
            <w:tblPr>
              <w:tblStyle w:val="37"/>
              <w:tblW w:w="805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1"/>
              <w:gridCol w:w="1565"/>
              <w:gridCol w:w="1752"/>
              <w:gridCol w:w="3980"/>
            </w:tblGrid>
            <w:tr w14:paraId="314A78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761" w:type="dxa"/>
                  <w:tcBorders>
                    <w:tl2br w:val="nil"/>
                    <w:tr2bl w:val="nil"/>
                  </w:tcBorders>
                  <w:vAlign w:val="center"/>
                </w:tcPr>
                <w:p w14:paraId="41897C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FF0000"/>
                      <w:sz w:val="18"/>
                      <w:szCs w:val="18"/>
                      <w:highlight w:val="none"/>
                      <w:vertAlign w:val="baseline"/>
                      <w:lang w:val="en-US" w:eastAsia="zh-CN"/>
                    </w:rPr>
                  </w:pPr>
                  <w:r>
                    <w:rPr>
                      <w:rFonts w:hint="eastAsia" w:ascii="宋体" w:hAnsi="宋体" w:eastAsia="宋体" w:cs="宋体"/>
                      <w:color w:val="FF0000"/>
                      <w:kern w:val="0"/>
                      <w:sz w:val="18"/>
                      <w:szCs w:val="18"/>
                      <w:lang w:val="en-US" w:eastAsia="zh-CN" w:bidi="ar"/>
                    </w:rPr>
                    <w:t>序号</w:t>
                  </w:r>
                </w:p>
              </w:tc>
              <w:tc>
                <w:tcPr>
                  <w:tcW w:w="1565" w:type="dxa"/>
                  <w:tcBorders>
                    <w:tl2br w:val="nil"/>
                    <w:tr2bl w:val="nil"/>
                  </w:tcBorders>
                  <w:vAlign w:val="center"/>
                </w:tcPr>
                <w:p w14:paraId="372E235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FF0000"/>
                      <w:sz w:val="18"/>
                      <w:szCs w:val="18"/>
                      <w:highlight w:val="none"/>
                      <w:vertAlign w:val="baseline"/>
                      <w:lang w:val="en-US" w:eastAsia="zh-CN"/>
                    </w:rPr>
                  </w:pPr>
                  <w:r>
                    <w:rPr>
                      <w:rFonts w:hint="eastAsia" w:ascii="宋体" w:hAnsi="宋体" w:eastAsia="宋体" w:cs="宋体"/>
                      <w:color w:val="FF0000"/>
                      <w:kern w:val="0"/>
                      <w:sz w:val="18"/>
                      <w:szCs w:val="18"/>
                      <w:lang w:val="en-US" w:eastAsia="zh-CN" w:bidi="ar"/>
                    </w:rPr>
                    <w:t>风险单元</w:t>
                  </w:r>
                </w:p>
              </w:tc>
              <w:tc>
                <w:tcPr>
                  <w:tcW w:w="1752" w:type="dxa"/>
                  <w:tcBorders>
                    <w:tl2br w:val="nil"/>
                    <w:tr2bl w:val="nil"/>
                  </w:tcBorders>
                  <w:vAlign w:val="center"/>
                </w:tcPr>
                <w:p w14:paraId="3F61C59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FF0000"/>
                      <w:sz w:val="18"/>
                      <w:szCs w:val="18"/>
                      <w:highlight w:val="none"/>
                      <w:vertAlign w:val="baseline"/>
                      <w:lang w:val="en-US" w:eastAsia="zh-CN"/>
                    </w:rPr>
                  </w:pPr>
                  <w:r>
                    <w:rPr>
                      <w:rFonts w:hint="eastAsia" w:ascii="宋体" w:hAnsi="宋体" w:eastAsia="宋体" w:cs="宋体"/>
                      <w:color w:val="FF0000"/>
                      <w:kern w:val="0"/>
                      <w:sz w:val="18"/>
                      <w:szCs w:val="18"/>
                      <w:lang w:val="en-US" w:eastAsia="zh-CN" w:bidi="ar"/>
                    </w:rPr>
                    <w:t>涉及风险物质</w:t>
                  </w:r>
                </w:p>
              </w:tc>
              <w:tc>
                <w:tcPr>
                  <w:tcW w:w="3980" w:type="dxa"/>
                  <w:tcBorders>
                    <w:tl2br w:val="nil"/>
                    <w:tr2bl w:val="nil"/>
                  </w:tcBorders>
                  <w:vAlign w:val="center"/>
                </w:tcPr>
                <w:p w14:paraId="164B113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FF0000"/>
                      <w:sz w:val="18"/>
                      <w:szCs w:val="18"/>
                      <w:highlight w:val="none"/>
                      <w:vertAlign w:val="baseline"/>
                      <w:lang w:val="en-US" w:eastAsia="zh-CN"/>
                    </w:rPr>
                  </w:pPr>
                  <w:r>
                    <w:rPr>
                      <w:rFonts w:hint="eastAsia" w:ascii="宋体" w:hAnsi="宋体" w:eastAsia="宋体" w:cs="宋体"/>
                      <w:color w:val="FF0000"/>
                      <w:kern w:val="0"/>
                      <w:sz w:val="18"/>
                      <w:szCs w:val="18"/>
                      <w:lang w:val="en-US" w:eastAsia="zh-CN" w:bidi="ar"/>
                    </w:rPr>
                    <w:t>可能影响环境的途径</w:t>
                  </w:r>
                </w:p>
              </w:tc>
            </w:tr>
            <w:tr w14:paraId="34FDA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8" w:hRule="atLeast"/>
              </w:trPr>
              <w:tc>
                <w:tcPr>
                  <w:tcW w:w="761" w:type="dxa"/>
                  <w:tcBorders>
                    <w:tl2br w:val="nil"/>
                    <w:tr2bl w:val="nil"/>
                  </w:tcBorders>
                  <w:vAlign w:val="center"/>
                </w:tcPr>
                <w:p w14:paraId="429323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FF0000"/>
                      <w:sz w:val="18"/>
                      <w:szCs w:val="18"/>
                      <w:highlight w:val="none"/>
                      <w:vertAlign w:val="baseline"/>
                      <w:lang w:val="en-US" w:eastAsia="zh-CN"/>
                    </w:rPr>
                  </w:pPr>
                  <w:r>
                    <w:rPr>
                      <w:rFonts w:hint="eastAsia" w:cs="Times New Roman"/>
                      <w:color w:val="FF0000"/>
                      <w:sz w:val="18"/>
                      <w:szCs w:val="18"/>
                      <w:highlight w:val="none"/>
                      <w:vertAlign w:val="baseline"/>
                      <w:lang w:val="en-US" w:eastAsia="zh-CN"/>
                    </w:rPr>
                    <w:t>1</w:t>
                  </w:r>
                </w:p>
              </w:tc>
              <w:tc>
                <w:tcPr>
                  <w:tcW w:w="1565" w:type="dxa"/>
                  <w:tcBorders>
                    <w:tl2br w:val="nil"/>
                    <w:tr2bl w:val="nil"/>
                  </w:tcBorders>
                  <w:vAlign w:val="center"/>
                </w:tcPr>
                <w:p w14:paraId="28193C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FF0000"/>
                      <w:sz w:val="18"/>
                      <w:szCs w:val="18"/>
                      <w:highlight w:val="none"/>
                      <w:vertAlign w:val="baseline"/>
                      <w:lang w:val="en-US" w:eastAsia="zh-CN"/>
                    </w:rPr>
                  </w:pPr>
                  <w:r>
                    <w:rPr>
                      <w:rFonts w:hint="eastAsia" w:cs="Times New Roman"/>
                      <w:color w:val="FF0000"/>
                      <w:sz w:val="18"/>
                      <w:szCs w:val="18"/>
                      <w:highlight w:val="none"/>
                      <w:vertAlign w:val="baseline"/>
                      <w:lang w:val="en-US" w:eastAsia="zh-CN"/>
                    </w:rPr>
                    <w:t>危废贮存点</w:t>
                  </w:r>
                </w:p>
              </w:tc>
              <w:tc>
                <w:tcPr>
                  <w:tcW w:w="1752" w:type="dxa"/>
                  <w:tcBorders>
                    <w:tl2br w:val="nil"/>
                    <w:tr2bl w:val="nil"/>
                  </w:tcBorders>
                  <w:vAlign w:val="center"/>
                </w:tcPr>
                <w:p w14:paraId="499850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FF0000"/>
                      <w:sz w:val="18"/>
                      <w:szCs w:val="18"/>
                      <w:highlight w:val="none"/>
                      <w:vertAlign w:val="baseline"/>
                      <w:lang w:val="en-US" w:eastAsia="zh-CN"/>
                    </w:rPr>
                  </w:pPr>
                  <w:r>
                    <w:rPr>
                      <w:rFonts w:hint="eastAsia" w:cs="Times New Roman"/>
                      <w:color w:val="FF0000"/>
                      <w:sz w:val="18"/>
                      <w:szCs w:val="18"/>
                      <w:highlight w:val="none"/>
                      <w:vertAlign w:val="baseline"/>
                      <w:lang w:val="en-US" w:eastAsia="zh-CN"/>
                    </w:rPr>
                    <w:t>废机油</w:t>
                  </w:r>
                </w:p>
              </w:tc>
              <w:tc>
                <w:tcPr>
                  <w:tcW w:w="3980" w:type="dxa"/>
                  <w:tcBorders>
                    <w:tl2br w:val="nil"/>
                    <w:tr2bl w:val="nil"/>
                  </w:tcBorders>
                  <w:vAlign w:val="center"/>
                </w:tcPr>
                <w:p w14:paraId="4368399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FF0000"/>
                      <w:sz w:val="18"/>
                      <w:szCs w:val="18"/>
                    </w:rPr>
                  </w:pPr>
                  <w:r>
                    <w:rPr>
                      <w:rFonts w:hint="eastAsia" w:ascii="宋体" w:hAnsi="宋体" w:eastAsia="宋体" w:cs="宋体"/>
                      <w:color w:val="FF0000"/>
                      <w:kern w:val="0"/>
                      <w:sz w:val="18"/>
                      <w:szCs w:val="18"/>
                      <w:lang w:val="en-US" w:eastAsia="zh-CN" w:bidi="ar"/>
                    </w:rPr>
                    <w:t>泄漏以及火灾、爆炸等引起的伴生</w:t>
                  </w:r>
                </w:p>
                <w:p w14:paraId="7CF810B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FF0000"/>
                      <w:sz w:val="18"/>
                      <w:szCs w:val="18"/>
                      <w:highlight w:val="none"/>
                      <w:vertAlign w:val="baseline"/>
                      <w:lang w:val="en-US" w:eastAsia="zh-CN"/>
                    </w:rPr>
                  </w:pPr>
                  <w:r>
                    <w:rPr>
                      <w:rFonts w:hint="default" w:ascii="Times New Roman" w:hAnsi="Times New Roman" w:eastAsia="宋体" w:cs="Times New Roman"/>
                      <w:color w:val="FF0000"/>
                      <w:kern w:val="0"/>
                      <w:sz w:val="18"/>
                      <w:szCs w:val="18"/>
                      <w:lang w:val="en-US" w:eastAsia="zh-CN" w:bidi="ar"/>
                    </w:rPr>
                    <w:t>/</w:t>
                  </w:r>
                  <w:r>
                    <w:rPr>
                      <w:rFonts w:hint="eastAsia" w:ascii="宋体" w:hAnsi="宋体" w:eastAsia="宋体" w:cs="宋体"/>
                      <w:color w:val="FF0000"/>
                      <w:kern w:val="0"/>
                      <w:sz w:val="18"/>
                      <w:szCs w:val="18"/>
                      <w:lang w:val="en-US" w:eastAsia="zh-CN" w:bidi="ar"/>
                    </w:rPr>
                    <w:t>次生污染物排放</w:t>
                  </w:r>
                </w:p>
              </w:tc>
            </w:tr>
          </w:tbl>
          <w:p w14:paraId="1EEA41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w:t>
            </w:r>
            <w:r>
              <w:rPr>
                <w:rFonts w:hint="eastAsia" w:cs="Times New Roman"/>
                <w:color w:val="FF0000"/>
                <w:sz w:val="21"/>
                <w:szCs w:val="21"/>
                <w:highlight w:val="none"/>
                <w:lang w:val="en-US" w:eastAsia="zh-CN"/>
              </w:rPr>
              <w:t>4</w:t>
            </w:r>
            <w:r>
              <w:rPr>
                <w:rFonts w:hint="eastAsia" w:ascii="Times New Roman" w:hAnsi="Times New Roman" w:eastAsia="宋体" w:cs="Times New Roman"/>
                <w:color w:val="FF0000"/>
                <w:sz w:val="21"/>
                <w:szCs w:val="21"/>
                <w:highlight w:val="none"/>
                <w:lang w:val="en-US" w:eastAsia="zh-CN"/>
              </w:rPr>
              <w:t>）环境风险影响分析</w:t>
            </w:r>
          </w:p>
          <w:p w14:paraId="6D60D7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default" w:ascii="Times New Roman" w:hAnsi="Times New Roman" w:eastAsia="宋体" w:cs="Times New Roman"/>
                <w:color w:val="FF0000"/>
                <w:kern w:val="0"/>
                <w:sz w:val="21"/>
                <w:szCs w:val="21"/>
                <w:lang w:val="en-US" w:eastAsia="zh-CN" w:bidi="ar"/>
              </w:rPr>
              <w:t>1</w:t>
            </w:r>
            <w:r>
              <w:rPr>
                <w:rFonts w:hint="eastAsia" w:ascii="宋体" w:hAnsi="宋体" w:eastAsia="宋体" w:cs="宋体"/>
                <w:color w:val="FF0000"/>
                <w:kern w:val="0"/>
                <w:sz w:val="21"/>
                <w:szCs w:val="21"/>
                <w:lang w:val="en-US" w:eastAsia="zh-CN" w:bidi="ar"/>
              </w:rPr>
              <w:t>）大气：项目废气处理设施故障会造成废气未经处理直接进入大气，从而导致周围环境空气污染；当项目厂区内部发生火灾事故时，其产生的高温烟尘及火灾燃烧产物会对周围环境造成二次污染。</w:t>
            </w:r>
          </w:p>
          <w:p w14:paraId="75EE55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default" w:ascii="Times New Roman" w:hAnsi="Times New Roman" w:eastAsia="宋体" w:cs="Times New Roman"/>
                <w:color w:val="FF0000"/>
                <w:kern w:val="0"/>
                <w:sz w:val="21"/>
                <w:szCs w:val="21"/>
                <w:lang w:val="en-US" w:eastAsia="zh-CN" w:bidi="ar"/>
              </w:rPr>
              <w:t>2</w:t>
            </w:r>
            <w:r>
              <w:rPr>
                <w:rFonts w:hint="eastAsia" w:ascii="宋体" w:hAnsi="宋体" w:eastAsia="宋体" w:cs="宋体"/>
                <w:color w:val="FF0000"/>
                <w:kern w:val="0"/>
                <w:sz w:val="21"/>
                <w:szCs w:val="21"/>
                <w:lang w:val="en-US" w:eastAsia="zh-CN" w:bidi="ar"/>
              </w:rPr>
              <w:t>）地表水：项目危险废物贮存点没有做好防雨、防渗、防腐措施，导致发生泄漏进入周围环境，具有腐蚀性或遇水具有渗透性的泄漏物通过地面径流外排至厂外地表水体中，影响地表水环境，对水生生物产生一定程度的影响；当项目厂区内部发生火灾事故时，灭火过程中产生的消防废水未截留在厂区内，可能会随着地面径流进入雨水管网，直接进入外部水体环境中，污染地表水环境。</w:t>
            </w:r>
          </w:p>
          <w:p w14:paraId="102EEF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default" w:ascii="Times New Roman" w:hAnsi="Times New Roman" w:eastAsia="宋体" w:cs="Times New Roman"/>
                <w:color w:val="FF0000"/>
                <w:kern w:val="0"/>
                <w:sz w:val="21"/>
                <w:szCs w:val="21"/>
                <w:lang w:val="en-US" w:eastAsia="zh-CN" w:bidi="ar"/>
              </w:rPr>
              <w:t>3</w:t>
            </w:r>
            <w:r>
              <w:rPr>
                <w:rFonts w:hint="eastAsia" w:ascii="宋体" w:hAnsi="宋体" w:eastAsia="宋体" w:cs="宋体"/>
                <w:color w:val="FF0000"/>
                <w:kern w:val="0"/>
                <w:sz w:val="21"/>
                <w:szCs w:val="21"/>
                <w:lang w:val="en-US" w:eastAsia="zh-CN" w:bidi="ar"/>
              </w:rPr>
              <w:t>）地下水：污染地表水的有毒有害物质未能及时有效处理，从而进入地下水体，污染了地下水环境。综上，建设项目危废发生少量泄漏事件，可及时收集并能及时处置，影响不会扩散，能够控制厂区内，环境风险可接受。</w:t>
            </w:r>
          </w:p>
          <w:p w14:paraId="620FF2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w:t>
            </w:r>
            <w:r>
              <w:rPr>
                <w:rFonts w:hint="eastAsia" w:ascii="Times New Roman" w:hAnsi="Times New Roman" w:eastAsia="宋体" w:cs="Times New Roman"/>
                <w:color w:val="FF0000"/>
                <w:kern w:val="0"/>
                <w:sz w:val="21"/>
                <w:szCs w:val="21"/>
                <w:lang w:val="en-US" w:eastAsia="zh-CN" w:bidi="ar"/>
              </w:rPr>
              <w:t>5</w:t>
            </w:r>
            <w:r>
              <w:rPr>
                <w:rFonts w:hint="eastAsia" w:ascii="宋体" w:hAnsi="宋体" w:eastAsia="宋体" w:cs="宋体"/>
                <w:color w:val="FF0000"/>
                <w:kern w:val="0"/>
                <w:sz w:val="21"/>
                <w:szCs w:val="21"/>
                <w:lang w:val="en-US" w:eastAsia="zh-CN" w:bidi="ar"/>
              </w:rPr>
              <w:t>）风险防范措施</w:t>
            </w:r>
          </w:p>
          <w:p w14:paraId="287C0E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default" w:ascii="Times New Roman" w:hAnsi="Times New Roman" w:eastAsia="宋体" w:cs="Times New Roman"/>
                <w:color w:val="FF0000"/>
                <w:kern w:val="0"/>
                <w:sz w:val="21"/>
                <w:szCs w:val="21"/>
                <w:lang w:val="en-US" w:eastAsia="zh-CN" w:bidi="ar"/>
              </w:rPr>
              <w:t>1</w:t>
            </w:r>
            <w:r>
              <w:rPr>
                <w:rFonts w:hint="eastAsia" w:ascii="宋体" w:hAnsi="宋体" w:eastAsia="宋体" w:cs="宋体"/>
                <w:color w:val="FF0000"/>
                <w:kern w:val="0"/>
                <w:sz w:val="21"/>
                <w:szCs w:val="21"/>
                <w:lang w:val="en-US" w:eastAsia="zh-CN" w:bidi="ar"/>
              </w:rPr>
              <w:t>）本次评价为减少油类物质泄露等引起的火灾事故，提出以下环境风险防范措施及应急要求：防范措施：</w:t>
            </w:r>
          </w:p>
          <w:p w14:paraId="7B647A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479" w:leftChars="228" w:right="0" w:firstLine="0" w:firstLineChars="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①健全各项制度，强化安全管理意识，加强用电设备及线路的检修和管理。②严格按照消防安全部门要求，配置消防设施。</w:t>
            </w:r>
          </w:p>
          <w:p w14:paraId="280211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479" w:leftChars="228" w:right="0" w:firstLine="0" w:firstLineChars="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③油类物质等易燃易爆物品存储远离火源。在采取以上措施后，可有效降低风险发生的概率。</w:t>
            </w:r>
          </w:p>
          <w:p w14:paraId="307D6A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default" w:ascii="Times New Roman" w:hAnsi="Times New Roman" w:eastAsia="宋体" w:cs="Times New Roman"/>
                <w:color w:val="FF0000"/>
                <w:kern w:val="0"/>
                <w:sz w:val="21"/>
                <w:szCs w:val="21"/>
                <w:lang w:val="en-US" w:eastAsia="zh-CN" w:bidi="ar"/>
              </w:rPr>
              <w:t>2</w:t>
            </w:r>
            <w:r>
              <w:rPr>
                <w:rFonts w:hint="eastAsia" w:ascii="宋体" w:hAnsi="宋体" w:eastAsia="宋体" w:cs="宋体"/>
                <w:color w:val="FF0000"/>
                <w:kern w:val="0"/>
                <w:sz w:val="21"/>
                <w:szCs w:val="21"/>
                <w:lang w:val="en-US" w:eastAsia="zh-CN" w:bidi="ar"/>
              </w:rPr>
              <w:t>）为减少项目废气处理设施非正常工况导致颗粒物污染物超标排放对周边环境的影响，本次评价建议单位做好如下防范措施：</w:t>
            </w:r>
          </w:p>
          <w:p w14:paraId="55F40F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①制定环保设备运行维护制度，并派专人进行管理，定期对环保设备进行点检维护。</w:t>
            </w:r>
          </w:p>
          <w:p w14:paraId="5771CB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②定期对风机的运行情况进行检查记录，一旦发现运行异常，立即对相应的生产设备进行停产，并对风机设备进行维修。</w:t>
            </w:r>
          </w:p>
          <w:p w14:paraId="63161D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③对布袋除尘器装置进行定期检查，确保废气处理效率，若发现破损、损坏或堵塞严重，应立即进行更换，确保其处理效率。</w:t>
            </w:r>
          </w:p>
          <w:p w14:paraId="6CB98E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default" w:ascii="Times New Roman" w:hAnsi="Times New Roman" w:eastAsia="宋体" w:cs="Times New Roman"/>
                <w:color w:val="FF0000"/>
                <w:kern w:val="0"/>
                <w:sz w:val="21"/>
                <w:szCs w:val="21"/>
                <w:lang w:val="en-US" w:eastAsia="zh-CN" w:bidi="ar"/>
              </w:rPr>
              <w:t>3</w:t>
            </w:r>
            <w:r>
              <w:rPr>
                <w:rFonts w:hint="eastAsia" w:ascii="宋体" w:hAnsi="宋体" w:eastAsia="宋体" w:cs="宋体"/>
                <w:color w:val="FF0000"/>
                <w:kern w:val="0"/>
                <w:sz w:val="21"/>
                <w:szCs w:val="21"/>
                <w:lang w:val="en-US" w:eastAsia="zh-CN" w:bidi="ar"/>
              </w:rPr>
              <w:t>）贮存过程风险防范</w:t>
            </w:r>
          </w:p>
          <w:p w14:paraId="7C5629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生物质燃料等出入库必须检查验收登记，贮存期间定期养护，控制好贮存场所的温度和湿度，做好防火防爆措施；装卸、搬运时应轻装轻卸，注意自我防护。要严格遵守有关贮存的安全规定，具体包括《仓库防火安全管理规则》、《建筑设计防火规范》、《易燃易爆化学物品消防安全监督管理办法》等。</w:t>
            </w:r>
          </w:p>
          <w:p w14:paraId="022D9E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default" w:ascii="Times New Roman" w:hAnsi="Times New Roman" w:eastAsia="宋体" w:cs="Times New Roman"/>
                <w:color w:val="FF0000"/>
                <w:kern w:val="0"/>
                <w:sz w:val="21"/>
                <w:szCs w:val="21"/>
                <w:lang w:val="en-US" w:eastAsia="zh-CN" w:bidi="ar"/>
              </w:rPr>
              <w:t>4</w:t>
            </w:r>
            <w:r>
              <w:rPr>
                <w:rFonts w:hint="eastAsia" w:ascii="宋体" w:hAnsi="宋体" w:eastAsia="宋体" w:cs="宋体"/>
                <w:color w:val="FF0000"/>
                <w:kern w:val="0"/>
                <w:sz w:val="21"/>
                <w:szCs w:val="21"/>
                <w:lang w:val="en-US" w:eastAsia="zh-CN" w:bidi="ar"/>
              </w:rPr>
              <w:t>）生产过程风险防范生产过程事故风险防范同样是安全生产的重要内容，本项目虽不涉及重大危险源，但仍应加强其安全管理。公司应组织员工认真学习贯彻相关安全手册，并将国家要求和安全技术规范转化为各自岗位的安全操作规程，并悬挂在岗位醒目位置，规范岗位操作，降低事故概率。事故性泄漏常与装置设备故障相关联，安全管理中要密切注意事故易发部位，做好运行监督检查与维修保养，防患于未然。必须组织专门人员每天每班多次进行周期性巡回检查，有跑冒滴漏或其他异常现象的应及时检修，必要时按照</w:t>
            </w:r>
            <w:r>
              <w:rPr>
                <w:rFonts w:hint="default" w:ascii="Times New Roman" w:hAnsi="Times New Roman" w:eastAsia="宋体" w:cs="Times New Roman"/>
                <w:color w:val="FF0000"/>
                <w:kern w:val="0"/>
                <w:sz w:val="21"/>
                <w:szCs w:val="21"/>
                <w:lang w:val="en-US" w:eastAsia="zh-CN" w:bidi="ar"/>
              </w:rPr>
              <w:t>“</w:t>
            </w:r>
            <w:r>
              <w:rPr>
                <w:rFonts w:hint="eastAsia" w:ascii="宋体" w:hAnsi="宋体" w:eastAsia="宋体" w:cs="宋体"/>
                <w:color w:val="FF0000"/>
                <w:kern w:val="0"/>
                <w:sz w:val="21"/>
                <w:szCs w:val="21"/>
                <w:lang w:val="en-US" w:eastAsia="zh-CN" w:bidi="ar"/>
              </w:rPr>
              <w:t>生产服从安全</w:t>
            </w:r>
            <w:r>
              <w:rPr>
                <w:rFonts w:hint="default" w:ascii="Times New Roman" w:hAnsi="Times New Roman" w:eastAsia="宋体" w:cs="Times New Roman"/>
                <w:color w:val="FF0000"/>
                <w:kern w:val="0"/>
                <w:sz w:val="21"/>
                <w:szCs w:val="21"/>
                <w:lang w:val="en-US" w:eastAsia="zh-CN" w:bidi="ar"/>
              </w:rPr>
              <w:t>”</w:t>
            </w:r>
            <w:r>
              <w:rPr>
                <w:rFonts w:hint="eastAsia" w:ascii="宋体" w:hAnsi="宋体" w:eastAsia="宋体" w:cs="宋体"/>
                <w:color w:val="FF0000"/>
                <w:kern w:val="0"/>
                <w:sz w:val="21"/>
                <w:szCs w:val="21"/>
                <w:lang w:val="en-US" w:eastAsia="zh-CN" w:bidi="ar"/>
              </w:rPr>
              <w:t>原则停车检修，严禁带病或不正常运转。生产工艺、检修时，对装置内和周围的各种易燃、易爆、可燃介质，必须采取完善的安全措施予以消除和隔离。</w:t>
            </w:r>
          </w:p>
          <w:p w14:paraId="45650C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default" w:ascii="Times New Roman" w:hAnsi="Times New Roman" w:eastAsia="宋体" w:cs="Times New Roman"/>
                <w:color w:val="FF0000"/>
                <w:kern w:val="0"/>
                <w:sz w:val="21"/>
                <w:szCs w:val="21"/>
                <w:lang w:val="en-US" w:eastAsia="zh-CN" w:bidi="ar"/>
              </w:rPr>
              <w:t>5</w:t>
            </w:r>
            <w:r>
              <w:rPr>
                <w:rFonts w:hint="eastAsia" w:ascii="宋体" w:hAnsi="宋体" w:eastAsia="宋体" w:cs="宋体"/>
                <w:color w:val="FF0000"/>
                <w:kern w:val="0"/>
                <w:sz w:val="21"/>
                <w:szCs w:val="21"/>
                <w:lang w:val="en-US" w:eastAsia="zh-CN" w:bidi="ar"/>
              </w:rPr>
              <w:t>）加强管理强化意识安全生产是企业立厂之本，一定要强化风险意识、加强安全管理，具体如下：</w:t>
            </w:r>
          </w:p>
          <w:p w14:paraId="20A6F2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①必须将“安全第一，预防为主”作为公司经营的基本原则。</w:t>
            </w:r>
          </w:p>
          <w:p w14:paraId="7D0643F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②必须进行广泛系统的培训，使所有操作人员熟悉自己的岗位，树立严谨规范的操作作风，并且在任何紧急状况下都能随时对工艺装置进行控制，并及时、独立、正确地实施相关应急措施。定期对全体职工进行安全教育，编制各级岗位及重要设备的安全检查表，并定期进行安全检查。危险性较大的操作岗位，企业应按操作人员的文化程度和技术等级。</w:t>
            </w:r>
          </w:p>
          <w:p w14:paraId="08FA6A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③全厂设立安全生产领导小组，由厂长亲自担任领导小组组长，形成领导负总责，全公司参与的管理模式。</w:t>
            </w:r>
          </w:p>
          <w:p w14:paraId="734EBF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④建立完备的应急组织体系。建立风险应急领导小组，小组分为厂内和厂外两部分。厂内部分落实厂内应急防范措施，厂外部分负责上报当地政府、安全、消防、环保、监测站等相关部门。</w:t>
            </w:r>
          </w:p>
          <w:p w14:paraId="4ACD71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⑤安全卫生专用设备（如通风系统、报警系统、消防系统、劳动防护用品等），要指定专人负责管理和维修，保证能正常运行和有效使用。职工要学会使用周围的消防器材、安全设施和防护用品。</w:t>
            </w:r>
          </w:p>
          <w:p w14:paraId="61CA19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default" w:ascii="Times New Roman" w:hAnsi="Times New Roman" w:eastAsia="宋体" w:cs="Times New Roman"/>
                <w:color w:val="FF0000"/>
                <w:kern w:val="0"/>
                <w:sz w:val="21"/>
                <w:szCs w:val="21"/>
                <w:lang w:val="en-US" w:eastAsia="zh-CN" w:bidi="ar"/>
              </w:rPr>
              <w:t>6</w:t>
            </w:r>
            <w:r>
              <w:rPr>
                <w:rFonts w:hint="eastAsia" w:ascii="宋体" w:hAnsi="宋体" w:eastAsia="宋体" w:cs="宋体"/>
                <w:color w:val="FF0000"/>
                <w:kern w:val="0"/>
                <w:sz w:val="21"/>
                <w:szCs w:val="21"/>
                <w:lang w:val="en-US" w:eastAsia="zh-CN" w:bidi="ar"/>
              </w:rPr>
              <w:t>）防范措施</w:t>
            </w:r>
          </w:p>
          <w:p w14:paraId="14720B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①在生产过程中必须严格按照消防安全要求，配备必要的消防设施、电气装置，给排水系统和通风系统等。</w:t>
            </w:r>
          </w:p>
          <w:p w14:paraId="607BE1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②厂房内设置、布置须严格执行国家有关防火防爆的规范、规定，设备之间保证有足够的安全间距，并按要求设置消防通道。</w:t>
            </w:r>
          </w:p>
          <w:p w14:paraId="5AA2EE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③尽量采用技术先进和安全可靠的设备，并按国家有关规定在车间内设置必要的安全卫生设施。</w:t>
            </w:r>
          </w:p>
          <w:p w14:paraId="36F38E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④禁止员工在厂内吸烟、点火等，增强员工安全意识，加强消防培训，更多地立足自防自救。</w:t>
            </w:r>
          </w:p>
          <w:p w14:paraId="7BE867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default" w:ascii="Times New Roman" w:hAnsi="Times New Roman" w:eastAsia="宋体" w:cs="Times New Roman"/>
                <w:color w:val="FF0000"/>
                <w:kern w:val="0"/>
                <w:sz w:val="21"/>
                <w:szCs w:val="21"/>
                <w:lang w:val="en-US" w:eastAsia="zh-CN" w:bidi="ar"/>
              </w:rPr>
              <w:t>7</w:t>
            </w:r>
            <w:r>
              <w:rPr>
                <w:rFonts w:hint="eastAsia" w:ascii="宋体" w:hAnsi="宋体" w:eastAsia="宋体" w:cs="宋体"/>
                <w:color w:val="FF0000"/>
                <w:kern w:val="0"/>
                <w:sz w:val="21"/>
                <w:szCs w:val="21"/>
                <w:lang w:val="en-US" w:eastAsia="zh-CN" w:bidi="ar"/>
              </w:rPr>
              <w:t>）火灾应急措施</w:t>
            </w:r>
          </w:p>
          <w:p w14:paraId="05F341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①发生火情，第一发现人应立即采取灭火器材等进行灭火，并高声呼喊，使附近人员能够听到或协助补救，同时，通知相关人员负责拨打火警电话“</w:t>
            </w:r>
            <w:r>
              <w:rPr>
                <w:rFonts w:hint="default" w:ascii="Times New Roman" w:hAnsi="Times New Roman" w:eastAsia="宋体" w:cs="Times New Roman"/>
                <w:color w:val="FF0000"/>
                <w:kern w:val="0"/>
                <w:sz w:val="21"/>
                <w:szCs w:val="21"/>
                <w:lang w:val="en-US" w:eastAsia="zh-CN" w:bidi="ar"/>
              </w:rPr>
              <w:t>119</w:t>
            </w:r>
            <w:r>
              <w:rPr>
                <w:rFonts w:hint="eastAsia" w:ascii="宋体" w:hAnsi="宋体" w:eastAsia="宋体" w:cs="宋体"/>
                <w:color w:val="FF0000"/>
                <w:kern w:val="0"/>
                <w:sz w:val="21"/>
                <w:szCs w:val="21"/>
                <w:lang w:val="en-US" w:eastAsia="zh-CN" w:bidi="ar"/>
              </w:rPr>
              <w:t>”，组织现场人员进行安全疏散。</w:t>
            </w:r>
          </w:p>
          <w:p w14:paraId="78804E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②如果是由于电路失火，必须先切断电源，严禁使用水或液体灭火器灭火以防触电事故发生。</w:t>
            </w:r>
          </w:p>
          <w:p w14:paraId="1290CB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③火灾发生时，为防止有人被困，发生窒息伤害，应准备毛巾湿润后蒙在口、鼻上，防止有毒有害气体吸入肺中，造成窒息伤害。</w:t>
            </w:r>
          </w:p>
          <w:p w14:paraId="65AEB2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④火灾事故后，保护现场，组织抢救人员和财产，及时汇报上级。综上，项目应严格按照消防及安监部门的要求，做好防范措施，设立健全的公司突发环境事故应急组织机构，以便采取更有效的措施来监测灾情及防止污染事故的进一步扩散。在采取以上措施的情况下，项目风险事故发生概率很低，本项目环境风险在可接受的范围内。</w:t>
            </w:r>
          </w:p>
          <w:p w14:paraId="6D173B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宋体" w:hAnsi="宋体" w:eastAsia="宋体" w:cs="宋体"/>
                <w:color w:val="FF0000"/>
                <w:kern w:val="0"/>
                <w:sz w:val="21"/>
                <w:szCs w:val="21"/>
                <w:lang w:val="en-US" w:eastAsia="zh-CN" w:bidi="ar"/>
              </w:rPr>
            </w:pPr>
            <w:r>
              <w:rPr>
                <w:rFonts w:hint="eastAsia" w:ascii="宋体" w:hAnsi="宋体" w:eastAsia="宋体" w:cs="宋体"/>
                <w:color w:val="FF0000"/>
                <w:kern w:val="0"/>
                <w:sz w:val="21"/>
                <w:szCs w:val="21"/>
                <w:lang w:val="en-US" w:eastAsia="zh-CN" w:bidi="ar"/>
              </w:rPr>
              <w:t>（</w:t>
            </w:r>
            <w:r>
              <w:rPr>
                <w:rFonts w:hint="default" w:ascii="Times New Roman" w:hAnsi="Times New Roman" w:eastAsia="宋体" w:cs="Times New Roman"/>
                <w:color w:val="FF0000"/>
                <w:kern w:val="0"/>
                <w:sz w:val="21"/>
                <w:szCs w:val="21"/>
                <w:lang w:val="en-US" w:eastAsia="zh-CN" w:bidi="ar"/>
              </w:rPr>
              <w:t>6</w:t>
            </w:r>
            <w:r>
              <w:rPr>
                <w:rFonts w:hint="eastAsia" w:ascii="宋体" w:hAnsi="宋体" w:eastAsia="宋体" w:cs="宋体"/>
                <w:color w:val="FF0000"/>
                <w:kern w:val="0"/>
                <w:sz w:val="21"/>
                <w:szCs w:val="21"/>
                <w:lang w:val="en-US" w:eastAsia="zh-CN" w:bidi="ar"/>
              </w:rPr>
              <w:t>）环境风险分析小结</w:t>
            </w:r>
          </w:p>
          <w:p w14:paraId="61BE95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color w:val="FF0000"/>
                <w:sz w:val="21"/>
                <w:szCs w:val="21"/>
              </w:rPr>
            </w:pPr>
            <w:r>
              <w:rPr>
                <w:rFonts w:hint="eastAsia" w:ascii="宋体" w:hAnsi="宋体" w:eastAsia="宋体" w:cs="宋体"/>
                <w:color w:val="FF0000"/>
                <w:kern w:val="0"/>
                <w:sz w:val="21"/>
                <w:szCs w:val="21"/>
                <w:lang w:val="en-US" w:eastAsia="zh-CN" w:bidi="ar"/>
              </w:rPr>
              <w:t>本项目风险事故主要为油类物质泄露、生物质燃料储存不当等引起的火灾事故、布袋除尘器破损、电气故障等事故，建设单位在做好各项风险防范措施的条件下，并严格按照提出的措施要求进行生产管理，达到安全生产的目的，项目生产运营造成的环境风险是可以接受的。</w:t>
            </w:r>
          </w:p>
          <w:p w14:paraId="3A8ACA00">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2" w:firstLineChars="200"/>
              <w:contextualSpacing/>
              <w:jc w:val="both"/>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7</w:t>
            </w:r>
            <w:r>
              <w:rPr>
                <w:rFonts w:hint="default" w:ascii="Times New Roman" w:hAnsi="Times New Roman" w:cs="Times New Roman"/>
                <w:b/>
                <w:bCs/>
                <w:color w:val="auto"/>
                <w:sz w:val="21"/>
                <w:szCs w:val="21"/>
                <w:highlight w:val="none"/>
                <w:lang w:val="en-US" w:eastAsia="zh-CN"/>
              </w:rPr>
              <w:t>、与排污许可证衔接</w:t>
            </w:r>
          </w:p>
          <w:p w14:paraId="7A708D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 xml:space="preserve">根据 </w:t>
            </w:r>
            <w:r>
              <w:rPr>
                <w:rFonts w:hint="default" w:ascii="Times New Roman" w:hAnsi="Times New Roman" w:eastAsia="宋体" w:cs="Times New Roman"/>
                <w:color w:val="auto"/>
                <w:kern w:val="2"/>
                <w:sz w:val="21"/>
                <w:szCs w:val="21"/>
                <w:highlight w:val="none"/>
                <w:lang w:val="en-US" w:eastAsia="zh-CN" w:bidi="ar-SA"/>
              </w:rPr>
              <w:t>《关于做好环境影响评价制度与排污许可制衔接相关工作的通知》</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环办环评〔2017〕84号</w:t>
            </w:r>
            <w:r>
              <w:rPr>
                <w:rFonts w:hint="eastAsia" w:ascii="Times New Roman" w:hAnsi="Times New Roman" w:eastAsia="宋体" w:cs="Times New Roman"/>
                <w:color w:val="auto"/>
                <w:kern w:val="2"/>
                <w:sz w:val="21"/>
                <w:szCs w:val="21"/>
                <w:highlight w:val="none"/>
                <w:lang w:val="en-US" w:eastAsia="zh-CN" w:bidi="ar-SA"/>
              </w:rPr>
              <w:t>），建设项目发生实际排污行为之前，排污单位应当按照国家环境保护相关法律法规以及排污许可证申请与核发技术规范要求申请排污许可证，不得无证排污或不按证排污。国家将分行业制定建设项目重大变动清单。建设项目的环境影响报告书（表）经批准后，建设项目的性质、规模、地点、采用的生产工艺或者防治污染、防止生态破坏的措施发生重大变动的，建设单位应当依法重新报批环境影响评价文件，并在申请排污许可时提交重新报批的环评批复（文号）。发生变动但不属于重大变动情形的建设项目，环境影响报告书（表）2015年1月1日（含）后获得批准的，排污许可证核发部门按照污染物排放标准、总量控制要求、环境影响报告书（表）以及审批文件从严核发，其他建设项目由排污许可证核发部门按照排污许可证申请与核发技术规范要求核发。</w:t>
            </w:r>
          </w:p>
          <w:p w14:paraId="7DCF9538">
            <w:pPr>
              <w:pStyle w:val="3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根据《排污许可管理办法》（2024年7月1日），第三条：依照法律规定实行排污许可管理的企业事业单位和其他生产经营者（以下简称排污单位），应当依法申请取得排污许可证，并按照排污许可证的规定排放污染物；未取得排污许可证的，不得排放污染物。依法需要填报排污登记表的企业事业单位和其他生产经营者（以下简称排污登记单位），应当在全国排污许可证管理信息平台进行排污登记。第四条：根据污染物产生量、排放量、对环境的影响程度等因素，对企业事业单位和其他生产经营者实行排污许可重点管理、简化管理和排污登记管理。实行排污许可重点管理、简化管理的排污单位具体范围，依照固定污染源排污许可分类管理名录规定执行。实行排污登记管理的排污登记单位具体范围由国务院生态环境主管部门制定并公布。</w:t>
            </w:r>
          </w:p>
          <w:p w14:paraId="2AF58E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eastAsia="宋体"/>
                <w:bCs/>
                <w:color w:val="auto"/>
                <w:spacing w:val="-10"/>
                <w:szCs w:val="21"/>
                <w:highlight w:val="none"/>
                <w:lang w:val="en-US" w:eastAsia="zh-CN"/>
              </w:rPr>
            </w:pPr>
            <w:r>
              <w:rPr>
                <w:rFonts w:hint="eastAsia"/>
                <w:color w:val="auto"/>
                <w:szCs w:val="21"/>
                <w:highlight w:val="none"/>
              </w:rPr>
              <w:t>本项目</w:t>
            </w:r>
            <w:r>
              <w:rPr>
                <w:rFonts w:hint="default"/>
                <w:color w:val="auto"/>
                <w:szCs w:val="21"/>
                <w:highlight w:val="none"/>
              </w:rPr>
              <w:t>属于实施简化管理的行业，本项目当在启动生产设施或者发生实际排污之前，应当在全国排污许可证管理信息平台完成申请排污许可证。填报基本信息、污染物排放去向、执行的污染物排放标准以及采取的污染防治措施等信息。</w:t>
            </w:r>
          </w:p>
        </w:tc>
      </w:tr>
    </w:tbl>
    <w:p w14:paraId="7CA83631">
      <w:pPr>
        <w:ind w:firstLine="420" w:firstLineChars="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1"/>
          <w:sz w:val="30"/>
          <w:szCs w:val="30"/>
          <w:highlight w:val="none"/>
        </w:rPr>
        <w:br w:type="page"/>
      </w:r>
    </w:p>
    <w:p w14:paraId="34379782">
      <w:pPr>
        <w:pStyle w:val="30"/>
        <w:spacing w:before="0" w:beforeAutospacing="0" w:after="158" w:afterLines="50" w:afterAutospacing="0"/>
        <w:jc w:val="center"/>
        <w:outlineLvl w:val="0"/>
        <w:rPr>
          <w:rFonts w:hint="eastAsia" w:ascii="Times New Roman" w:hAnsi="Times New Roman" w:eastAsia="黑体" w:cs="Times New Roman"/>
          <w:snapToGrid w:val="0"/>
          <w:color w:val="auto"/>
          <w:kern w:val="21"/>
          <w:sz w:val="30"/>
          <w:szCs w:val="30"/>
          <w:highlight w:val="none"/>
          <w:lang w:eastAsia="zh-CN"/>
        </w:rPr>
      </w:pPr>
      <w:bookmarkStart w:id="7" w:name="_Toc21713"/>
      <w:r>
        <w:rPr>
          <w:rFonts w:hint="default" w:ascii="Times New Roman" w:hAnsi="Times New Roman" w:eastAsia="黑体" w:cs="Times New Roman"/>
          <w:snapToGrid w:val="0"/>
          <w:color w:val="auto"/>
          <w:kern w:val="21"/>
          <w:sz w:val="30"/>
          <w:szCs w:val="30"/>
          <w:highlight w:val="none"/>
        </w:rPr>
        <w:t>五、</w:t>
      </w:r>
      <w:bookmarkStart w:id="8" w:name="_Hlk54167917"/>
      <w:r>
        <w:rPr>
          <w:rFonts w:hint="default" w:ascii="Times New Roman" w:hAnsi="Times New Roman" w:eastAsia="黑体" w:cs="Times New Roman"/>
          <w:snapToGrid w:val="0"/>
          <w:color w:val="auto"/>
          <w:kern w:val="21"/>
          <w:sz w:val="30"/>
          <w:szCs w:val="30"/>
          <w:highlight w:val="none"/>
        </w:rPr>
        <w:t>环境保护措施监督检查清单</w:t>
      </w:r>
      <w:bookmarkEnd w:id="7"/>
      <w:bookmarkEnd w:id="8"/>
    </w:p>
    <w:tbl>
      <w:tblPr>
        <w:tblStyle w:val="36"/>
        <w:tblW w:w="503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
      <w:tblGrid>
        <w:gridCol w:w="1498"/>
        <w:gridCol w:w="1459"/>
        <w:gridCol w:w="1677"/>
        <w:gridCol w:w="1891"/>
        <w:gridCol w:w="2546"/>
      </w:tblGrid>
      <w:tr w14:paraId="6A49D393">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tcBorders>
              <w:tl2br w:val="single" w:color="auto" w:sz="4" w:space="0"/>
            </w:tcBorders>
            <w:vAlign w:val="center"/>
          </w:tcPr>
          <w:p w14:paraId="2C9605C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right"/>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内容</w:t>
            </w:r>
          </w:p>
          <w:p w14:paraId="7609678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p>
          <w:p w14:paraId="41E7F81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要素</w:t>
            </w:r>
          </w:p>
        </w:tc>
        <w:tc>
          <w:tcPr>
            <w:tcW w:w="804" w:type="pct"/>
            <w:vAlign w:val="center"/>
          </w:tcPr>
          <w:p w14:paraId="62170C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排放口（编号、名称）/污染源</w:t>
            </w:r>
          </w:p>
        </w:tc>
        <w:tc>
          <w:tcPr>
            <w:tcW w:w="924" w:type="pct"/>
            <w:vAlign w:val="center"/>
          </w:tcPr>
          <w:p w14:paraId="271B766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污染物项目</w:t>
            </w:r>
          </w:p>
        </w:tc>
        <w:tc>
          <w:tcPr>
            <w:tcW w:w="1042" w:type="pct"/>
            <w:vAlign w:val="center"/>
          </w:tcPr>
          <w:p w14:paraId="7FDE340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环境保护措施</w:t>
            </w:r>
          </w:p>
        </w:tc>
        <w:tc>
          <w:tcPr>
            <w:tcW w:w="1403" w:type="pct"/>
            <w:vAlign w:val="center"/>
          </w:tcPr>
          <w:p w14:paraId="5D6581D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bidi="ar-SA"/>
              </w:rPr>
              <w:t>执行标准</w:t>
            </w:r>
          </w:p>
        </w:tc>
      </w:tr>
      <w:tr w14:paraId="3B3EB32A">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restart"/>
            <w:vAlign w:val="center"/>
          </w:tcPr>
          <w:p w14:paraId="320754D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rPr>
              <w:t>大气环境</w:t>
            </w:r>
          </w:p>
        </w:tc>
        <w:tc>
          <w:tcPr>
            <w:tcW w:w="804" w:type="pct"/>
            <w:vAlign w:val="center"/>
          </w:tcPr>
          <w:p w14:paraId="57D46D1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eastAsia="zh-CN"/>
              </w:rPr>
              <w:t>热风炉</w:t>
            </w:r>
            <w:r>
              <w:rPr>
                <w:rFonts w:hint="eastAsia" w:cs="Times New Roman"/>
                <w:color w:val="auto"/>
                <w:sz w:val="18"/>
                <w:szCs w:val="18"/>
                <w:highlight w:val="none"/>
                <w:lang w:eastAsia="zh-CN"/>
              </w:rPr>
              <w:t>烟囱</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DA00</w:t>
            </w:r>
            <w:r>
              <w:rPr>
                <w:rFonts w:hint="eastAsia" w:cs="Times New Roman"/>
                <w:color w:val="auto"/>
                <w:sz w:val="18"/>
                <w:szCs w:val="18"/>
                <w:highlight w:val="none"/>
                <w:lang w:val="en-US" w:eastAsia="zh-CN"/>
              </w:rPr>
              <w:t>1</w:t>
            </w:r>
            <w:r>
              <w:rPr>
                <w:rFonts w:hint="eastAsia" w:ascii="Times New Roman" w:hAnsi="Times New Roman" w:cs="Times New Roman"/>
                <w:color w:val="auto"/>
                <w:sz w:val="18"/>
                <w:szCs w:val="18"/>
                <w:highlight w:val="none"/>
                <w:lang w:eastAsia="zh-CN"/>
              </w:rPr>
              <w:t>）</w:t>
            </w:r>
          </w:p>
        </w:tc>
        <w:tc>
          <w:tcPr>
            <w:tcW w:w="924" w:type="pct"/>
            <w:vAlign w:val="center"/>
          </w:tcPr>
          <w:p w14:paraId="036FB5F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颗粒物</w:t>
            </w:r>
            <w:r>
              <w:rPr>
                <w:rFonts w:hint="eastAsia" w:ascii="Times New Roman" w:hAnsi="Times New Roman" w:eastAsia="宋体" w:cs="Times New Roman"/>
                <w:color w:val="auto"/>
                <w:sz w:val="18"/>
                <w:szCs w:val="18"/>
                <w:highlight w:val="none"/>
                <w:lang w:eastAsia="zh-CN"/>
              </w:rPr>
              <w:t>、SO</w:t>
            </w:r>
            <w:r>
              <w:rPr>
                <w:rFonts w:hint="eastAsia" w:ascii="Times New Roman" w:hAnsi="Times New Roman" w:eastAsia="宋体" w:cs="Times New Roman"/>
                <w:color w:val="auto"/>
                <w:sz w:val="18"/>
                <w:szCs w:val="18"/>
                <w:highlight w:val="none"/>
                <w:vertAlign w:val="subscript"/>
                <w:lang w:eastAsia="zh-CN"/>
              </w:rPr>
              <w:t>2</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氮氧化物、</w:t>
            </w:r>
            <w:r>
              <w:rPr>
                <w:rFonts w:hint="eastAsia" w:ascii="Times New Roman" w:hAnsi="Times New Roman" w:eastAsia="宋体" w:cs="Times New Roman"/>
                <w:color w:val="auto"/>
                <w:sz w:val="18"/>
                <w:szCs w:val="18"/>
                <w:highlight w:val="none"/>
                <w:lang w:eastAsia="zh-CN"/>
              </w:rPr>
              <w:t>烟气黑度</w:t>
            </w:r>
          </w:p>
        </w:tc>
        <w:tc>
          <w:tcPr>
            <w:tcW w:w="1042" w:type="pct"/>
            <w:vAlign w:val="center"/>
          </w:tcPr>
          <w:p w14:paraId="12D93FB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布袋除尘器</w:t>
            </w:r>
            <w:r>
              <w:rPr>
                <w:rFonts w:hint="default"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15</w:t>
            </w:r>
            <w:r>
              <w:rPr>
                <w:rFonts w:hint="default" w:ascii="Times New Roman" w:hAnsi="Times New Roman" w:eastAsia="宋体" w:cs="Times New Roman"/>
                <w:color w:val="auto"/>
                <w:sz w:val="18"/>
                <w:szCs w:val="18"/>
                <w:highlight w:val="none"/>
              </w:rPr>
              <w:t>m高</w:t>
            </w:r>
            <w:r>
              <w:rPr>
                <w:rFonts w:hint="eastAsia" w:cs="Times New Roman"/>
                <w:color w:val="auto"/>
                <w:sz w:val="18"/>
                <w:szCs w:val="18"/>
                <w:highlight w:val="none"/>
                <w:lang w:eastAsia="zh-CN"/>
              </w:rPr>
              <w:t>烟囱</w:t>
            </w:r>
            <w:r>
              <w:rPr>
                <w:rFonts w:hint="default" w:ascii="Times New Roman" w:hAnsi="Times New Roman" w:eastAsia="宋体" w:cs="Times New Roman"/>
                <w:color w:val="auto"/>
                <w:sz w:val="18"/>
                <w:szCs w:val="18"/>
                <w:highlight w:val="none"/>
              </w:rPr>
              <w:t>排放</w:t>
            </w:r>
          </w:p>
        </w:tc>
        <w:tc>
          <w:tcPr>
            <w:tcW w:w="1403" w:type="pct"/>
            <w:vAlign w:val="center"/>
          </w:tcPr>
          <w:p w14:paraId="1DADC09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《工业炉窑大气污染物排放标准》（GB9078-1996）表2和表4中标准要求</w:t>
            </w:r>
          </w:p>
        </w:tc>
      </w:tr>
      <w:tr w14:paraId="31D2C229">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57FEF5D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shd w:val="clear" w:color="auto" w:fill="auto"/>
            <w:vAlign w:val="center"/>
          </w:tcPr>
          <w:p w14:paraId="5463487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bCs/>
                <w:color w:val="auto"/>
                <w:kern w:val="0"/>
                <w:sz w:val="18"/>
                <w:szCs w:val="18"/>
                <w:highlight w:val="none"/>
                <w:lang w:val="en-US" w:eastAsia="zh-CN"/>
              </w:rPr>
              <w:t>热风炉房无组织</w:t>
            </w:r>
          </w:p>
        </w:tc>
        <w:tc>
          <w:tcPr>
            <w:tcW w:w="924" w:type="pct"/>
            <w:shd w:val="clear" w:color="auto" w:fill="auto"/>
            <w:vAlign w:val="center"/>
          </w:tcPr>
          <w:p w14:paraId="02493BD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颗粒物</w:t>
            </w:r>
          </w:p>
        </w:tc>
        <w:tc>
          <w:tcPr>
            <w:tcW w:w="1042" w:type="pct"/>
            <w:shd w:val="clear" w:color="auto" w:fill="auto"/>
            <w:vAlign w:val="center"/>
          </w:tcPr>
          <w:p w14:paraId="1A6BA6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洒水降尘</w:t>
            </w:r>
          </w:p>
        </w:tc>
        <w:tc>
          <w:tcPr>
            <w:tcW w:w="1403" w:type="pct"/>
            <w:vAlign w:val="center"/>
          </w:tcPr>
          <w:p w14:paraId="646050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eastAsia="宋体"/>
                <w:color w:val="auto"/>
                <w:sz w:val="18"/>
                <w:szCs w:val="18"/>
                <w:highlight w:val="none"/>
                <w:lang w:eastAsia="zh-CN"/>
              </w:rPr>
            </w:pPr>
            <w:r>
              <w:rPr>
                <w:rFonts w:hint="default" w:ascii="Times New Roman" w:hAnsi="Times New Roman" w:cs="Times New Roman"/>
                <w:color w:val="auto"/>
                <w:sz w:val="18"/>
                <w:szCs w:val="18"/>
                <w:highlight w:val="none"/>
              </w:rPr>
              <w:t>《工业炉窑大气污染物排放标准》（GB9078-1996）表</w:t>
            </w:r>
            <w:r>
              <w:rPr>
                <w:rFonts w:hint="eastAsia" w:ascii="Times New Roman" w:hAnsi="Times New Roman" w:cs="Times New Roman"/>
                <w:color w:val="auto"/>
                <w:sz w:val="18"/>
                <w:szCs w:val="18"/>
                <w:highlight w:val="none"/>
                <w:lang w:val="en-US" w:eastAsia="zh-CN"/>
              </w:rPr>
              <w:t>3中标准要求</w:t>
            </w:r>
          </w:p>
        </w:tc>
      </w:tr>
      <w:tr w14:paraId="5B1097E7">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6EAC349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050B703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sz w:val="18"/>
                <w:szCs w:val="18"/>
                <w:highlight w:val="none"/>
                <w:lang w:eastAsia="zh-CN"/>
              </w:rPr>
              <w:t>装卸粉尘</w:t>
            </w:r>
          </w:p>
        </w:tc>
        <w:tc>
          <w:tcPr>
            <w:tcW w:w="924" w:type="pct"/>
            <w:vMerge w:val="restart"/>
            <w:vAlign w:val="center"/>
          </w:tcPr>
          <w:p w14:paraId="5D508E1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kern w:val="0"/>
                <w:sz w:val="18"/>
                <w:szCs w:val="18"/>
                <w:highlight w:val="none"/>
                <w:lang w:eastAsia="zh-CN"/>
              </w:rPr>
              <w:t>颗粒物</w:t>
            </w:r>
          </w:p>
        </w:tc>
        <w:tc>
          <w:tcPr>
            <w:tcW w:w="1042" w:type="pct"/>
            <w:vAlign w:val="center"/>
          </w:tcPr>
          <w:p w14:paraId="5BEA911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color w:val="auto"/>
                <w:spacing w:val="0"/>
                <w:kern w:val="0"/>
                <w:sz w:val="18"/>
                <w:szCs w:val="18"/>
                <w:highlight w:val="none"/>
                <w:lang w:val="en-US" w:eastAsia="zh-CN" w:bidi="ar"/>
              </w:rPr>
              <w:t>选用密闭性良好的设备，全封闭输送、原粮入</w:t>
            </w:r>
            <w:r>
              <w:rPr>
                <w:rFonts w:hint="eastAsia" w:cs="Times New Roman"/>
                <w:color w:val="auto"/>
                <w:spacing w:val="0"/>
                <w:kern w:val="0"/>
                <w:sz w:val="18"/>
                <w:szCs w:val="18"/>
                <w:highlight w:val="none"/>
                <w:lang w:val="en-US" w:eastAsia="zh-CN" w:bidi="ar"/>
              </w:rPr>
              <w:t>仓</w:t>
            </w:r>
            <w:r>
              <w:rPr>
                <w:rFonts w:hint="default" w:ascii="Times New Roman" w:hAnsi="Times New Roman" w:eastAsia="宋体" w:cs="Times New Roman"/>
                <w:color w:val="auto"/>
                <w:spacing w:val="0"/>
                <w:kern w:val="0"/>
                <w:sz w:val="18"/>
                <w:szCs w:val="18"/>
                <w:highlight w:val="none"/>
                <w:lang w:val="en-US" w:eastAsia="zh-CN" w:bidi="ar"/>
              </w:rPr>
              <w:t>采取封闭和减小装卸高度</w:t>
            </w:r>
          </w:p>
        </w:tc>
        <w:tc>
          <w:tcPr>
            <w:tcW w:w="1403" w:type="pct"/>
            <w:vMerge w:val="restart"/>
            <w:vAlign w:val="center"/>
          </w:tcPr>
          <w:p w14:paraId="71148F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eastAsia="zh-CN"/>
              </w:rPr>
              <w:t>《</w:t>
            </w:r>
            <w:r>
              <w:rPr>
                <w:rFonts w:hint="eastAsia"/>
                <w:color w:val="auto"/>
                <w:sz w:val="18"/>
                <w:szCs w:val="18"/>
                <w:highlight w:val="none"/>
              </w:rPr>
              <w:t>大气污染物</w:t>
            </w:r>
            <w:r>
              <w:rPr>
                <w:rFonts w:hint="default"/>
                <w:color w:val="auto"/>
                <w:sz w:val="18"/>
                <w:szCs w:val="18"/>
                <w:highlight w:val="none"/>
              </w:rPr>
              <w:t>综合排放标准》</w:t>
            </w:r>
            <w:r>
              <w:rPr>
                <w:rFonts w:hint="eastAsia"/>
                <w:color w:val="auto"/>
                <w:sz w:val="18"/>
                <w:szCs w:val="18"/>
                <w:highlight w:val="none"/>
                <w:lang w:eastAsia="zh-CN"/>
              </w:rPr>
              <w:t>（</w:t>
            </w:r>
            <w:r>
              <w:rPr>
                <w:rFonts w:hint="default"/>
                <w:color w:val="auto"/>
                <w:sz w:val="18"/>
                <w:szCs w:val="18"/>
                <w:highlight w:val="none"/>
              </w:rPr>
              <w:t>GB</w:t>
            </w:r>
            <w:r>
              <w:rPr>
                <w:rFonts w:hint="eastAsia"/>
                <w:color w:val="auto"/>
                <w:sz w:val="18"/>
                <w:szCs w:val="18"/>
                <w:highlight w:val="none"/>
              </w:rPr>
              <w:t>16297</w:t>
            </w:r>
            <w:r>
              <w:rPr>
                <w:rFonts w:hint="eastAsia"/>
                <w:color w:val="auto"/>
                <w:sz w:val="18"/>
                <w:szCs w:val="18"/>
                <w:highlight w:val="none"/>
                <w:lang w:val="en-US" w:eastAsia="zh-CN"/>
              </w:rPr>
              <w:t>-</w:t>
            </w:r>
            <w:r>
              <w:rPr>
                <w:rFonts w:hint="default"/>
                <w:color w:val="auto"/>
                <w:sz w:val="18"/>
                <w:szCs w:val="18"/>
                <w:highlight w:val="none"/>
              </w:rPr>
              <w:t>1996</w:t>
            </w:r>
            <w:r>
              <w:rPr>
                <w:rFonts w:hint="eastAsia"/>
                <w:color w:val="auto"/>
                <w:sz w:val="18"/>
                <w:szCs w:val="18"/>
                <w:highlight w:val="none"/>
                <w:lang w:eastAsia="zh-CN"/>
              </w:rPr>
              <w:t>）</w:t>
            </w:r>
            <w:r>
              <w:rPr>
                <w:rFonts w:hint="default" w:ascii="Times New Roman" w:hAnsi="Times New Roman" w:cs="Times New Roman"/>
                <w:color w:val="auto"/>
                <w:sz w:val="18"/>
                <w:szCs w:val="18"/>
                <w:highlight w:val="none"/>
              </w:rPr>
              <w:t>中</w:t>
            </w:r>
            <w:r>
              <w:rPr>
                <w:rFonts w:hint="eastAsia" w:ascii="Times New Roman" w:hAnsi="Times New Roman" w:cs="Times New Roman"/>
                <w:color w:val="auto"/>
                <w:sz w:val="18"/>
                <w:szCs w:val="18"/>
                <w:highlight w:val="none"/>
                <w:lang w:eastAsia="zh-CN"/>
              </w:rPr>
              <w:t>无组织</w:t>
            </w:r>
            <w:r>
              <w:rPr>
                <w:rFonts w:hint="default" w:ascii="Times New Roman" w:hAnsi="Times New Roman" w:cs="Times New Roman"/>
                <w:color w:val="auto"/>
                <w:sz w:val="18"/>
                <w:szCs w:val="18"/>
                <w:highlight w:val="none"/>
              </w:rPr>
              <w:t>排放标准</w:t>
            </w:r>
          </w:p>
        </w:tc>
      </w:tr>
      <w:tr w14:paraId="10646480">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5965631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3EEDD88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筛分粉尘</w:t>
            </w:r>
          </w:p>
        </w:tc>
        <w:tc>
          <w:tcPr>
            <w:tcW w:w="924" w:type="pct"/>
            <w:vMerge w:val="continue"/>
            <w:vAlign w:val="center"/>
          </w:tcPr>
          <w:p w14:paraId="42C0594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eastAsia" w:ascii="Times New Roman" w:hAnsi="Times New Roman" w:cs="Times New Roman"/>
                <w:color w:val="auto"/>
                <w:kern w:val="0"/>
                <w:sz w:val="18"/>
                <w:szCs w:val="18"/>
                <w:highlight w:val="none"/>
                <w:lang w:eastAsia="zh-CN"/>
              </w:rPr>
            </w:pPr>
          </w:p>
        </w:tc>
        <w:tc>
          <w:tcPr>
            <w:tcW w:w="1042" w:type="pct"/>
            <w:vAlign w:val="center"/>
          </w:tcPr>
          <w:p w14:paraId="518289C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pacing w:val="0"/>
                <w:kern w:val="0"/>
                <w:sz w:val="18"/>
                <w:szCs w:val="18"/>
                <w:highlight w:val="none"/>
                <w:lang w:val="en-US" w:eastAsia="zh-CN" w:bidi="ar"/>
              </w:rPr>
            </w:pPr>
            <w:r>
              <w:rPr>
                <w:rFonts w:hint="eastAsia" w:ascii="Times New Roman" w:hAnsi="Times New Roman" w:cs="Times New Roman"/>
                <w:color w:val="auto"/>
                <w:sz w:val="18"/>
                <w:szCs w:val="18"/>
                <w:highlight w:val="none"/>
                <w:lang w:eastAsia="zh-CN"/>
              </w:rPr>
              <w:t>清粮采用全密闭</w:t>
            </w:r>
            <w:r>
              <w:rPr>
                <w:rFonts w:hint="eastAsia" w:cs="Times New Roman"/>
                <w:color w:val="auto"/>
                <w:sz w:val="18"/>
                <w:szCs w:val="18"/>
                <w:highlight w:val="none"/>
                <w:lang w:val="en-US" w:eastAsia="zh-CN"/>
              </w:rPr>
              <w:t>筛分机</w:t>
            </w:r>
            <w:r>
              <w:rPr>
                <w:rFonts w:hint="eastAsia" w:ascii="Times New Roman" w:hAnsi="Times New Roman" w:cs="Times New Roman"/>
                <w:color w:val="auto"/>
                <w:sz w:val="18"/>
                <w:szCs w:val="18"/>
                <w:highlight w:val="none"/>
                <w:lang w:eastAsia="zh-CN"/>
              </w:rPr>
              <w:t>，产生的粉尘经设备</w:t>
            </w:r>
            <w:r>
              <w:rPr>
                <w:rFonts w:hint="eastAsia" w:cs="Times New Roman"/>
                <w:color w:val="auto"/>
                <w:sz w:val="18"/>
                <w:szCs w:val="18"/>
                <w:highlight w:val="none"/>
                <w:lang w:eastAsia="zh-CN"/>
              </w:rPr>
              <w:t>自带滤袋</w:t>
            </w:r>
            <w:r>
              <w:rPr>
                <w:rFonts w:hint="eastAsia" w:ascii="Times New Roman" w:hAnsi="Times New Roman" w:cs="Times New Roman"/>
                <w:color w:val="auto"/>
                <w:sz w:val="18"/>
                <w:szCs w:val="18"/>
                <w:highlight w:val="none"/>
                <w:lang w:eastAsia="zh-CN"/>
              </w:rPr>
              <w:t>处理后</w:t>
            </w:r>
            <w:r>
              <w:rPr>
                <w:rFonts w:hint="eastAsia" w:cs="Times New Roman"/>
                <w:color w:val="auto"/>
                <w:sz w:val="18"/>
                <w:szCs w:val="18"/>
                <w:highlight w:val="none"/>
                <w:lang w:eastAsia="zh-CN"/>
              </w:rPr>
              <w:t>无组织</w:t>
            </w:r>
            <w:r>
              <w:rPr>
                <w:rFonts w:hint="eastAsia" w:ascii="Times New Roman" w:hAnsi="Times New Roman" w:cs="Times New Roman"/>
                <w:color w:val="auto"/>
                <w:sz w:val="18"/>
                <w:szCs w:val="18"/>
                <w:highlight w:val="none"/>
                <w:lang w:eastAsia="zh-CN"/>
              </w:rPr>
              <w:t>排放</w:t>
            </w:r>
          </w:p>
        </w:tc>
        <w:tc>
          <w:tcPr>
            <w:tcW w:w="1403" w:type="pct"/>
            <w:vMerge w:val="continue"/>
            <w:vAlign w:val="center"/>
          </w:tcPr>
          <w:p w14:paraId="6AF7AB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olor w:val="auto"/>
                <w:sz w:val="18"/>
                <w:szCs w:val="18"/>
                <w:highlight w:val="none"/>
                <w:lang w:eastAsia="zh-CN"/>
              </w:rPr>
            </w:pPr>
          </w:p>
        </w:tc>
      </w:tr>
      <w:tr w14:paraId="7F83FE91">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4534E6A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2AEA418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eastAsia" w:ascii="Times New Roman" w:hAnsi="Times New Roman" w:cs="Times New Roman"/>
                <w:color w:val="auto"/>
                <w:sz w:val="18"/>
                <w:szCs w:val="18"/>
                <w:highlight w:val="none"/>
                <w:lang w:eastAsia="zh-CN"/>
              </w:rPr>
              <w:t>烘干粉尘</w:t>
            </w:r>
          </w:p>
        </w:tc>
        <w:tc>
          <w:tcPr>
            <w:tcW w:w="924" w:type="pct"/>
            <w:vMerge w:val="continue"/>
            <w:vAlign w:val="center"/>
          </w:tcPr>
          <w:p w14:paraId="069239B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p>
        </w:tc>
        <w:tc>
          <w:tcPr>
            <w:tcW w:w="1042" w:type="pct"/>
            <w:vAlign w:val="center"/>
          </w:tcPr>
          <w:p w14:paraId="363933B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b w:val="0"/>
                <w:bCs w:val="0"/>
                <w:color w:val="auto"/>
                <w:sz w:val="18"/>
                <w:szCs w:val="18"/>
                <w:highlight w:val="none"/>
                <w:lang w:val="en-US" w:eastAsia="zh-CN"/>
              </w:rPr>
              <w:t>烘干塔内部自带重力沉降室，烘干塔底部四周设置防尘挡板，粉尘受挡板格挡后受重力作用回落到烘干塔底部收尘设施中</w:t>
            </w:r>
          </w:p>
        </w:tc>
        <w:tc>
          <w:tcPr>
            <w:tcW w:w="1403" w:type="pct"/>
            <w:vMerge w:val="continue"/>
            <w:vAlign w:val="center"/>
          </w:tcPr>
          <w:p w14:paraId="3B946E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r>
      <w:tr w14:paraId="0400A9F1">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Merge w:val="continue"/>
            <w:vAlign w:val="center"/>
          </w:tcPr>
          <w:p w14:paraId="2B62365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p>
        </w:tc>
        <w:tc>
          <w:tcPr>
            <w:tcW w:w="804" w:type="pct"/>
            <w:vAlign w:val="center"/>
          </w:tcPr>
          <w:p w14:paraId="342C04C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厂界</w:t>
            </w:r>
          </w:p>
        </w:tc>
        <w:tc>
          <w:tcPr>
            <w:tcW w:w="924" w:type="pct"/>
            <w:vAlign w:val="center"/>
          </w:tcPr>
          <w:p w14:paraId="0DEDE85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1042" w:type="pct"/>
            <w:vAlign w:val="center"/>
          </w:tcPr>
          <w:p w14:paraId="11880F6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1403" w:type="pct"/>
            <w:vMerge w:val="continue"/>
            <w:vAlign w:val="center"/>
          </w:tcPr>
          <w:p w14:paraId="69378D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r>
      <w:tr w14:paraId="33A5E0FF">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7DC9D5B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地表水环境</w:t>
            </w:r>
          </w:p>
        </w:tc>
        <w:tc>
          <w:tcPr>
            <w:tcW w:w="804" w:type="pct"/>
            <w:vAlign w:val="center"/>
          </w:tcPr>
          <w:p w14:paraId="61E49AF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rPr>
                <w:rFonts w:hint="default" w:cs="Times New Roman"/>
                <w:color w:val="FF0000"/>
                <w:sz w:val="18"/>
                <w:szCs w:val="18"/>
                <w:highlight w:val="none"/>
                <w:lang w:val="en-US" w:eastAsia="zh-CN"/>
              </w:rPr>
            </w:pPr>
            <w:r>
              <w:rPr>
                <w:rFonts w:hint="eastAsia" w:cs="Times New Roman"/>
                <w:color w:val="FF0000"/>
                <w:sz w:val="18"/>
                <w:szCs w:val="18"/>
                <w:highlight w:val="none"/>
                <w:lang w:val="en-US" w:eastAsia="zh-CN"/>
              </w:rPr>
              <w:t>/</w:t>
            </w:r>
          </w:p>
        </w:tc>
        <w:tc>
          <w:tcPr>
            <w:tcW w:w="924" w:type="pct"/>
            <w:vAlign w:val="center"/>
          </w:tcPr>
          <w:p w14:paraId="3162786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kern w:val="0"/>
                <w:sz w:val="18"/>
                <w:szCs w:val="18"/>
                <w:highlight w:val="none"/>
                <w:lang w:val="en-US" w:eastAsia="zh-CN" w:bidi="ar-SA"/>
              </w:rPr>
            </w:pPr>
            <w:r>
              <w:rPr>
                <w:rFonts w:hint="eastAsia" w:ascii="Times New Roman" w:hAnsi="Times New Roman" w:eastAsia="宋体" w:cs="Times New Roman"/>
                <w:b w:val="0"/>
                <w:bCs w:val="0"/>
                <w:color w:val="FF0000"/>
                <w:sz w:val="18"/>
                <w:szCs w:val="18"/>
                <w:highlight w:val="none"/>
                <w:lang w:val="en-US" w:eastAsia="zh-CN"/>
              </w:rPr>
              <w:t>COD</w:t>
            </w:r>
            <w:r>
              <w:rPr>
                <w:rFonts w:hint="eastAsia" w:eastAsia="宋体" w:cs="Times New Roman"/>
                <w:b w:val="0"/>
                <w:bCs w:val="0"/>
                <w:color w:val="FF0000"/>
                <w:sz w:val="18"/>
                <w:szCs w:val="18"/>
                <w:highlight w:val="none"/>
                <w:lang w:val="en-US" w:eastAsia="zh-CN"/>
              </w:rPr>
              <w:t>、</w:t>
            </w:r>
            <w:r>
              <w:rPr>
                <w:rFonts w:hint="eastAsia" w:ascii="Times New Roman" w:hAnsi="Times New Roman" w:eastAsia="宋体" w:cs="Times New Roman"/>
                <w:b w:val="0"/>
                <w:bCs w:val="0"/>
                <w:color w:val="FF0000"/>
                <w:sz w:val="18"/>
                <w:szCs w:val="18"/>
                <w:highlight w:val="none"/>
                <w:lang w:val="en-US" w:eastAsia="zh-CN"/>
              </w:rPr>
              <w:t>BOD</w:t>
            </w:r>
            <w:r>
              <w:rPr>
                <w:rFonts w:hint="eastAsia" w:eastAsia="宋体" w:cs="Times New Roman"/>
                <w:b w:val="0"/>
                <w:bCs w:val="0"/>
                <w:color w:val="FF0000"/>
                <w:sz w:val="18"/>
                <w:szCs w:val="18"/>
                <w:highlight w:val="none"/>
                <w:vertAlign w:val="subscript"/>
                <w:lang w:val="en-US" w:eastAsia="zh-CN"/>
              </w:rPr>
              <w:t>5</w:t>
            </w:r>
            <w:r>
              <w:rPr>
                <w:rFonts w:hint="eastAsia" w:eastAsia="宋体" w:cs="Times New Roman"/>
                <w:b w:val="0"/>
                <w:bCs w:val="0"/>
                <w:color w:val="FF0000"/>
                <w:sz w:val="18"/>
                <w:szCs w:val="18"/>
                <w:highlight w:val="none"/>
                <w:vertAlign w:val="baseline"/>
                <w:lang w:val="en-US" w:eastAsia="zh-CN"/>
              </w:rPr>
              <w:t>、SS、氨氮</w:t>
            </w:r>
          </w:p>
        </w:tc>
        <w:tc>
          <w:tcPr>
            <w:tcW w:w="1891" w:type="dxa"/>
            <w:vAlign w:val="top"/>
          </w:tcPr>
          <w:p w14:paraId="5061A43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FF0000"/>
                <w:kern w:val="0"/>
                <w:sz w:val="18"/>
                <w:szCs w:val="18"/>
                <w:highlight w:val="none"/>
                <w:lang w:val="en-US" w:eastAsia="zh-CN" w:bidi="ar-SA"/>
              </w:rPr>
            </w:pPr>
            <w:r>
              <w:rPr>
                <w:rFonts w:hint="eastAsia" w:eastAsia="宋体" w:cs="Times New Roman"/>
                <w:b w:val="0"/>
                <w:bCs w:val="0"/>
                <w:color w:val="FF0000"/>
                <w:sz w:val="18"/>
                <w:szCs w:val="18"/>
                <w:highlight w:val="none"/>
                <w:lang w:val="en-US" w:eastAsia="zh-CN"/>
              </w:rPr>
              <w:t>洒水降尘用水、灰渣调湿用水全部自然蒸发，生活污水</w:t>
            </w:r>
            <w:r>
              <w:rPr>
                <w:rFonts w:hint="eastAsia" w:ascii="Times New Roman" w:hAnsi="Times New Roman" w:eastAsia="宋体" w:cs="Times New Roman"/>
                <w:b w:val="0"/>
                <w:bCs w:val="0"/>
                <w:color w:val="FF0000"/>
                <w:sz w:val="18"/>
                <w:szCs w:val="18"/>
                <w:highlight w:val="none"/>
                <w:lang w:val="en-US" w:eastAsia="zh-CN"/>
              </w:rPr>
              <w:t>排入防渗旱厕，定期清掏</w:t>
            </w:r>
            <w:r>
              <w:rPr>
                <w:rFonts w:hint="eastAsia" w:cs="Times New Roman"/>
                <w:b w:val="0"/>
                <w:bCs w:val="0"/>
                <w:color w:val="FF0000"/>
                <w:sz w:val="18"/>
                <w:szCs w:val="18"/>
                <w:highlight w:val="none"/>
                <w:lang w:val="en-US" w:eastAsia="zh-CN"/>
              </w:rPr>
              <w:t>外运堆肥</w:t>
            </w:r>
            <w:r>
              <w:rPr>
                <w:rFonts w:hint="eastAsia" w:ascii="Times New Roman" w:hAnsi="Times New Roman" w:eastAsia="宋体" w:cs="Times New Roman"/>
                <w:b w:val="0"/>
                <w:bCs w:val="0"/>
                <w:color w:val="FF0000"/>
                <w:sz w:val="18"/>
                <w:szCs w:val="18"/>
                <w:highlight w:val="none"/>
                <w:lang w:val="en-US" w:eastAsia="zh-CN"/>
              </w:rPr>
              <w:t>，不外排</w:t>
            </w:r>
            <w:r>
              <w:rPr>
                <w:rFonts w:hint="eastAsia" w:cs="Times New Roman"/>
                <w:b w:val="0"/>
                <w:bCs w:val="0"/>
                <w:color w:val="FF0000"/>
                <w:sz w:val="18"/>
                <w:szCs w:val="18"/>
                <w:highlight w:val="none"/>
                <w:lang w:val="en-US" w:eastAsia="zh-CN"/>
              </w:rPr>
              <w:t>。</w:t>
            </w:r>
          </w:p>
        </w:tc>
        <w:tc>
          <w:tcPr>
            <w:tcW w:w="2546" w:type="dxa"/>
            <w:vAlign w:val="center"/>
          </w:tcPr>
          <w:p w14:paraId="2F499A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FF0000"/>
                <w:sz w:val="18"/>
                <w:szCs w:val="18"/>
                <w:highlight w:val="none"/>
                <w:lang w:val="en-US" w:eastAsia="zh-CN"/>
              </w:rPr>
            </w:pPr>
            <w:r>
              <w:rPr>
                <w:rFonts w:hint="eastAsia" w:cs="Times New Roman"/>
                <w:color w:val="FF0000"/>
                <w:sz w:val="18"/>
                <w:szCs w:val="18"/>
                <w:highlight w:val="none"/>
                <w:lang w:val="en-US" w:eastAsia="zh-CN"/>
              </w:rPr>
              <w:t>无废水外排</w:t>
            </w:r>
          </w:p>
        </w:tc>
      </w:tr>
      <w:tr w14:paraId="083F45A7">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495299E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声环境</w:t>
            </w:r>
          </w:p>
        </w:tc>
        <w:tc>
          <w:tcPr>
            <w:tcW w:w="804" w:type="pct"/>
            <w:vAlign w:val="center"/>
          </w:tcPr>
          <w:p w14:paraId="0A2763D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设备运行</w:t>
            </w:r>
          </w:p>
        </w:tc>
        <w:tc>
          <w:tcPr>
            <w:tcW w:w="924" w:type="pct"/>
            <w:vAlign w:val="center"/>
          </w:tcPr>
          <w:p w14:paraId="7F41CA6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eastAsia="zh-CN"/>
              </w:rPr>
            </w:pPr>
            <w:r>
              <w:rPr>
                <w:rFonts w:hint="default" w:ascii="Times New Roman" w:hAnsi="Times New Roman" w:eastAsia="宋体" w:cs="Times New Roman"/>
                <w:color w:val="auto"/>
                <w:kern w:val="21"/>
                <w:sz w:val="18"/>
                <w:szCs w:val="18"/>
                <w:highlight w:val="none"/>
                <w:lang w:val="en-US" w:eastAsia="zh-CN"/>
              </w:rPr>
              <w:t>噪声</w:t>
            </w:r>
          </w:p>
        </w:tc>
        <w:tc>
          <w:tcPr>
            <w:tcW w:w="1042" w:type="pct"/>
            <w:vAlign w:val="center"/>
          </w:tcPr>
          <w:p w14:paraId="27D5A5C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sz w:val="18"/>
                <w:szCs w:val="18"/>
                <w:highlight w:val="none"/>
              </w:rPr>
              <w:t>选取低噪声设备，采取减振、隔声</w:t>
            </w:r>
            <w:r>
              <w:rPr>
                <w:rFonts w:hint="eastAsia" w:cs="Times New Roman"/>
                <w:color w:val="auto"/>
                <w:sz w:val="18"/>
                <w:szCs w:val="18"/>
                <w:highlight w:val="none"/>
                <w:lang w:val="en-US" w:eastAsia="zh-CN"/>
              </w:rPr>
              <w:t>等措施</w:t>
            </w:r>
          </w:p>
        </w:tc>
        <w:tc>
          <w:tcPr>
            <w:tcW w:w="1403" w:type="pct"/>
            <w:vAlign w:val="center"/>
          </w:tcPr>
          <w:p w14:paraId="2756DA9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cs="Times New Roman"/>
                <w:color w:val="auto"/>
                <w:sz w:val="18"/>
                <w:szCs w:val="18"/>
                <w:highlight w:val="none"/>
              </w:rPr>
              <w:t>《工业企业厂界环境噪声排放标准》(GB12348-2008)表1中</w:t>
            </w:r>
            <w:r>
              <w:rPr>
                <w:rFonts w:hint="eastAsia"/>
                <w:color w:val="auto"/>
                <w:sz w:val="18"/>
                <w:szCs w:val="18"/>
                <w:highlight w:val="none"/>
                <w:lang w:val="en-US" w:eastAsia="zh-CN"/>
              </w:rPr>
              <w:t>2类标准</w:t>
            </w:r>
          </w:p>
        </w:tc>
      </w:tr>
      <w:tr w14:paraId="46D07FB2">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76C3284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电磁辐射</w:t>
            </w:r>
          </w:p>
        </w:tc>
        <w:tc>
          <w:tcPr>
            <w:tcW w:w="804" w:type="pct"/>
            <w:vAlign w:val="center"/>
          </w:tcPr>
          <w:p w14:paraId="1AC7C4A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c>
          <w:tcPr>
            <w:tcW w:w="924" w:type="pct"/>
            <w:vAlign w:val="center"/>
          </w:tcPr>
          <w:p w14:paraId="0DA5C8B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c>
          <w:tcPr>
            <w:tcW w:w="1042" w:type="pct"/>
            <w:vAlign w:val="center"/>
          </w:tcPr>
          <w:p w14:paraId="7945E19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c>
          <w:tcPr>
            <w:tcW w:w="1403" w:type="pct"/>
            <w:vAlign w:val="center"/>
          </w:tcPr>
          <w:p w14:paraId="2E34BE4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w:t>
            </w:r>
          </w:p>
        </w:tc>
      </w:tr>
      <w:tr w14:paraId="3E2DE5D3">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6227D01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固体废物</w:t>
            </w:r>
          </w:p>
        </w:tc>
        <w:tc>
          <w:tcPr>
            <w:tcW w:w="4174" w:type="pct"/>
            <w:gridSpan w:val="4"/>
            <w:vAlign w:val="center"/>
          </w:tcPr>
          <w:p w14:paraId="013183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1"/>
                <w:sz w:val="18"/>
                <w:szCs w:val="18"/>
                <w:highlight w:val="none"/>
                <w:lang w:val="en-US" w:eastAsia="zh-CN"/>
              </w:rPr>
            </w:pPr>
            <w:r>
              <w:rPr>
                <w:rFonts w:hint="default" w:cs="Times New Roman"/>
                <w:color w:val="auto"/>
                <w:sz w:val="18"/>
                <w:szCs w:val="18"/>
                <w:highlight w:val="none"/>
                <w:lang w:val="en-US" w:eastAsia="zh-CN"/>
              </w:rPr>
              <w:t>本项目</w:t>
            </w:r>
            <w:r>
              <w:rPr>
                <w:rFonts w:hint="eastAsia" w:cs="Times New Roman"/>
                <w:color w:val="auto"/>
                <w:sz w:val="18"/>
                <w:szCs w:val="18"/>
                <w:highlight w:val="none"/>
                <w:lang w:val="en-US" w:eastAsia="zh-CN"/>
              </w:rPr>
              <w:t>生活垃圾集中收集委托环卫部门处理，热风炉灰渣暂存密闭灰渣间，定期清运，不在厂区长期储存，外售综合利用，初清杂质及输送装卸过程产生的砂石杂质外售建材企业综合利用，烘干粉尘外售农户作为牲畜饲料综合利用，除尘器废布袋由除尘器厂家更换后回收。废机油、废机油桶、含油抹布手套等危险废物暂存危险废物贮存点，定期委托有资质单位处置。</w:t>
            </w:r>
          </w:p>
        </w:tc>
      </w:tr>
      <w:tr w14:paraId="24D36849">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7F68319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土壤及地下水污染防治措施</w:t>
            </w:r>
          </w:p>
        </w:tc>
        <w:tc>
          <w:tcPr>
            <w:tcW w:w="4174" w:type="pct"/>
            <w:gridSpan w:val="4"/>
            <w:vAlign w:val="center"/>
          </w:tcPr>
          <w:p w14:paraId="5BAAF2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1"/>
                <w:sz w:val="18"/>
                <w:szCs w:val="18"/>
                <w:highlight w:val="none"/>
                <w:lang w:eastAsia="zh-CN"/>
              </w:rPr>
            </w:pPr>
            <w:r>
              <w:rPr>
                <w:rFonts w:hint="default" w:ascii="Times New Roman" w:hAnsi="Times New Roman" w:eastAsia="宋体" w:cs="Times New Roman"/>
                <w:color w:val="auto"/>
                <w:kern w:val="2"/>
                <w:sz w:val="18"/>
                <w:szCs w:val="18"/>
                <w:highlight w:val="none"/>
                <w:lang w:val="en-US" w:eastAsia="zh-CN" w:bidi="ar-SA"/>
              </w:rPr>
              <w:t>本项目</w:t>
            </w:r>
            <w:r>
              <w:rPr>
                <w:rFonts w:hint="eastAsia" w:ascii="Times New Roman" w:hAnsi="Times New Roman" w:eastAsia="宋体" w:cs="Times New Roman"/>
                <w:color w:val="auto"/>
                <w:kern w:val="2"/>
                <w:sz w:val="18"/>
                <w:szCs w:val="18"/>
                <w:highlight w:val="none"/>
                <w:lang w:val="en-US" w:eastAsia="zh-CN" w:bidi="ar-SA"/>
              </w:rPr>
              <w:t>危险废物贮存点地面与裙脚采取重点防渗，</w:t>
            </w:r>
            <w:r>
              <w:rPr>
                <w:rFonts w:hint="eastAsia" w:cs="Times New Roman"/>
                <w:color w:val="auto"/>
                <w:kern w:val="2"/>
                <w:sz w:val="18"/>
                <w:szCs w:val="18"/>
                <w:highlight w:val="none"/>
                <w:lang w:val="en-US" w:eastAsia="zh-CN" w:bidi="ar-SA"/>
              </w:rPr>
              <w:t>采用</w:t>
            </w:r>
            <w:r>
              <w:rPr>
                <w:rFonts w:hint="eastAsia" w:ascii="Times New Roman" w:hAnsi="Times New Roman" w:eastAsia="宋体" w:cs="Times New Roman"/>
                <w:color w:val="auto"/>
                <w:kern w:val="2"/>
                <w:sz w:val="18"/>
                <w:szCs w:val="18"/>
                <w:highlight w:val="none"/>
                <w:lang w:val="en-US" w:eastAsia="zh-CN" w:bidi="ar-SA"/>
              </w:rPr>
              <w:t>至少2mm厚的防渗人工材料，防渗系数≤10</w:t>
            </w:r>
            <w:r>
              <w:rPr>
                <w:rFonts w:hint="eastAsia" w:ascii="Times New Roman" w:hAnsi="Times New Roman" w:eastAsia="宋体" w:cs="Times New Roman"/>
                <w:color w:val="auto"/>
                <w:kern w:val="2"/>
                <w:sz w:val="18"/>
                <w:szCs w:val="18"/>
                <w:highlight w:val="none"/>
                <w:vertAlign w:val="superscript"/>
                <w:lang w:val="en-US" w:eastAsia="zh-CN" w:bidi="ar-SA"/>
              </w:rPr>
              <w:t>-10</w:t>
            </w:r>
            <w:r>
              <w:rPr>
                <w:rFonts w:hint="eastAsia" w:ascii="Times New Roman" w:hAnsi="Times New Roman" w:eastAsia="宋体" w:cs="Times New Roman"/>
                <w:color w:val="auto"/>
                <w:kern w:val="2"/>
                <w:sz w:val="18"/>
                <w:szCs w:val="18"/>
                <w:highlight w:val="none"/>
                <w:lang w:val="en-US" w:eastAsia="zh-CN" w:bidi="ar-SA"/>
              </w:rPr>
              <w:t>cm/s，厂区内其他区域采取简单防渗，</w:t>
            </w:r>
            <w:r>
              <w:rPr>
                <w:rFonts w:hint="eastAsia" w:cs="Times New Roman"/>
                <w:color w:val="auto"/>
                <w:kern w:val="2"/>
                <w:sz w:val="18"/>
                <w:szCs w:val="18"/>
                <w:highlight w:val="none"/>
                <w:lang w:val="en-US" w:eastAsia="zh-CN" w:bidi="ar-SA"/>
              </w:rPr>
              <w:t>采用</w:t>
            </w:r>
            <w:r>
              <w:rPr>
                <w:rFonts w:hint="eastAsia" w:ascii="Times New Roman" w:hAnsi="Times New Roman" w:eastAsia="宋体" w:cs="Times New Roman"/>
                <w:color w:val="auto"/>
                <w:kern w:val="2"/>
                <w:sz w:val="18"/>
                <w:szCs w:val="18"/>
                <w:highlight w:val="none"/>
                <w:lang w:val="en-US" w:eastAsia="zh-CN" w:bidi="ar-SA"/>
              </w:rPr>
              <w:t>水泥硬化</w:t>
            </w:r>
            <w:r>
              <w:rPr>
                <w:rFonts w:hint="eastAsia" w:cs="Times New Roman"/>
                <w:color w:val="auto"/>
                <w:kern w:val="2"/>
                <w:sz w:val="18"/>
                <w:szCs w:val="18"/>
                <w:highlight w:val="none"/>
                <w:lang w:val="en-US" w:eastAsia="zh-CN" w:bidi="ar-SA"/>
              </w:rPr>
              <w:t>。</w:t>
            </w:r>
          </w:p>
        </w:tc>
      </w:tr>
      <w:tr w14:paraId="17DDB63B">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5D79D23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生态保护措施</w:t>
            </w:r>
          </w:p>
        </w:tc>
        <w:tc>
          <w:tcPr>
            <w:tcW w:w="4174" w:type="pct"/>
            <w:gridSpan w:val="4"/>
            <w:vAlign w:val="center"/>
          </w:tcPr>
          <w:p w14:paraId="3CC5C2F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lang w:eastAsia="zh-CN"/>
              </w:rPr>
            </w:pPr>
            <w:r>
              <w:rPr>
                <w:rFonts w:hint="default" w:ascii="Times New Roman" w:hAnsi="Times New Roman" w:eastAsia="宋体" w:cs="Times New Roman"/>
                <w:color w:val="auto"/>
                <w:sz w:val="18"/>
                <w:szCs w:val="18"/>
                <w:highlight w:val="none"/>
                <w:lang w:val="en-US" w:eastAsia="zh-CN"/>
              </w:rPr>
              <w:t>无</w:t>
            </w:r>
          </w:p>
        </w:tc>
      </w:tr>
      <w:tr w14:paraId="52C03746">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54" w:hRule="atLeast"/>
          <w:jc w:val="center"/>
        </w:trPr>
        <w:tc>
          <w:tcPr>
            <w:tcW w:w="825" w:type="pct"/>
            <w:vAlign w:val="center"/>
          </w:tcPr>
          <w:p w14:paraId="5104719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环境风险防范措施</w:t>
            </w:r>
          </w:p>
        </w:tc>
        <w:tc>
          <w:tcPr>
            <w:tcW w:w="4174" w:type="pct"/>
            <w:gridSpan w:val="4"/>
            <w:vAlign w:val="center"/>
          </w:tcPr>
          <w:p w14:paraId="2648F62B">
            <w:pPr>
              <w:keepNext w:val="0"/>
              <w:keepLines w:val="0"/>
              <w:suppressLineNumbers w:val="0"/>
              <w:adjustRightInd w:val="0"/>
              <w:snapToGrid w:val="0"/>
              <w:spacing w:before="0" w:beforeAutospacing="0" w:after="0" w:afterAutospacing="0"/>
              <w:ind w:left="0" w:right="0"/>
              <w:jc w:val="both"/>
              <w:rPr>
                <w:rFonts w:hint="eastAsia" w:eastAsia="宋体"/>
                <w:color w:val="auto"/>
                <w:sz w:val="18"/>
                <w:szCs w:val="18"/>
                <w:highlight w:val="none"/>
                <w:lang w:val="en-US" w:eastAsia="zh-CN"/>
              </w:rPr>
            </w:pPr>
            <w:r>
              <w:rPr>
                <w:rFonts w:hint="eastAsia" w:ascii="Times New Roman" w:hAnsi="Times New Roman" w:eastAsia="宋体" w:cs="Times New Roman"/>
                <w:color w:val="FF0000"/>
                <w:sz w:val="18"/>
                <w:szCs w:val="18"/>
                <w:highlight w:val="none"/>
                <w:lang w:val="en-US" w:eastAsia="zh-CN"/>
              </w:rPr>
              <w:t>厂区内</w:t>
            </w:r>
            <w:r>
              <w:rPr>
                <w:rFonts w:hint="default" w:ascii="Times New Roman" w:hAnsi="Times New Roman" w:eastAsia="宋体" w:cs="Times New Roman"/>
                <w:color w:val="FF0000"/>
                <w:sz w:val="18"/>
                <w:szCs w:val="18"/>
                <w:highlight w:val="none"/>
                <w:lang w:val="en-US" w:eastAsia="zh-CN"/>
              </w:rPr>
              <w:t>按照《建筑灭火器配制设计规范》（GB50140-2005</w:t>
            </w:r>
            <w:r>
              <w:rPr>
                <w:rFonts w:hint="eastAsia" w:ascii="Times New Roman" w:hAnsi="Times New Roman" w:eastAsia="宋体" w:cs="Times New Roman"/>
                <w:color w:val="FF0000"/>
                <w:sz w:val="18"/>
                <w:szCs w:val="18"/>
                <w:highlight w:val="none"/>
                <w:lang w:val="en-US" w:eastAsia="zh-CN"/>
              </w:rPr>
              <w:t>）</w:t>
            </w:r>
            <w:r>
              <w:rPr>
                <w:rFonts w:hint="default" w:ascii="Times New Roman" w:hAnsi="Times New Roman" w:eastAsia="宋体" w:cs="Times New Roman"/>
                <w:color w:val="FF0000"/>
                <w:sz w:val="18"/>
                <w:szCs w:val="18"/>
                <w:highlight w:val="none"/>
                <w:lang w:val="en-US" w:eastAsia="zh-CN"/>
              </w:rPr>
              <w:t>，配置一定数量不同类型、不同规格的移动式灭火器材</w:t>
            </w:r>
            <w:r>
              <w:rPr>
                <w:rFonts w:hint="eastAsia" w:ascii="Times New Roman" w:hAnsi="Times New Roman" w:eastAsia="宋体" w:cs="Times New Roman"/>
                <w:color w:val="FF0000"/>
                <w:sz w:val="18"/>
                <w:szCs w:val="18"/>
                <w:highlight w:val="none"/>
                <w:lang w:val="en-US" w:eastAsia="zh-CN"/>
              </w:rPr>
              <w:t>。加强职工安全教育，杜绝风险事故发生。</w:t>
            </w:r>
            <w:r>
              <w:rPr>
                <w:rFonts w:hint="eastAsia" w:cs="Times New Roman"/>
                <w:color w:val="FF0000"/>
                <w:sz w:val="18"/>
                <w:szCs w:val="18"/>
                <w:highlight w:val="none"/>
                <w:lang w:val="en-US" w:eastAsia="zh-CN"/>
              </w:rPr>
              <w:t>按照危险废物贮存要求合理储存废机油、含油抹布手套、废机油桶，</w:t>
            </w:r>
            <w:r>
              <w:rPr>
                <w:rFonts w:hint="eastAsia" w:ascii="Times New Roman" w:hAnsi="Times New Roman" w:eastAsia="宋体" w:cs="Times New Roman"/>
                <w:color w:val="FF0000"/>
                <w:sz w:val="18"/>
                <w:szCs w:val="18"/>
                <w:highlight w:val="none"/>
                <w:lang w:val="en-US" w:eastAsia="zh-CN"/>
              </w:rPr>
              <w:t>安排专人负责看管并日常性巡查，每日</w:t>
            </w:r>
            <w:r>
              <w:rPr>
                <w:rFonts w:hint="eastAsia" w:cs="Times New Roman"/>
                <w:color w:val="FF0000"/>
                <w:sz w:val="18"/>
                <w:szCs w:val="18"/>
                <w:highlight w:val="none"/>
                <w:lang w:val="en-US" w:eastAsia="zh-CN"/>
              </w:rPr>
              <w:t>对</w:t>
            </w:r>
            <w:r>
              <w:rPr>
                <w:rFonts w:hint="eastAsia" w:ascii="Times New Roman" w:hAnsi="Times New Roman" w:eastAsia="宋体" w:cs="Times New Roman"/>
                <w:color w:val="FF0000"/>
                <w:sz w:val="18"/>
                <w:szCs w:val="18"/>
                <w:highlight w:val="none"/>
                <w:lang w:val="en-US" w:eastAsia="zh-CN"/>
              </w:rPr>
              <w:t>供电设施、</w:t>
            </w:r>
            <w:r>
              <w:rPr>
                <w:rFonts w:hint="eastAsia" w:cs="Times New Roman"/>
                <w:color w:val="FF0000"/>
                <w:sz w:val="18"/>
                <w:szCs w:val="18"/>
                <w:highlight w:val="none"/>
                <w:lang w:val="en-US" w:eastAsia="zh-CN"/>
              </w:rPr>
              <w:t>燃料间、危险废物贮存点</w:t>
            </w:r>
            <w:r>
              <w:rPr>
                <w:rFonts w:hint="default" w:ascii="Times New Roman" w:hAnsi="Times New Roman" w:eastAsia="宋体" w:cs="Times New Roman"/>
                <w:color w:val="FF0000"/>
                <w:sz w:val="18"/>
                <w:szCs w:val="18"/>
                <w:highlight w:val="none"/>
                <w:lang w:val="en-US" w:eastAsia="zh-CN"/>
              </w:rPr>
              <w:t>进行查看，避免火灾的引发</w:t>
            </w:r>
            <w:r>
              <w:rPr>
                <w:rFonts w:hint="default" w:ascii="Times New Roman" w:hAnsi="Times New Roman" w:eastAsia="宋体" w:cs="Times New Roman"/>
                <w:color w:val="FF0000"/>
                <w:sz w:val="18"/>
                <w:szCs w:val="18"/>
                <w:highlight w:val="none"/>
                <w:lang w:eastAsia="zh-CN"/>
              </w:rPr>
              <w:t>。</w:t>
            </w:r>
            <w:r>
              <w:rPr>
                <w:rFonts w:hint="default" w:ascii="Times New Roman" w:hAnsi="Times New Roman" w:eastAsia="宋体" w:cs="Times New Roman"/>
                <w:color w:val="FF0000"/>
                <w:sz w:val="18"/>
                <w:szCs w:val="18"/>
                <w:highlight w:val="none"/>
                <w:lang w:val="en-GB" w:eastAsia="zh-CN"/>
              </w:rPr>
              <w:t>厂房及各种功能建筑按照《建筑设计防火规范》（GB50016-20</w:t>
            </w:r>
            <w:r>
              <w:rPr>
                <w:rFonts w:hint="default" w:ascii="Times New Roman" w:hAnsi="Times New Roman" w:eastAsia="宋体" w:cs="Times New Roman"/>
                <w:color w:val="FF0000"/>
                <w:sz w:val="18"/>
                <w:szCs w:val="18"/>
                <w:highlight w:val="none"/>
                <w:lang w:val="en-US" w:eastAsia="zh-CN"/>
              </w:rPr>
              <w:t>14</w:t>
            </w:r>
            <w:r>
              <w:rPr>
                <w:rFonts w:hint="default" w:ascii="Times New Roman" w:hAnsi="Times New Roman" w:eastAsia="宋体" w:cs="Times New Roman"/>
                <w:color w:val="FF0000"/>
                <w:sz w:val="18"/>
                <w:szCs w:val="18"/>
                <w:highlight w:val="none"/>
                <w:lang w:val="en-GB" w:eastAsia="zh-CN"/>
              </w:rPr>
              <w:t>）进行规范设计施工</w:t>
            </w:r>
            <w:r>
              <w:rPr>
                <w:rFonts w:hint="eastAsia" w:ascii="Times New Roman" w:hAnsi="Times New Roman" w:eastAsia="宋体" w:cs="Times New Roman"/>
                <w:color w:val="FF0000"/>
                <w:sz w:val="18"/>
                <w:szCs w:val="18"/>
                <w:highlight w:val="none"/>
                <w:lang w:val="en-GB" w:eastAsia="zh-CN"/>
              </w:rPr>
              <w:t>，实际运营前，</w:t>
            </w:r>
            <w:r>
              <w:rPr>
                <w:rFonts w:hint="eastAsia" w:ascii="Times New Roman" w:hAnsi="Times New Roman" w:eastAsia="宋体" w:cs="Times New Roman"/>
                <w:color w:val="FF0000"/>
                <w:sz w:val="18"/>
                <w:szCs w:val="18"/>
                <w:highlight w:val="none"/>
                <w:lang w:val="en-US" w:eastAsia="zh-CN"/>
              </w:rPr>
              <w:t>建设单位应制定突发环境事件应急预案，定期演练，建立环境事故应急响应体系，并建立与市级突发环境事件应急预案的联动机制，对可能发生的事故采取相应的应急救援措施。</w:t>
            </w:r>
          </w:p>
        </w:tc>
      </w:tr>
      <w:tr w14:paraId="788D96C0">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2247" w:hRule="atLeast"/>
          <w:jc w:val="center"/>
        </w:trPr>
        <w:tc>
          <w:tcPr>
            <w:tcW w:w="825" w:type="pct"/>
            <w:vAlign w:val="center"/>
          </w:tcPr>
          <w:p w14:paraId="74F16CE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18"/>
                <w:szCs w:val="18"/>
                <w:highlight w:val="none"/>
              </w:rPr>
            </w:pPr>
            <w:r>
              <w:rPr>
                <w:rFonts w:hint="default" w:ascii="Times New Roman" w:hAnsi="Times New Roman" w:eastAsia="宋体" w:cs="Times New Roman"/>
                <w:color w:val="auto"/>
                <w:kern w:val="21"/>
                <w:sz w:val="18"/>
                <w:szCs w:val="18"/>
                <w:highlight w:val="none"/>
              </w:rPr>
              <w:t>其他环境管理要求</w:t>
            </w:r>
          </w:p>
        </w:tc>
        <w:tc>
          <w:tcPr>
            <w:tcW w:w="4174" w:type="pct"/>
            <w:gridSpan w:val="4"/>
            <w:vAlign w:val="top"/>
          </w:tcPr>
          <w:p w14:paraId="1F9EC27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both"/>
              <w:textAlignment w:val="auto"/>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sz w:val="18"/>
                <w:szCs w:val="18"/>
                <w:highlight w:val="none"/>
              </w:rPr>
              <w:t>本项目投产运行前，应按照《固定污染源排污许可分类管理名录（2019年版）》</w:t>
            </w:r>
            <w:r>
              <w:rPr>
                <w:rFonts w:hint="eastAsia" w:cs="Times New Roman"/>
                <w:color w:val="auto"/>
                <w:sz w:val="18"/>
                <w:szCs w:val="18"/>
                <w:highlight w:val="none"/>
                <w:lang w:val="en-US" w:eastAsia="zh-CN"/>
              </w:rPr>
              <w:t>申请</w:t>
            </w:r>
            <w:r>
              <w:rPr>
                <w:rFonts w:hint="default" w:ascii="Times New Roman" w:hAnsi="Times New Roman" w:eastAsia="宋体" w:cs="Times New Roman"/>
                <w:color w:val="auto"/>
                <w:sz w:val="18"/>
                <w:szCs w:val="18"/>
                <w:highlight w:val="none"/>
              </w:rPr>
              <w:t>排污许可证。工作区内需指定专门的人员，在本项</w:t>
            </w:r>
            <w:r>
              <w:rPr>
                <w:rFonts w:hint="eastAsia" w:ascii="宋体" w:hAnsi="宋体" w:eastAsia="宋体" w:cs="宋体"/>
                <w:color w:val="auto"/>
                <w:sz w:val="18"/>
                <w:szCs w:val="18"/>
                <w:highlight w:val="none"/>
              </w:rPr>
              <w:t>目实施时严格执行“三同时”制度，保证项目运营时三废均能得到有效处理后达标排放。在日常生产中，应加强环保管理，大力推行清洁生产，并加强职工对污染要“以防为主，防治结合”的认识。另外，应加强对设备运行状况的检查，特别是环保设</w:t>
            </w:r>
            <w:r>
              <w:rPr>
                <w:rFonts w:hint="default" w:ascii="Times New Roman" w:hAnsi="Times New Roman" w:eastAsia="宋体" w:cs="Times New Roman"/>
                <w:color w:val="auto"/>
                <w:sz w:val="18"/>
                <w:szCs w:val="18"/>
                <w:highlight w:val="none"/>
              </w:rPr>
              <w:t>施要做到定期检查，制定检查方案与实施计划，严防出故障，对三废处理装置要定期检修，以确保污染物达标排放。按照相关要求，对排污口进行规范化管理，在正确的排放点位设置标识，以便进行自行验收和规范化管理</w:t>
            </w:r>
            <w:r>
              <w:rPr>
                <w:rFonts w:hint="eastAsia" w:cs="Times New Roman"/>
                <w:color w:val="auto"/>
                <w:sz w:val="18"/>
                <w:szCs w:val="18"/>
                <w:highlight w:val="none"/>
                <w:lang w:eastAsia="zh-CN"/>
              </w:rPr>
              <w:t>。</w:t>
            </w:r>
          </w:p>
        </w:tc>
      </w:tr>
    </w:tbl>
    <w:p w14:paraId="42216BED">
      <w:pPr>
        <w:pStyle w:val="30"/>
        <w:spacing w:before="0" w:beforeAutospacing="0" w:after="158" w:afterLines="50" w:afterAutospacing="0"/>
        <w:jc w:val="center"/>
        <w:outlineLvl w:val="0"/>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sz w:val="30"/>
          <w:szCs w:val="30"/>
          <w:highlight w:val="none"/>
        </w:rPr>
        <w:br w:type="page"/>
      </w:r>
      <w:bookmarkStart w:id="9" w:name="_Toc19724"/>
      <w:r>
        <w:rPr>
          <w:rFonts w:hint="default" w:ascii="Times New Roman" w:hAnsi="Times New Roman" w:eastAsia="黑体" w:cs="Times New Roman"/>
          <w:snapToGrid w:val="0"/>
          <w:color w:val="auto"/>
          <w:kern w:val="21"/>
          <w:sz w:val="30"/>
          <w:szCs w:val="30"/>
          <w:highlight w:val="none"/>
        </w:rPr>
        <w:t>六、结论</w:t>
      </w:r>
      <w:bookmarkEnd w:id="9"/>
    </w:p>
    <w:tbl>
      <w:tblPr>
        <w:tblStyle w:val="36"/>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14:paraId="3B0094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68" w:hRule="atLeast"/>
          <w:jc w:val="center"/>
        </w:trPr>
        <w:tc>
          <w:tcPr>
            <w:tcW w:w="5000" w:type="pct"/>
            <w:vAlign w:val="top"/>
          </w:tcPr>
          <w:p w14:paraId="34DDAC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Cs w:val="21"/>
                <w:highlight w:val="none"/>
              </w:rPr>
            </w:pPr>
            <w:r>
              <w:rPr>
                <w:rFonts w:hint="eastAsia"/>
                <w:color w:val="auto"/>
                <w:szCs w:val="21"/>
                <w:highlight w:val="none"/>
              </w:rPr>
              <w:t>本</w:t>
            </w:r>
            <w:r>
              <w:rPr>
                <w:rFonts w:hint="default"/>
                <w:color w:val="auto"/>
                <w:szCs w:val="21"/>
                <w:highlight w:val="none"/>
              </w:rPr>
              <w:t>项目符合国家产业政策，环保治理措施技术可行、污染物达标排放。企业在确实落实各项治理措施的情况下，在环保方面是可行的。</w:t>
            </w:r>
          </w:p>
        </w:tc>
      </w:tr>
    </w:tbl>
    <w:p w14:paraId="529EC696">
      <w:pPr>
        <w:pStyle w:val="30"/>
        <w:spacing w:before="0" w:beforeAutospacing="0" w:after="158" w:afterLines="50" w:afterAutospacing="0"/>
        <w:outlineLvl w:val="0"/>
        <w:rPr>
          <w:rFonts w:hint="default" w:ascii="Times New Roman" w:hAnsi="Times New Roman" w:eastAsia="黑体" w:cs="Times New Roman"/>
          <w:snapToGrid w:val="0"/>
          <w:color w:val="auto"/>
          <w:sz w:val="32"/>
          <w:szCs w:val="32"/>
          <w:highlight w:val="none"/>
        </w:rPr>
        <w:sectPr>
          <w:footerReference r:id="rId5" w:type="default"/>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1196382A">
      <w:pPr>
        <w:pStyle w:val="30"/>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黑体" w:cs="Times New Roman"/>
          <w:snapToGrid w:val="0"/>
          <w:color w:val="auto"/>
          <w:kern w:val="21"/>
          <w:sz w:val="30"/>
          <w:szCs w:val="30"/>
          <w:highlight w:val="none"/>
        </w:rPr>
      </w:pPr>
      <w:bookmarkStart w:id="10" w:name="_Toc17733"/>
      <w:r>
        <w:rPr>
          <w:rFonts w:hint="default" w:ascii="Times New Roman" w:hAnsi="Times New Roman" w:eastAsia="黑体" w:cs="Times New Roman"/>
          <w:snapToGrid w:val="0"/>
          <w:color w:val="auto"/>
          <w:kern w:val="21"/>
          <w:sz w:val="30"/>
          <w:szCs w:val="30"/>
          <w:highlight w:val="none"/>
        </w:rPr>
        <w:t>附表</w:t>
      </w:r>
      <w:bookmarkEnd w:id="10"/>
    </w:p>
    <w:p w14:paraId="2EDD5E23">
      <w:pPr>
        <w:pStyle w:val="30"/>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rPr>
          <w:rFonts w:hint="eastAsia" w:ascii="Times New Roman" w:hAnsi="Times New Roman" w:eastAsia="黑体" w:cs="Times New Roman"/>
          <w:snapToGrid w:val="0"/>
          <w:color w:val="auto"/>
          <w:kern w:val="21"/>
          <w:sz w:val="30"/>
          <w:szCs w:val="38"/>
          <w:highlight w:val="none"/>
          <w:lang w:eastAsia="zh-CN"/>
        </w:rPr>
      </w:pPr>
      <w:r>
        <w:rPr>
          <w:rFonts w:hint="default" w:ascii="Times New Roman" w:hAnsi="Times New Roman" w:eastAsia="黑体" w:cs="Times New Roman"/>
          <w:snapToGrid w:val="0"/>
          <w:color w:val="auto"/>
          <w:kern w:val="21"/>
          <w:sz w:val="30"/>
          <w:szCs w:val="38"/>
          <w:highlight w:val="none"/>
        </w:rPr>
        <w:t>建设项目污染物排放量汇总表</w:t>
      </w:r>
    </w:p>
    <w:tbl>
      <w:tblPr>
        <w:tblStyle w:val="36"/>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2471"/>
        <w:gridCol w:w="1364"/>
        <w:gridCol w:w="1296"/>
        <w:gridCol w:w="1409"/>
        <w:gridCol w:w="1559"/>
        <w:gridCol w:w="1535"/>
        <w:gridCol w:w="1786"/>
        <w:gridCol w:w="1225"/>
      </w:tblGrid>
      <w:tr w14:paraId="5E9763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tcBorders>
              <w:tl2br w:val="single" w:color="auto" w:sz="4" w:space="0"/>
            </w:tcBorders>
            <w:tcMar>
              <w:left w:w="28" w:type="dxa"/>
              <w:right w:w="28" w:type="dxa"/>
            </w:tcMar>
            <w:vAlign w:val="center"/>
          </w:tcPr>
          <w:p w14:paraId="27DEA762">
            <w:pPr>
              <w:pStyle w:val="67"/>
              <w:keepNext w:val="0"/>
              <w:keepLines w:val="0"/>
              <w:suppressLineNumbers w:val="0"/>
              <w:spacing w:before="0" w:beforeLines="0" w:beforeAutospacing="0" w:after="0" w:afterLines="0" w:afterAutospacing="0" w:line="240" w:lineRule="auto"/>
              <w:ind w:left="0" w:right="0" w:firstLine="0" w:firstLineChars="0"/>
              <w:jc w:val="righ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项目</w:t>
            </w:r>
          </w:p>
          <w:p w14:paraId="24471E3B">
            <w:pPr>
              <w:pStyle w:val="67"/>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分类</w:t>
            </w:r>
          </w:p>
        </w:tc>
        <w:tc>
          <w:tcPr>
            <w:tcW w:w="2471" w:type="dxa"/>
            <w:tcMar>
              <w:left w:w="28" w:type="dxa"/>
              <w:right w:w="28" w:type="dxa"/>
            </w:tcMar>
            <w:vAlign w:val="center"/>
          </w:tcPr>
          <w:p w14:paraId="44C248EC">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污染物名称</w:t>
            </w:r>
          </w:p>
        </w:tc>
        <w:tc>
          <w:tcPr>
            <w:tcW w:w="1364" w:type="dxa"/>
            <w:tcMar>
              <w:left w:w="28" w:type="dxa"/>
              <w:right w:w="28" w:type="dxa"/>
            </w:tcMar>
            <w:vAlign w:val="center"/>
          </w:tcPr>
          <w:p w14:paraId="36C23941">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241B1A0D">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snapToGrid w:val="0"/>
                <w:color w:val="auto"/>
                <w:spacing w:val="-6"/>
                <w:kern w:val="21"/>
                <w:sz w:val="21"/>
                <w:szCs w:val="21"/>
                <w:highlight w:val="none"/>
              </w:rPr>
              <w:fldChar w:fldCharType="end"/>
            </w:r>
          </w:p>
        </w:tc>
        <w:tc>
          <w:tcPr>
            <w:tcW w:w="1296" w:type="dxa"/>
            <w:tcMar>
              <w:left w:w="28" w:type="dxa"/>
              <w:right w:w="28" w:type="dxa"/>
            </w:tcMar>
            <w:vAlign w:val="center"/>
          </w:tcPr>
          <w:p w14:paraId="7E84EE09">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5F4DDE9F">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许可排放量</w:t>
            </w:r>
          </w:p>
          <w:p w14:paraId="688474E8">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409" w:type="dxa"/>
            <w:tcMar>
              <w:left w:w="28" w:type="dxa"/>
              <w:right w:w="28" w:type="dxa"/>
            </w:tcMar>
            <w:vAlign w:val="center"/>
          </w:tcPr>
          <w:p w14:paraId="322E77CC">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在建工程</w:t>
            </w:r>
          </w:p>
          <w:p w14:paraId="2F7C43B6">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snapToGrid w:val="0"/>
                <w:color w:val="auto"/>
                <w:spacing w:val="-6"/>
                <w:kern w:val="21"/>
                <w:sz w:val="21"/>
                <w:szCs w:val="21"/>
                <w:highlight w:val="none"/>
              </w:rPr>
              <w:fldChar w:fldCharType="end"/>
            </w:r>
          </w:p>
        </w:tc>
        <w:tc>
          <w:tcPr>
            <w:tcW w:w="1559" w:type="dxa"/>
            <w:tcMar>
              <w:left w:w="28" w:type="dxa"/>
              <w:right w:w="28" w:type="dxa"/>
            </w:tcMar>
            <w:vAlign w:val="center"/>
          </w:tcPr>
          <w:p w14:paraId="6BF88581">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本项目</w:t>
            </w:r>
          </w:p>
          <w:p w14:paraId="46BEC0DE">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snapToGrid w:val="0"/>
                <w:color w:val="auto"/>
                <w:spacing w:val="-6"/>
                <w:kern w:val="21"/>
                <w:sz w:val="21"/>
                <w:szCs w:val="21"/>
                <w:highlight w:val="none"/>
              </w:rPr>
              <w:fldChar w:fldCharType="end"/>
            </w:r>
          </w:p>
        </w:tc>
        <w:tc>
          <w:tcPr>
            <w:tcW w:w="1535" w:type="dxa"/>
            <w:tcMar>
              <w:left w:w="28" w:type="dxa"/>
              <w:right w:w="28" w:type="dxa"/>
            </w:tcMar>
            <w:vAlign w:val="center"/>
          </w:tcPr>
          <w:p w14:paraId="5CCE7057">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以新带老削减量</w:t>
            </w:r>
          </w:p>
          <w:p w14:paraId="05FB3245">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（新建项目不填）</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snapToGrid w:val="0"/>
                <w:color w:val="auto"/>
                <w:spacing w:val="-16"/>
                <w:kern w:val="21"/>
                <w:sz w:val="21"/>
                <w:szCs w:val="21"/>
                <w:highlight w:val="none"/>
              </w:rPr>
              <w:fldChar w:fldCharType="end"/>
            </w:r>
          </w:p>
        </w:tc>
        <w:tc>
          <w:tcPr>
            <w:tcW w:w="1786" w:type="dxa"/>
            <w:tcMar>
              <w:left w:w="28" w:type="dxa"/>
              <w:right w:w="28" w:type="dxa"/>
            </w:tcMar>
            <w:vAlign w:val="center"/>
          </w:tcPr>
          <w:p w14:paraId="043B9716">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本项目建成后</w:t>
            </w:r>
          </w:p>
          <w:p w14:paraId="2C4C8E68">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全厂排放量（固体废物产生量）</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snapToGrid w:val="0"/>
                <w:color w:val="auto"/>
                <w:spacing w:val="-16"/>
                <w:kern w:val="21"/>
                <w:sz w:val="21"/>
                <w:szCs w:val="21"/>
                <w:highlight w:val="none"/>
              </w:rPr>
              <w:fldChar w:fldCharType="end"/>
            </w:r>
          </w:p>
        </w:tc>
        <w:tc>
          <w:tcPr>
            <w:tcW w:w="1225" w:type="dxa"/>
            <w:tcMar>
              <w:left w:w="28" w:type="dxa"/>
              <w:right w:w="28" w:type="dxa"/>
            </w:tcMar>
            <w:vAlign w:val="center"/>
          </w:tcPr>
          <w:p w14:paraId="29BDF898">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变化量</w:t>
            </w:r>
          </w:p>
          <w:p w14:paraId="28E09B62">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snapToGrid w:val="0"/>
                <w:color w:val="auto"/>
                <w:spacing w:val="-6"/>
                <w:kern w:val="21"/>
                <w:sz w:val="21"/>
                <w:szCs w:val="21"/>
                <w:highlight w:val="none"/>
              </w:rPr>
              <w:fldChar w:fldCharType="end"/>
            </w:r>
          </w:p>
        </w:tc>
      </w:tr>
      <w:tr w14:paraId="36EECB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restart"/>
            <w:vAlign w:val="center"/>
          </w:tcPr>
          <w:p w14:paraId="42FCC90F">
            <w:pPr>
              <w:pStyle w:val="67"/>
              <w:keepNext w:val="0"/>
              <w:keepLines w:val="0"/>
              <w:suppressLineNumbers w:val="0"/>
              <w:spacing w:before="0" w:beforeLines="0" w:beforeAutospacing="0" w:after="0" w:afterLines="0" w:afterAutospacing="0" w:line="240" w:lineRule="auto"/>
              <w:ind w:left="0" w:right="0" w:firstLine="0" w:firstLineChars="0"/>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废气</w:t>
            </w:r>
          </w:p>
        </w:tc>
        <w:tc>
          <w:tcPr>
            <w:tcW w:w="2471" w:type="dxa"/>
            <w:vAlign w:val="center"/>
          </w:tcPr>
          <w:p w14:paraId="3CAF5A4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颗粒物</w:t>
            </w:r>
          </w:p>
        </w:tc>
        <w:tc>
          <w:tcPr>
            <w:tcW w:w="1364" w:type="dxa"/>
            <w:vAlign w:val="center"/>
          </w:tcPr>
          <w:p w14:paraId="1E75AAF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14:paraId="37511F7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15AAC4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0635392E">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0.473</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31C1B7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14:paraId="354EFC13">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0.473</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434A3213">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0.473</w:t>
            </w:r>
            <w:r>
              <w:rPr>
                <w:rFonts w:hint="default" w:ascii="Times New Roman" w:hAnsi="Times New Roman" w:eastAsia="宋体" w:cs="Times New Roman"/>
                <w:snapToGrid w:val="0"/>
                <w:color w:val="auto"/>
                <w:kern w:val="21"/>
                <w:sz w:val="21"/>
                <w:szCs w:val="21"/>
                <w:highlight w:val="none"/>
                <w:lang w:val="en-US" w:eastAsia="zh-CN"/>
              </w:rPr>
              <w:t>t/a</w:t>
            </w:r>
          </w:p>
        </w:tc>
      </w:tr>
      <w:tr w14:paraId="0C5FFB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1D2515F8">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14:paraId="0479B088">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364" w:type="dxa"/>
            <w:vAlign w:val="center"/>
          </w:tcPr>
          <w:p w14:paraId="77F6A2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eastAsia="宋体" w:cs="Times New Roman"/>
                <w:snapToGrid w:val="0"/>
                <w:color w:val="auto"/>
                <w:kern w:val="21"/>
                <w:sz w:val="21"/>
                <w:szCs w:val="21"/>
                <w:highlight w:val="none"/>
                <w:lang w:val="en-US" w:eastAsia="zh-CN"/>
              </w:rPr>
              <w:t>/</w:t>
            </w:r>
          </w:p>
        </w:tc>
        <w:tc>
          <w:tcPr>
            <w:tcW w:w="1296" w:type="dxa"/>
            <w:vAlign w:val="center"/>
          </w:tcPr>
          <w:p w14:paraId="23385A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eastAsia="宋体" w:cs="Times New Roman"/>
                <w:snapToGrid w:val="0"/>
                <w:color w:val="auto"/>
                <w:kern w:val="21"/>
                <w:sz w:val="21"/>
                <w:szCs w:val="21"/>
                <w:highlight w:val="none"/>
                <w:lang w:val="en-US" w:eastAsia="zh-CN"/>
              </w:rPr>
              <w:t>/</w:t>
            </w:r>
          </w:p>
        </w:tc>
        <w:tc>
          <w:tcPr>
            <w:tcW w:w="1409" w:type="dxa"/>
            <w:vAlign w:val="center"/>
          </w:tcPr>
          <w:p w14:paraId="00D02A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28242D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1.038</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4EF2B2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14:paraId="5F34AF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1.038</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1370A5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1.038</w:t>
            </w:r>
            <w:r>
              <w:rPr>
                <w:rFonts w:hint="default" w:ascii="Times New Roman" w:hAnsi="Times New Roman" w:eastAsia="宋体" w:cs="Times New Roman"/>
                <w:snapToGrid w:val="0"/>
                <w:color w:val="auto"/>
                <w:kern w:val="21"/>
                <w:sz w:val="21"/>
                <w:szCs w:val="21"/>
                <w:highlight w:val="none"/>
                <w:lang w:val="en-US" w:eastAsia="zh-CN"/>
              </w:rPr>
              <w:t>t/a</w:t>
            </w:r>
          </w:p>
        </w:tc>
      </w:tr>
      <w:tr w14:paraId="65289B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43" w:type="dxa"/>
            <w:vMerge w:val="continue"/>
            <w:vAlign w:val="center"/>
          </w:tcPr>
          <w:p w14:paraId="49BB43E6">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14:paraId="6D39377E">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p>
        </w:tc>
        <w:tc>
          <w:tcPr>
            <w:tcW w:w="1364" w:type="dxa"/>
            <w:vAlign w:val="center"/>
          </w:tcPr>
          <w:p w14:paraId="31D9F63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14:paraId="70E250F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405944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54F95E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2.405</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10390D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14:paraId="22C579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2.405</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0AB928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cs="Times New Roman"/>
                <w:snapToGrid w:val="0"/>
                <w:color w:val="auto"/>
                <w:kern w:val="21"/>
                <w:sz w:val="21"/>
                <w:szCs w:val="21"/>
                <w:highlight w:val="none"/>
                <w:lang w:val="en-US" w:eastAsia="zh-CN"/>
              </w:rPr>
              <w:t>2.405</w:t>
            </w:r>
            <w:r>
              <w:rPr>
                <w:rFonts w:hint="default" w:ascii="Times New Roman" w:hAnsi="Times New Roman" w:eastAsia="宋体" w:cs="Times New Roman"/>
                <w:snapToGrid w:val="0"/>
                <w:color w:val="auto"/>
                <w:kern w:val="21"/>
                <w:sz w:val="21"/>
                <w:szCs w:val="21"/>
                <w:highlight w:val="none"/>
                <w:lang w:val="en-US" w:eastAsia="zh-CN"/>
              </w:rPr>
              <w:t>t/a</w:t>
            </w:r>
          </w:p>
        </w:tc>
      </w:tr>
      <w:tr w14:paraId="1696CF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74CE8939">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471" w:type="dxa"/>
            <w:vAlign w:val="center"/>
          </w:tcPr>
          <w:p w14:paraId="31C706F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工业粉尘</w:t>
            </w:r>
          </w:p>
        </w:tc>
        <w:tc>
          <w:tcPr>
            <w:tcW w:w="1364" w:type="dxa"/>
            <w:vAlign w:val="center"/>
          </w:tcPr>
          <w:p w14:paraId="121DE07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s="Times New Roman"/>
                <w:snapToGrid w:val="0"/>
                <w:color w:val="auto"/>
                <w:kern w:val="21"/>
                <w:sz w:val="21"/>
                <w:szCs w:val="21"/>
                <w:highlight w:val="none"/>
                <w:lang w:val="en-US" w:eastAsia="zh-CN"/>
              </w:rPr>
            </w:pPr>
            <w:r>
              <w:rPr>
                <w:rFonts w:hint="default" w:ascii="Times New Roman" w:hAnsi="Times New Roman" w:cs="Times New Roman"/>
                <w:bCs/>
                <w:color w:val="auto"/>
                <w:sz w:val="21"/>
                <w:szCs w:val="21"/>
                <w:highlight w:val="none"/>
              </w:rPr>
              <w:t>/</w:t>
            </w:r>
          </w:p>
        </w:tc>
        <w:tc>
          <w:tcPr>
            <w:tcW w:w="1296" w:type="dxa"/>
            <w:vAlign w:val="center"/>
          </w:tcPr>
          <w:p w14:paraId="34F2E97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612C04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4B3473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1.335</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21197E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snapToGrid w:val="0"/>
                <w:color w:val="auto"/>
                <w:kern w:val="21"/>
                <w:sz w:val="21"/>
                <w:szCs w:val="21"/>
                <w:highlight w:val="none"/>
                <w:lang w:val="en-US" w:eastAsia="zh-CN"/>
              </w:rPr>
            </w:pPr>
            <w:r>
              <w:rPr>
                <w:rFonts w:hint="default" w:ascii="Times New Roman" w:hAnsi="Times New Roman" w:cs="Times New Roman"/>
                <w:bCs/>
                <w:color w:val="auto"/>
                <w:sz w:val="21"/>
                <w:szCs w:val="21"/>
                <w:highlight w:val="none"/>
              </w:rPr>
              <w:t>/</w:t>
            </w:r>
          </w:p>
        </w:tc>
        <w:tc>
          <w:tcPr>
            <w:tcW w:w="1786" w:type="dxa"/>
            <w:vAlign w:val="center"/>
          </w:tcPr>
          <w:p w14:paraId="5787EF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1.335</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4868E9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1.335</w:t>
            </w:r>
            <w:r>
              <w:rPr>
                <w:rFonts w:hint="default" w:ascii="Times New Roman" w:hAnsi="Times New Roman" w:eastAsia="宋体" w:cs="Times New Roman"/>
                <w:snapToGrid w:val="0"/>
                <w:color w:val="auto"/>
                <w:kern w:val="21"/>
                <w:sz w:val="21"/>
                <w:szCs w:val="21"/>
                <w:highlight w:val="none"/>
                <w:lang w:val="en-US" w:eastAsia="zh-CN"/>
              </w:rPr>
              <w:t>t/a</w:t>
            </w:r>
          </w:p>
        </w:tc>
      </w:tr>
      <w:tr w14:paraId="26FF59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restart"/>
            <w:vAlign w:val="center"/>
          </w:tcPr>
          <w:p w14:paraId="5081E785">
            <w:pPr>
              <w:pStyle w:val="67"/>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bCs/>
                <w:color w:val="auto"/>
                <w:sz w:val="21"/>
                <w:szCs w:val="21"/>
                <w:highlight w:val="none"/>
              </w:rPr>
            </w:pPr>
            <w:r>
              <w:rPr>
                <w:rFonts w:hint="default" w:ascii="Times New Roman" w:hAnsi="Times New Roman" w:cs="Times New Roman"/>
                <w:snapToGrid w:val="0"/>
                <w:color w:val="auto"/>
                <w:kern w:val="21"/>
                <w:sz w:val="21"/>
                <w:szCs w:val="21"/>
                <w:highlight w:val="none"/>
                <w:lang w:val="en-US" w:eastAsia="zh-CN"/>
              </w:rPr>
              <w:t>一般</w:t>
            </w:r>
            <w:r>
              <w:rPr>
                <w:rFonts w:hint="default" w:ascii="Times New Roman" w:hAnsi="Times New Roman" w:cs="Times New Roman"/>
                <w:snapToGrid w:val="0"/>
                <w:color w:val="auto"/>
                <w:kern w:val="21"/>
                <w:sz w:val="21"/>
                <w:szCs w:val="21"/>
                <w:highlight w:val="none"/>
              </w:rPr>
              <w:t>固体废物</w:t>
            </w:r>
          </w:p>
        </w:tc>
        <w:tc>
          <w:tcPr>
            <w:tcW w:w="2471" w:type="dxa"/>
            <w:vAlign w:val="center"/>
          </w:tcPr>
          <w:p w14:paraId="248975B8">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生活垃圾</w:t>
            </w:r>
          </w:p>
        </w:tc>
        <w:tc>
          <w:tcPr>
            <w:tcW w:w="1364" w:type="dxa"/>
            <w:vAlign w:val="center"/>
          </w:tcPr>
          <w:p w14:paraId="3402003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bCs/>
                <w:color w:val="auto"/>
                <w:sz w:val="21"/>
                <w:szCs w:val="21"/>
                <w:highlight w:val="none"/>
              </w:rPr>
              <w:t>/</w:t>
            </w:r>
          </w:p>
        </w:tc>
        <w:tc>
          <w:tcPr>
            <w:tcW w:w="1296" w:type="dxa"/>
            <w:vAlign w:val="center"/>
          </w:tcPr>
          <w:p w14:paraId="50AB602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1B031168">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5A8280F2">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snapToGrid w:val="0"/>
                <w:color w:val="auto"/>
                <w:kern w:val="21"/>
                <w:sz w:val="21"/>
                <w:szCs w:val="21"/>
                <w:highlight w:val="none"/>
                <w:lang w:val="en-US" w:eastAsia="zh-CN"/>
              </w:rPr>
              <w:t>0.5t/a</w:t>
            </w:r>
          </w:p>
        </w:tc>
        <w:tc>
          <w:tcPr>
            <w:tcW w:w="1535" w:type="dxa"/>
            <w:vAlign w:val="center"/>
          </w:tcPr>
          <w:p w14:paraId="5E02E3D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14:paraId="77D92A1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snapToGrid w:val="0"/>
                <w:color w:val="auto"/>
                <w:kern w:val="21"/>
                <w:sz w:val="21"/>
                <w:szCs w:val="21"/>
                <w:highlight w:val="none"/>
                <w:lang w:val="en-US" w:eastAsia="zh-CN"/>
              </w:rPr>
              <w:t>0.5</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26D3E7E7">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snapToGrid w:val="0"/>
                <w:color w:val="auto"/>
                <w:kern w:val="21"/>
                <w:sz w:val="21"/>
                <w:szCs w:val="21"/>
                <w:highlight w:val="none"/>
                <w:lang w:val="en-US" w:eastAsia="zh-CN"/>
              </w:rPr>
              <w:t>0.5</w:t>
            </w:r>
            <w:r>
              <w:rPr>
                <w:rFonts w:hint="default" w:ascii="Times New Roman" w:hAnsi="Times New Roman" w:eastAsia="宋体" w:cs="Times New Roman"/>
                <w:snapToGrid w:val="0"/>
                <w:color w:val="auto"/>
                <w:kern w:val="21"/>
                <w:sz w:val="21"/>
                <w:szCs w:val="21"/>
                <w:highlight w:val="none"/>
                <w:lang w:val="en-US" w:eastAsia="zh-CN"/>
              </w:rPr>
              <w:t>t/a</w:t>
            </w:r>
          </w:p>
        </w:tc>
      </w:tr>
      <w:tr w14:paraId="32DDAC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27CF529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2471" w:type="dxa"/>
            <w:vAlign w:val="center"/>
          </w:tcPr>
          <w:p w14:paraId="0380F93D">
            <w:pPr>
              <w:pStyle w:val="132"/>
              <w:keepNext w:val="0"/>
              <w:keepLines w:val="0"/>
              <w:suppressLineNumbers w:val="0"/>
              <w:spacing w:before="0" w:beforeAutospacing="0" w:after="0" w:afterAutospacing="0" w:line="240" w:lineRule="auto"/>
              <w:ind w:left="0" w:leftChars="0" w:right="0" w:rightChars="0"/>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热风炉</w:t>
            </w:r>
            <w:r>
              <w:rPr>
                <w:rFonts w:hint="eastAsia" w:cs="Times New Roman"/>
                <w:color w:val="auto"/>
                <w:sz w:val="21"/>
                <w:szCs w:val="21"/>
                <w:highlight w:val="none"/>
                <w:lang w:eastAsia="zh-CN"/>
              </w:rPr>
              <w:t>灰渣</w:t>
            </w:r>
          </w:p>
        </w:tc>
        <w:tc>
          <w:tcPr>
            <w:tcW w:w="1364" w:type="dxa"/>
            <w:vAlign w:val="center"/>
          </w:tcPr>
          <w:p w14:paraId="4F1E35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96" w:type="dxa"/>
            <w:vAlign w:val="center"/>
          </w:tcPr>
          <w:p w14:paraId="2708D0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409" w:type="dxa"/>
            <w:vAlign w:val="center"/>
          </w:tcPr>
          <w:p w14:paraId="3D3B99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0AD993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169.729</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3B108B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86" w:type="dxa"/>
            <w:vAlign w:val="center"/>
          </w:tcPr>
          <w:p w14:paraId="4AA4EE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169.729</w:t>
            </w:r>
            <w:r>
              <w:rPr>
                <w:rFonts w:hint="default" w:ascii="Times New Roman" w:hAnsi="Times New Roman" w:eastAsia="宋体" w:cs="Times New Roman"/>
                <w:snapToGrid w:val="0"/>
                <w:color w:val="auto"/>
                <w:kern w:val="21"/>
                <w:sz w:val="21"/>
                <w:szCs w:val="21"/>
                <w:highlight w:val="none"/>
                <w:lang w:val="en-US" w:eastAsia="zh-CN"/>
              </w:rPr>
              <w:t>t/a</w:t>
            </w:r>
          </w:p>
        </w:tc>
        <w:tc>
          <w:tcPr>
            <w:tcW w:w="1225" w:type="dxa"/>
            <w:vAlign w:val="center"/>
          </w:tcPr>
          <w:p w14:paraId="56B1A7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169.729</w:t>
            </w:r>
            <w:r>
              <w:rPr>
                <w:rFonts w:hint="default" w:ascii="Times New Roman" w:hAnsi="Times New Roman" w:eastAsia="宋体" w:cs="Times New Roman"/>
                <w:snapToGrid w:val="0"/>
                <w:color w:val="auto"/>
                <w:kern w:val="21"/>
                <w:sz w:val="21"/>
                <w:szCs w:val="21"/>
                <w:highlight w:val="none"/>
                <w:lang w:val="en-US" w:eastAsia="zh-CN"/>
              </w:rPr>
              <w:t>t/a</w:t>
            </w:r>
          </w:p>
        </w:tc>
      </w:tr>
      <w:tr w14:paraId="0D19A6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4DBB1A5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2471" w:type="dxa"/>
            <w:vAlign w:val="center"/>
          </w:tcPr>
          <w:p w14:paraId="485D6E71">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初清杂质</w:t>
            </w:r>
            <w:r>
              <w:rPr>
                <w:rFonts w:hint="default" w:ascii="Times New Roman" w:hAnsi="Times New Roman" w:cs="Times New Roman"/>
                <w:color w:val="auto"/>
                <w:sz w:val="21"/>
                <w:szCs w:val="21"/>
                <w:highlight w:val="none"/>
                <w:lang w:val="en-US" w:eastAsia="zh-CN"/>
              </w:rPr>
              <w:t>及输送装卸、烘干</w:t>
            </w:r>
            <w:r>
              <w:rPr>
                <w:rFonts w:hint="default" w:ascii="Times New Roman" w:hAnsi="Times New Roman" w:cs="Times New Roman"/>
                <w:color w:val="auto"/>
                <w:sz w:val="21"/>
                <w:szCs w:val="21"/>
                <w:highlight w:val="none"/>
              </w:rPr>
              <w:t>粉尘</w:t>
            </w:r>
          </w:p>
        </w:tc>
        <w:tc>
          <w:tcPr>
            <w:tcW w:w="1364" w:type="dxa"/>
            <w:vAlign w:val="center"/>
          </w:tcPr>
          <w:p w14:paraId="1A139E2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w:t>
            </w:r>
          </w:p>
        </w:tc>
        <w:tc>
          <w:tcPr>
            <w:tcW w:w="1296" w:type="dxa"/>
            <w:vAlign w:val="center"/>
          </w:tcPr>
          <w:p w14:paraId="245E99A1">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454E822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217406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snapToGrid w:val="0"/>
                <w:color w:val="auto"/>
                <w:kern w:val="21"/>
                <w:sz w:val="21"/>
                <w:szCs w:val="21"/>
                <w:highlight w:val="none"/>
                <w:lang w:val="en-US" w:eastAsia="zh-CN"/>
              </w:rPr>
              <w:t>34.247t/a</w:t>
            </w:r>
          </w:p>
        </w:tc>
        <w:tc>
          <w:tcPr>
            <w:tcW w:w="1535" w:type="dxa"/>
            <w:vAlign w:val="center"/>
          </w:tcPr>
          <w:p w14:paraId="20B1F4F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86" w:type="dxa"/>
            <w:vAlign w:val="center"/>
          </w:tcPr>
          <w:p w14:paraId="22A3B1F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snapToGrid w:val="0"/>
                <w:color w:val="auto"/>
                <w:kern w:val="21"/>
                <w:sz w:val="21"/>
                <w:szCs w:val="21"/>
                <w:highlight w:val="none"/>
                <w:lang w:val="en-US" w:eastAsia="zh-CN"/>
              </w:rPr>
              <w:t>34.247</w:t>
            </w:r>
            <w:r>
              <w:rPr>
                <w:rFonts w:hint="eastAsia" w:cs="Times New Roman"/>
                <w:color w:val="auto"/>
                <w:sz w:val="21"/>
                <w:szCs w:val="21"/>
                <w:highlight w:val="none"/>
                <w:lang w:val="en-US" w:eastAsia="zh-CN"/>
              </w:rPr>
              <w:t>t/a</w:t>
            </w:r>
          </w:p>
        </w:tc>
        <w:tc>
          <w:tcPr>
            <w:tcW w:w="1225" w:type="dxa"/>
            <w:shd w:val="clear" w:color="auto" w:fill="auto"/>
            <w:vAlign w:val="center"/>
          </w:tcPr>
          <w:p w14:paraId="502C2256">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snapToGrid w:val="0"/>
                <w:color w:val="auto"/>
                <w:kern w:val="21"/>
                <w:sz w:val="21"/>
                <w:szCs w:val="21"/>
                <w:highlight w:val="none"/>
                <w:lang w:val="en-US" w:eastAsia="zh-CN"/>
              </w:rPr>
              <w:t>34.247</w:t>
            </w:r>
            <w:r>
              <w:rPr>
                <w:rFonts w:hint="eastAsia" w:cs="Times New Roman"/>
                <w:color w:val="auto"/>
                <w:sz w:val="21"/>
                <w:szCs w:val="21"/>
                <w:highlight w:val="none"/>
                <w:lang w:val="en-US" w:eastAsia="zh-CN"/>
              </w:rPr>
              <w:t>t/a</w:t>
            </w:r>
          </w:p>
        </w:tc>
      </w:tr>
      <w:tr w14:paraId="573A62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restart"/>
            <w:vAlign w:val="center"/>
          </w:tcPr>
          <w:p w14:paraId="4151B200">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危险废物</w:t>
            </w:r>
          </w:p>
        </w:tc>
        <w:tc>
          <w:tcPr>
            <w:tcW w:w="2471" w:type="dxa"/>
            <w:vAlign w:val="center"/>
          </w:tcPr>
          <w:p w14:paraId="61B978D4">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废机油</w:t>
            </w:r>
          </w:p>
        </w:tc>
        <w:tc>
          <w:tcPr>
            <w:tcW w:w="1364" w:type="dxa"/>
            <w:vAlign w:val="center"/>
          </w:tcPr>
          <w:p w14:paraId="02B49047">
            <w:pPr>
              <w:keepNext w:val="0"/>
              <w:keepLines w:val="0"/>
              <w:suppressLineNumbers w:val="0"/>
              <w:adjustRightInd w:val="0"/>
              <w:snapToGrid w:val="0"/>
              <w:spacing w:before="0" w:beforeAutospacing="0" w:after="0" w:afterAutospacing="0" w:line="240" w:lineRule="auto"/>
              <w:ind w:left="0" w:right="0"/>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296" w:type="dxa"/>
            <w:vAlign w:val="center"/>
          </w:tcPr>
          <w:p w14:paraId="2AFC00D6">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409" w:type="dxa"/>
            <w:vAlign w:val="center"/>
          </w:tcPr>
          <w:p w14:paraId="3096CC0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559" w:type="dxa"/>
            <w:vAlign w:val="center"/>
          </w:tcPr>
          <w:p w14:paraId="6CCBF9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0.02t/a</w:t>
            </w:r>
          </w:p>
        </w:tc>
        <w:tc>
          <w:tcPr>
            <w:tcW w:w="1535" w:type="dxa"/>
            <w:vAlign w:val="center"/>
          </w:tcPr>
          <w:p w14:paraId="3EA6865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786" w:type="dxa"/>
            <w:vAlign w:val="center"/>
          </w:tcPr>
          <w:p w14:paraId="4D1C2CE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s="Times New Roman"/>
                <w:color w:val="auto"/>
                <w:sz w:val="21"/>
                <w:szCs w:val="21"/>
                <w:highlight w:val="none"/>
                <w:lang w:val="en-US" w:eastAsia="zh-CN"/>
              </w:rPr>
            </w:pPr>
            <w:r>
              <w:rPr>
                <w:rFonts w:hint="eastAsia" w:cs="Times New Roman"/>
                <w:snapToGrid w:val="0"/>
                <w:color w:val="auto"/>
                <w:kern w:val="21"/>
                <w:sz w:val="21"/>
                <w:szCs w:val="21"/>
                <w:highlight w:val="none"/>
                <w:lang w:val="en-US" w:eastAsia="zh-CN"/>
              </w:rPr>
              <w:t>0.02t/a</w:t>
            </w:r>
          </w:p>
        </w:tc>
        <w:tc>
          <w:tcPr>
            <w:tcW w:w="1225" w:type="dxa"/>
            <w:vAlign w:val="center"/>
          </w:tcPr>
          <w:p w14:paraId="64DB7CB6">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lang w:val="en-US" w:eastAsia="zh-CN"/>
              </w:rPr>
            </w:pPr>
            <w:r>
              <w:rPr>
                <w:rFonts w:hint="eastAsia" w:cs="Times New Roman"/>
                <w:snapToGrid w:val="0"/>
                <w:color w:val="auto"/>
                <w:kern w:val="21"/>
                <w:sz w:val="21"/>
                <w:szCs w:val="21"/>
                <w:highlight w:val="none"/>
                <w:lang w:val="en-US" w:eastAsia="zh-CN"/>
              </w:rPr>
              <w:t>0.02t/a</w:t>
            </w:r>
          </w:p>
        </w:tc>
      </w:tr>
      <w:tr w14:paraId="3BD276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03AAE577">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cs="Times New Roman"/>
                <w:bCs/>
                <w:color w:val="auto"/>
                <w:sz w:val="21"/>
                <w:szCs w:val="21"/>
                <w:highlight w:val="none"/>
                <w:lang w:val="en-US" w:eastAsia="zh-CN"/>
              </w:rPr>
            </w:pPr>
          </w:p>
        </w:tc>
        <w:tc>
          <w:tcPr>
            <w:tcW w:w="2471" w:type="dxa"/>
            <w:vAlign w:val="center"/>
          </w:tcPr>
          <w:p w14:paraId="1B11820A">
            <w:pPr>
              <w:pStyle w:val="132"/>
              <w:keepNext w:val="0"/>
              <w:keepLines w:val="0"/>
              <w:suppressLineNumbers w:val="0"/>
              <w:spacing w:before="0" w:beforeAutospacing="0" w:after="0" w:afterAutospacing="0" w:line="240" w:lineRule="auto"/>
              <w:ind w:left="0" w:leftChars="0" w:right="0" w:rightChars="0"/>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废弃含油抹布手套</w:t>
            </w:r>
          </w:p>
        </w:tc>
        <w:tc>
          <w:tcPr>
            <w:tcW w:w="1364" w:type="dxa"/>
            <w:vAlign w:val="center"/>
          </w:tcPr>
          <w:p w14:paraId="4989D89F">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296" w:type="dxa"/>
            <w:vAlign w:val="center"/>
          </w:tcPr>
          <w:p w14:paraId="2C9A9058">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409" w:type="dxa"/>
            <w:vAlign w:val="center"/>
          </w:tcPr>
          <w:p w14:paraId="3D2F9611">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559" w:type="dxa"/>
            <w:vAlign w:val="center"/>
          </w:tcPr>
          <w:p w14:paraId="47452A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0.01t/a</w:t>
            </w:r>
          </w:p>
        </w:tc>
        <w:tc>
          <w:tcPr>
            <w:tcW w:w="1535" w:type="dxa"/>
            <w:vAlign w:val="center"/>
          </w:tcPr>
          <w:p w14:paraId="4E7EF7D3">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786" w:type="dxa"/>
            <w:vAlign w:val="center"/>
          </w:tcPr>
          <w:p w14:paraId="7DB582B8">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0.01t/a</w:t>
            </w:r>
          </w:p>
        </w:tc>
        <w:tc>
          <w:tcPr>
            <w:tcW w:w="1225" w:type="dxa"/>
            <w:vAlign w:val="center"/>
          </w:tcPr>
          <w:p w14:paraId="1BE1F770">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bCs/>
                <w:color w:val="auto"/>
                <w:sz w:val="21"/>
                <w:szCs w:val="21"/>
                <w:highlight w:val="none"/>
                <w:lang w:val="en-US" w:eastAsia="zh-CN"/>
              </w:rPr>
            </w:pPr>
            <w:r>
              <w:rPr>
                <w:rFonts w:hint="eastAsia" w:cs="Times New Roman"/>
                <w:snapToGrid w:val="0"/>
                <w:color w:val="auto"/>
                <w:kern w:val="21"/>
                <w:sz w:val="21"/>
                <w:szCs w:val="21"/>
                <w:highlight w:val="none"/>
                <w:lang w:val="en-US" w:eastAsia="zh-CN"/>
              </w:rPr>
              <w:t>0.01t/a</w:t>
            </w:r>
          </w:p>
        </w:tc>
      </w:tr>
      <w:tr w14:paraId="6835DF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dxa"/>
            <w:vMerge w:val="continue"/>
            <w:vAlign w:val="center"/>
          </w:tcPr>
          <w:p w14:paraId="6B028BC5">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cs="Times New Roman"/>
                <w:bCs/>
                <w:color w:val="auto"/>
                <w:sz w:val="21"/>
                <w:szCs w:val="21"/>
                <w:highlight w:val="none"/>
                <w:lang w:val="en-US" w:eastAsia="zh-CN"/>
              </w:rPr>
            </w:pPr>
          </w:p>
        </w:tc>
        <w:tc>
          <w:tcPr>
            <w:tcW w:w="2471" w:type="dxa"/>
            <w:vAlign w:val="center"/>
          </w:tcPr>
          <w:p w14:paraId="2770B4B1">
            <w:pPr>
              <w:pStyle w:val="132"/>
              <w:keepNext w:val="0"/>
              <w:keepLines w:val="0"/>
              <w:suppressLineNumbers w:val="0"/>
              <w:spacing w:before="0" w:beforeAutospacing="0" w:after="0" w:afterAutospacing="0" w:line="240" w:lineRule="auto"/>
              <w:ind w:left="0" w:leftChars="0" w:right="0" w:rightChars="0"/>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废机油桶</w:t>
            </w:r>
          </w:p>
        </w:tc>
        <w:tc>
          <w:tcPr>
            <w:tcW w:w="1364" w:type="dxa"/>
            <w:vAlign w:val="center"/>
          </w:tcPr>
          <w:p w14:paraId="23A7BC9C">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296" w:type="dxa"/>
            <w:vAlign w:val="center"/>
          </w:tcPr>
          <w:p w14:paraId="0D0B5537">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409" w:type="dxa"/>
            <w:vAlign w:val="center"/>
          </w:tcPr>
          <w:p w14:paraId="34BE874B">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559" w:type="dxa"/>
            <w:vAlign w:val="center"/>
          </w:tcPr>
          <w:p w14:paraId="083DCC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0.01t/a</w:t>
            </w:r>
          </w:p>
        </w:tc>
        <w:tc>
          <w:tcPr>
            <w:tcW w:w="1535" w:type="dxa"/>
            <w:vAlign w:val="center"/>
          </w:tcPr>
          <w:p w14:paraId="1F092D4F">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786" w:type="dxa"/>
            <w:vAlign w:val="center"/>
          </w:tcPr>
          <w:p w14:paraId="1CE171CB">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0.01t/a</w:t>
            </w:r>
          </w:p>
        </w:tc>
        <w:tc>
          <w:tcPr>
            <w:tcW w:w="1225" w:type="dxa"/>
            <w:vAlign w:val="center"/>
          </w:tcPr>
          <w:p w14:paraId="425D20FC">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bCs/>
                <w:color w:val="auto"/>
                <w:sz w:val="21"/>
                <w:szCs w:val="21"/>
                <w:highlight w:val="none"/>
                <w:lang w:val="en-US" w:eastAsia="zh-CN"/>
              </w:rPr>
            </w:pPr>
            <w:r>
              <w:rPr>
                <w:rFonts w:hint="eastAsia" w:cs="Times New Roman"/>
                <w:snapToGrid w:val="0"/>
                <w:color w:val="auto"/>
                <w:kern w:val="21"/>
                <w:sz w:val="21"/>
                <w:szCs w:val="21"/>
                <w:highlight w:val="none"/>
                <w:lang w:val="en-US" w:eastAsia="zh-CN"/>
              </w:rPr>
              <w:t>0.01t/a</w:t>
            </w:r>
          </w:p>
        </w:tc>
      </w:tr>
    </w:tbl>
    <w:p w14:paraId="1D63419E">
      <w:pPr>
        <w:rPr>
          <w:rFonts w:hint="eastAsia" w:cs="Times New Roman"/>
          <w:snapToGrid w:val="0"/>
          <w:color w:val="auto"/>
          <w:kern w:val="21"/>
          <w:sz w:val="21"/>
          <w:highlight w:val="none"/>
          <w:lang w:val="en-US" w:eastAsia="zh-CN"/>
        </w:rPr>
      </w:pPr>
      <w:r>
        <w:rPr>
          <w:rFonts w:hint="default" w:ascii="Times New Roman" w:hAnsi="Times New Roman" w:cs="Times New Roman"/>
          <w:snapToGrid w:val="0"/>
          <w:color w:val="auto"/>
          <w:kern w:val="21"/>
          <w:sz w:val="21"/>
          <w:highlight w:val="none"/>
        </w:rPr>
        <w:t>注：⑥=①+③+④-⑤；⑦=⑥-①</w:t>
      </w:r>
      <w:r>
        <w:rPr>
          <w:rFonts w:hint="eastAsia" w:cs="Times New Roman"/>
          <w:snapToGrid w:val="0"/>
          <w:color w:val="auto"/>
          <w:kern w:val="21"/>
          <w:sz w:val="21"/>
          <w:highlight w:val="none"/>
          <w:lang w:val="en-US" w:eastAsia="zh-CN"/>
        </w:rPr>
        <w:t>/</w:t>
      </w:r>
    </w:p>
    <w:p w14:paraId="78603D6F">
      <w:pPr>
        <w:rPr>
          <w:rFonts w:hint="eastAsia" w:cs="Times New Roman"/>
          <w:snapToGrid w:val="0"/>
          <w:color w:val="auto"/>
          <w:kern w:val="21"/>
          <w:sz w:val="21"/>
          <w:highlight w:val="none"/>
          <w:lang w:val="en-US" w:eastAsia="zh-CN"/>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6FECCC42">
      <w:pPr>
        <w:pStyle w:val="5"/>
        <w:keepNext/>
        <w:keepLines w:val="0"/>
        <w:pageBreakBefore w:val="0"/>
        <w:widowControl w:val="0"/>
        <w:kinsoku/>
        <w:wordWrap/>
        <w:overflowPunct w:val="0"/>
        <w:topLinePunct w:val="0"/>
        <w:autoSpaceDE/>
        <w:autoSpaceDN/>
        <w:bidi w:val="0"/>
        <w:adjustRightInd/>
        <w:snapToGrid w:val="0"/>
        <w:spacing w:before="0" w:after="0" w:line="360" w:lineRule="auto"/>
        <w:ind w:left="431" w:hanging="431"/>
        <w:jc w:val="left"/>
        <w:textAlignment w:val="auto"/>
        <w:rPr>
          <w:rFonts w:hint="eastAsia" w:eastAsia="宋体" w:cs="Times New Roman"/>
          <w:color w:val="auto"/>
          <w:sz w:val="28"/>
          <w:szCs w:val="28"/>
          <w:highlight w:val="none"/>
          <w:lang w:val="en-US" w:eastAsia="zh-CN"/>
        </w:rPr>
      </w:pPr>
      <w:r>
        <w:rPr>
          <w:rFonts w:hint="eastAsia" w:eastAsia="宋体" w:cs="Times New Roman"/>
          <w:color w:val="auto"/>
          <w:sz w:val="28"/>
          <w:szCs w:val="28"/>
          <w:highlight w:val="none"/>
          <w:lang w:val="en-US" w:eastAsia="zh-CN"/>
        </w:rPr>
        <w:t>附件1营业执照</w:t>
      </w:r>
    </w:p>
    <w:p w14:paraId="7F8A4A64">
      <w:pPr>
        <w:jc w:val="center"/>
        <w:rPr>
          <w:rFonts w:hint="eastAsia" w:eastAsia="宋体" w:cs="Times New Roman"/>
          <w:color w:val="auto"/>
          <w:sz w:val="28"/>
          <w:szCs w:val="28"/>
          <w:highlight w:val="none"/>
          <w:lang w:val="en-US" w:eastAsia="zh-CN"/>
        </w:rPr>
      </w:pPr>
      <w:r>
        <w:drawing>
          <wp:inline distT="0" distB="0" distL="114300" distR="114300">
            <wp:extent cx="7247890" cy="5098415"/>
            <wp:effectExtent l="0" t="0" r="10160" b="698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37"/>
                    <a:stretch>
                      <a:fillRect/>
                    </a:stretch>
                  </pic:blipFill>
                  <pic:spPr>
                    <a:xfrm>
                      <a:off x="0" y="0"/>
                      <a:ext cx="7247890" cy="5098415"/>
                    </a:xfrm>
                    <a:prstGeom prst="rect">
                      <a:avLst/>
                    </a:prstGeom>
                    <a:noFill/>
                    <a:ln>
                      <a:noFill/>
                    </a:ln>
                  </pic:spPr>
                </pic:pic>
              </a:graphicData>
            </a:graphic>
          </wp:inline>
        </w:drawing>
      </w:r>
    </w:p>
    <w:p w14:paraId="34DC70B5">
      <w:pPr>
        <w:pStyle w:val="4"/>
        <w:rPr>
          <w:rFonts w:hint="eastAsia" w:eastAsia="宋体" w:cs="Times New Roman"/>
          <w:color w:val="auto"/>
          <w:sz w:val="28"/>
          <w:szCs w:val="28"/>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35A37672">
      <w:pPr>
        <w:pStyle w:val="5"/>
        <w:keepNext/>
        <w:keepLines w:val="0"/>
        <w:pageBreakBefore w:val="0"/>
        <w:widowControl w:val="0"/>
        <w:kinsoku/>
        <w:wordWrap/>
        <w:overflowPunct w:val="0"/>
        <w:topLinePunct w:val="0"/>
        <w:autoSpaceDE/>
        <w:autoSpaceDN/>
        <w:bidi w:val="0"/>
        <w:adjustRightInd/>
        <w:snapToGrid w:val="0"/>
        <w:spacing w:before="0" w:after="0" w:line="360" w:lineRule="auto"/>
        <w:ind w:left="431" w:hanging="431"/>
        <w:jc w:val="left"/>
        <w:textAlignment w:val="auto"/>
        <w:rPr>
          <w:rFonts w:hint="default" w:eastAsia="宋体" w:cs="Times New Roman"/>
          <w:color w:val="auto"/>
          <w:sz w:val="28"/>
          <w:szCs w:val="28"/>
          <w:highlight w:val="none"/>
          <w:lang w:val="en-US" w:eastAsia="zh-CN"/>
        </w:rPr>
      </w:pPr>
      <w:r>
        <w:rPr>
          <w:rFonts w:hint="eastAsia" w:eastAsia="宋体" w:cs="Times New Roman"/>
          <w:color w:val="auto"/>
          <w:sz w:val="28"/>
          <w:szCs w:val="28"/>
          <w:highlight w:val="none"/>
          <w:lang w:val="en-US" w:eastAsia="zh-CN"/>
        </w:rPr>
        <w:t>附件2用地性质证明</w:t>
      </w:r>
    </w:p>
    <w:p w14:paraId="3FBC5EAF">
      <w:pPr>
        <w:pStyle w:val="3"/>
        <w:rPr>
          <w:rFonts w:hint="default"/>
          <w:lang w:val="en-US" w:eastAsia="zh-CN"/>
        </w:rPr>
      </w:pPr>
    </w:p>
    <w:p w14:paraId="0C46739C">
      <w:pPr>
        <w:rPr>
          <w:rFonts w:hint="default"/>
          <w:lang w:val="en-US" w:eastAsia="zh-CN"/>
        </w:rPr>
      </w:pPr>
      <w:r>
        <w:drawing>
          <wp:inline distT="0" distB="0" distL="114300" distR="114300">
            <wp:extent cx="5505450" cy="7720330"/>
            <wp:effectExtent l="0" t="0" r="0" b="13970"/>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38"/>
                    <a:stretch>
                      <a:fillRect/>
                    </a:stretch>
                  </pic:blipFill>
                  <pic:spPr>
                    <a:xfrm>
                      <a:off x="0" y="0"/>
                      <a:ext cx="5505450" cy="7720330"/>
                    </a:xfrm>
                    <a:prstGeom prst="rect">
                      <a:avLst/>
                    </a:prstGeom>
                    <a:noFill/>
                    <a:ln>
                      <a:noFill/>
                    </a:ln>
                  </pic:spPr>
                </pic:pic>
              </a:graphicData>
            </a:graphic>
          </wp:inline>
        </w:drawing>
      </w:r>
    </w:p>
    <w:p w14:paraId="02BDD2E8">
      <w:pPr>
        <w:rPr>
          <w:rFonts w:hint="default"/>
          <w:lang w:val="en-US"/>
        </w:rPr>
      </w:pPr>
    </w:p>
    <w:p w14:paraId="6B744841">
      <w:pPr>
        <w:rPr>
          <w:rFonts w:hint="default"/>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10A052D">
      <w:pPr>
        <w:bidi w:val="0"/>
        <w:jc w:val="center"/>
      </w:pPr>
      <w:r>
        <w:drawing>
          <wp:inline distT="0" distB="0" distL="114300" distR="114300">
            <wp:extent cx="7118350" cy="5019675"/>
            <wp:effectExtent l="0" t="0" r="6350" b="9525"/>
            <wp:docPr id="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0"/>
                    <pic:cNvPicPr>
                      <a:picLocks noChangeAspect="1"/>
                    </pic:cNvPicPr>
                  </pic:nvPicPr>
                  <pic:blipFill>
                    <a:blip r:embed="rId39"/>
                    <a:stretch>
                      <a:fillRect/>
                    </a:stretch>
                  </pic:blipFill>
                  <pic:spPr>
                    <a:xfrm>
                      <a:off x="0" y="0"/>
                      <a:ext cx="7118350" cy="5019675"/>
                    </a:xfrm>
                    <a:prstGeom prst="rect">
                      <a:avLst/>
                    </a:prstGeom>
                    <a:noFill/>
                    <a:ln>
                      <a:noFill/>
                    </a:ln>
                  </pic:spPr>
                </pic:pic>
              </a:graphicData>
            </a:graphic>
          </wp:inline>
        </w:drawing>
      </w:r>
    </w:p>
    <w:p w14:paraId="40D06960">
      <w:pPr>
        <w:rPr>
          <w:rFonts w:hint="default"/>
          <w:lang w:val="en-US" w:eastAsia="zh-CN"/>
        </w:rPr>
      </w:pPr>
    </w:p>
    <w:p w14:paraId="1031B568">
      <w:pPr>
        <w:rPr>
          <w:rFonts w:hint="default"/>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3B74C33E">
      <w:pPr>
        <w:pStyle w:val="5"/>
        <w:keepNext/>
        <w:keepLines w:val="0"/>
        <w:pageBreakBefore w:val="0"/>
        <w:widowControl w:val="0"/>
        <w:kinsoku/>
        <w:wordWrap/>
        <w:overflowPunct w:val="0"/>
        <w:topLinePunct w:val="0"/>
        <w:autoSpaceDE/>
        <w:autoSpaceDN/>
        <w:bidi w:val="0"/>
        <w:adjustRightInd/>
        <w:snapToGrid w:val="0"/>
        <w:spacing w:before="0" w:after="0" w:line="360" w:lineRule="auto"/>
        <w:ind w:left="0" w:leftChars="0" w:firstLine="0" w:firstLineChars="0"/>
        <w:jc w:val="left"/>
        <w:textAlignment w:val="auto"/>
        <w:rPr>
          <w:rFonts w:hint="default"/>
          <w:lang w:val="en-US" w:eastAsia="zh-CN"/>
        </w:rPr>
      </w:pPr>
      <w:r>
        <w:rPr>
          <w:rFonts w:hint="eastAsia" w:eastAsia="宋体" w:cs="Times New Roman"/>
          <w:color w:val="auto"/>
          <w:sz w:val="28"/>
          <w:szCs w:val="28"/>
          <w:highlight w:val="none"/>
          <w:lang w:val="en-US" w:eastAsia="zh-CN"/>
        </w:rPr>
        <w:t>附件3租赁协议</w:t>
      </w:r>
    </w:p>
    <w:p w14:paraId="256FDB67">
      <w:pPr>
        <w:rPr>
          <w:rFonts w:hint="default"/>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612765" cy="6396355"/>
            <wp:effectExtent l="0" t="0" r="6985" b="4445"/>
            <wp:docPr id="1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5"/>
                    <pic:cNvPicPr>
                      <a:picLocks noChangeAspect="1"/>
                    </pic:cNvPicPr>
                  </pic:nvPicPr>
                  <pic:blipFill>
                    <a:blip r:embed="rId40"/>
                    <a:stretch>
                      <a:fillRect/>
                    </a:stretch>
                  </pic:blipFill>
                  <pic:spPr>
                    <a:xfrm>
                      <a:off x="0" y="0"/>
                      <a:ext cx="5612765" cy="6396355"/>
                    </a:xfrm>
                    <a:prstGeom prst="rect">
                      <a:avLst/>
                    </a:prstGeom>
                    <a:noFill/>
                    <a:ln>
                      <a:noFill/>
                    </a:ln>
                  </pic:spPr>
                </pic:pic>
              </a:graphicData>
            </a:graphic>
          </wp:inline>
        </w:drawing>
      </w:r>
    </w:p>
    <w:p w14:paraId="2D67754B">
      <w:pPr>
        <w:pStyle w:val="5"/>
        <w:ind w:left="0" w:leftChars="0" w:firstLine="0" w:firstLineChars="0"/>
        <w:rPr>
          <w:rFonts w:hint="eastAsia" w:eastAsia="宋体" w:cs="Times New Roman"/>
          <w:color w:val="auto"/>
          <w:sz w:val="28"/>
          <w:szCs w:val="28"/>
          <w:highlight w:val="none"/>
          <w:lang w:val="en-US" w:eastAsia="zh-CN"/>
        </w:rPr>
      </w:pPr>
      <w:r>
        <w:rPr>
          <w:rFonts w:hint="eastAsia" w:eastAsia="宋体" w:cs="Times New Roman"/>
          <w:color w:val="auto"/>
          <w:sz w:val="28"/>
          <w:szCs w:val="28"/>
          <w:highlight w:val="none"/>
          <w:lang w:val="en-US" w:eastAsia="zh-CN"/>
        </w:rPr>
        <w:t>附件4现状监测、引用检测报告</w:t>
      </w:r>
    </w:p>
    <w:p w14:paraId="55DD2453">
      <w:pPr>
        <w:rPr>
          <w:rFonts w:hint="eastAsia"/>
          <w:lang w:val="en-US" w:eastAsia="zh-CN"/>
        </w:rPr>
      </w:pPr>
      <w:r>
        <w:drawing>
          <wp:inline distT="0" distB="0" distL="114300" distR="114300">
            <wp:extent cx="5476875" cy="7620000"/>
            <wp:effectExtent l="0" t="0" r="9525" b="0"/>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41"/>
                    <a:stretch>
                      <a:fillRect/>
                    </a:stretch>
                  </pic:blipFill>
                  <pic:spPr>
                    <a:xfrm>
                      <a:off x="0" y="0"/>
                      <a:ext cx="5476875" cy="7620000"/>
                    </a:xfrm>
                    <a:prstGeom prst="rect">
                      <a:avLst/>
                    </a:prstGeom>
                    <a:noFill/>
                    <a:ln>
                      <a:noFill/>
                    </a:ln>
                  </pic:spPr>
                </pic:pic>
              </a:graphicData>
            </a:graphic>
          </wp:inline>
        </w:drawing>
      </w:r>
      <w:r>
        <w:drawing>
          <wp:inline distT="0" distB="0" distL="114300" distR="114300">
            <wp:extent cx="5476875" cy="7600950"/>
            <wp:effectExtent l="0" t="0" r="9525" b="0"/>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42"/>
                    <a:stretch>
                      <a:fillRect/>
                    </a:stretch>
                  </pic:blipFill>
                  <pic:spPr>
                    <a:xfrm>
                      <a:off x="0" y="0"/>
                      <a:ext cx="5476875" cy="7600950"/>
                    </a:xfrm>
                    <a:prstGeom prst="rect">
                      <a:avLst/>
                    </a:prstGeom>
                    <a:noFill/>
                    <a:ln>
                      <a:noFill/>
                    </a:ln>
                  </pic:spPr>
                </pic:pic>
              </a:graphicData>
            </a:graphic>
          </wp:inline>
        </w:drawing>
      </w:r>
      <w:r>
        <w:drawing>
          <wp:inline distT="0" distB="0" distL="114300" distR="114300">
            <wp:extent cx="5505450" cy="7591425"/>
            <wp:effectExtent l="0" t="0" r="0" b="9525"/>
            <wp:docPr id="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pic:cNvPicPr>
                      <a:picLocks noChangeAspect="1"/>
                    </pic:cNvPicPr>
                  </pic:nvPicPr>
                  <pic:blipFill>
                    <a:blip r:embed="rId43"/>
                    <a:stretch>
                      <a:fillRect/>
                    </a:stretch>
                  </pic:blipFill>
                  <pic:spPr>
                    <a:xfrm>
                      <a:off x="0" y="0"/>
                      <a:ext cx="5505450" cy="7591425"/>
                    </a:xfrm>
                    <a:prstGeom prst="rect">
                      <a:avLst/>
                    </a:prstGeom>
                    <a:noFill/>
                    <a:ln>
                      <a:noFill/>
                    </a:ln>
                  </pic:spPr>
                </pic:pic>
              </a:graphicData>
            </a:graphic>
          </wp:inline>
        </w:drawing>
      </w:r>
      <w:r>
        <w:drawing>
          <wp:inline distT="0" distB="0" distL="114300" distR="114300">
            <wp:extent cx="5429250" cy="7591425"/>
            <wp:effectExtent l="0" t="0" r="0" b="9525"/>
            <wp:docPr id="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
                    <pic:cNvPicPr>
                      <a:picLocks noChangeAspect="1"/>
                    </pic:cNvPicPr>
                  </pic:nvPicPr>
                  <pic:blipFill>
                    <a:blip r:embed="rId44"/>
                    <a:stretch>
                      <a:fillRect/>
                    </a:stretch>
                  </pic:blipFill>
                  <pic:spPr>
                    <a:xfrm>
                      <a:off x="0" y="0"/>
                      <a:ext cx="5429250" cy="7591425"/>
                    </a:xfrm>
                    <a:prstGeom prst="rect">
                      <a:avLst/>
                    </a:prstGeom>
                    <a:noFill/>
                    <a:ln>
                      <a:noFill/>
                    </a:ln>
                  </pic:spPr>
                </pic:pic>
              </a:graphicData>
            </a:graphic>
          </wp:inline>
        </w:drawing>
      </w:r>
      <w:r>
        <w:drawing>
          <wp:inline distT="0" distB="0" distL="114300" distR="114300">
            <wp:extent cx="5476875" cy="7677150"/>
            <wp:effectExtent l="0" t="0" r="9525" b="0"/>
            <wp:docPr id="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1"/>
                    <pic:cNvPicPr>
                      <a:picLocks noChangeAspect="1"/>
                    </pic:cNvPicPr>
                  </pic:nvPicPr>
                  <pic:blipFill>
                    <a:blip r:embed="rId45"/>
                    <a:stretch>
                      <a:fillRect/>
                    </a:stretch>
                  </pic:blipFill>
                  <pic:spPr>
                    <a:xfrm>
                      <a:off x="0" y="0"/>
                      <a:ext cx="5476875" cy="7677150"/>
                    </a:xfrm>
                    <a:prstGeom prst="rect">
                      <a:avLst/>
                    </a:prstGeom>
                    <a:noFill/>
                    <a:ln>
                      <a:noFill/>
                    </a:ln>
                  </pic:spPr>
                </pic:pic>
              </a:graphicData>
            </a:graphic>
          </wp:inline>
        </w:drawing>
      </w:r>
      <w:r>
        <w:drawing>
          <wp:inline distT="0" distB="0" distL="114300" distR="114300">
            <wp:extent cx="5543550" cy="7639050"/>
            <wp:effectExtent l="0" t="0" r="0" b="0"/>
            <wp:docPr id="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2"/>
                    <pic:cNvPicPr>
                      <a:picLocks noChangeAspect="1"/>
                    </pic:cNvPicPr>
                  </pic:nvPicPr>
                  <pic:blipFill>
                    <a:blip r:embed="rId46"/>
                    <a:stretch>
                      <a:fillRect/>
                    </a:stretch>
                  </pic:blipFill>
                  <pic:spPr>
                    <a:xfrm>
                      <a:off x="0" y="0"/>
                      <a:ext cx="5543550" cy="7639050"/>
                    </a:xfrm>
                    <a:prstGeom prst="rect">
                      <a:avLst/>
                    </a:prstGeom>
                    <a:noFill/>
                    <a:ln>
                      <a:noFill/>
                    </a:ln>
                  </pic:spPr>
                </pic:pic>
              </a:graphicData>
            </a:graphic>
          </wp:inline>
        </w:drawing>
      </w:r>
      <w:r>
        <w:drawing>
          <wp:inline distT="0" distB="0" distL="114300" distR="114300">
            <wp:extent cx="5524500" cy="7715250"/>
            <wp:effectExtent l="0" t="0" r="0" b="0"/>
            <wp:docPr id="9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3"/>
                    <pic:cNvPicPr>
                      <a:picLocks noChangeAspect="1"/>
                    </pic:cNvPicPr>
                  </pic:nvPicPr>
                  <pic:blipFill>
                    <a:blip r:embed="rId47"/>
                    <a:stretch>
                      <a:fillRect/>
                    </a:stretch>
                  </pic:blipFill>
                  <pic:spPr>
                    <a:xfrm>
                      <a:off x="0" y="0"/>
                      <a:ext cx="5524500" cy="7715250"/>
                    </a:xfrm>
                    <a:prstGeom prst="rect">
                      <a:avLst/>
                    </a:prstGeom>
                    <a:noFill/>
                    <a:ln>
                      <a:noFill/>
                    </a:ln>
                  </pic:spPr>
                </pic:pic>
              </a:graphicData>
            </a:graphic>
          </wp:inline>
        </w:drawing>
      </w:r>
      <w:r>
        <w:drawing>
          <wp:inline distT="0" distB="0" distL="114300" distR="114300">
            <wp:extent cx="5476875" cy="7543800"/>
            <wp:effectExtent l="0" t="0" r="9525" b="0"/>
            <wp:docPr id="9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4"/>
                    <pic:cNvPicPr>
                      <a:picLocks noChangeAspect="1"/>
                    </pic:cNvPicPr>
                  </pic:nvPicPr>
                  <pic:blipFill>
                    <a:blip r:embed="rId48"/>
                    <a:stretch>
                      <a:fillRect/>
                    </a:stretch>
                  </pic:blipFill>
                  <pic:spPr>
                    <a:xfrm>
                      <a:off x="0" y="0"/>
                      <a:ext cx="5476875" cy="7543800"/>
                    </a:xfrm>
                    <a:prstGeom prst="rect">
                      <a:avLst/>
                    </a:prstGeom>
                    <a:noFill/>
                    <a:ln>
                      <a:noFill/>
                    </a:ln>
                  </pic:spPr>
                </pic:pic>
              </a:graphicData>
            </a:graphic>
          </wp:inline>
        </w:drawing>
      </w:r>
      <w:r>
        <w:drawing>
          <wp:inline distT="0" distB="0" distL="114300" distR="114300">
            <wp:extent cx="5421630" cy="7762240"/>
            <wp:effectExtent l="0" t="0" r="7620" b="10160"/>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49"/>
                    <a:stretch>
                      <a:fillRect/>
                    </a:stretch>
                  </pic:blipFill>
                  <pic:spPr>
                    <a:xfrm>
                      <a:off x="0" y="0"/>
                      <a:ext cx="5421630" cy="7762240"/>
                    </a:xfrm>
                    <a:prstGeom prst="rect">
                      <a:avLst/>
                    </a:prstGeom>
                    <a:noFill/>
                    <a:ln>
                      <a:noFill/>
                    </a:ln>
                  </pic:spPr>
                </pic:pic>
              </a:graphicData>
            </a:graphic>
          </wp:inline>
        </w:drawing>
      </w:r>
      <w:r>
        <w:drawing>
          <wp:inline distT="0" distB="0" distL="114300" distR="114300">
            <wp:extent cx="5504815" cy="7912100"/>
            <wp:effectExtent l="0" t="0" r="635" b="12700"/>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50"/>
                    <a:stretch>
                      <a:fillRect/>
                    </a:stretch>
                  </pic:blipFill>
                  <pic:spPr>
                    <a:xfrm>
                      <a:off x="0" y="0"/>
                      <a:ext cx="5504815" cy="7912100"/>
                    </a:xfrm>
                    <a:prstGeom prst="rect">
                      <a:avLst/>
                    </a:prstGeom>
                    <a:noFill/>
                    <a:ln>
                      <a:noFill/>
                    </a:ln>
                  </pic:spPr>
                </pic:pic>
              </a:graphicData>
            </a:graphic>
          </wp:inline>
        </w:drawing>
      </w:r>
      <w:r>
        <w:drawing>
          <wp:inline distT="0" distB="0" distL="114300" distR="114300">
            <wp:extent cx="5610225" cy="7740015"/>
            <wp:effectExtent l="0" t="0" r="9525" b="13335"/>
            <wp:docPr id="10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6"/>
                    <pic:cNvPicPr>
                      <a:picLocks noChangeAspect="1"/>
                    </pic:cNvPicPr>
                  </pic:nvPicPr>
                  <pic:blipFill>
                    <a:blip r:embed="rId51"/>
                    <a:stretch>
                      <a:fillRect/>
                    </a:stretch>
                  </pic:blipFill>
                  <pic:spPr>
                    <a:xfrm>
                      <a:off x="0" y="0"/>
                      <a:ext cx="5610225" cy="7740015"/>
                    </a:xfrm>
                    <a:prstGeom prst="rect">
                      <a:avLst/>
                    </a:prstGeom>
                    <a:noFill/>
                    <a:ln>
                      <a:noFill/>
                    </a:ln>
                  </pic:spPr>
                </pic:pic>
              </a:graphicData>
            </a:graphic>
          </wp:inline>
        </w:drawing>
      </w:r>
      <w:r>
        <w:drawing>
          <wp:inline distT="0" distB="0" distL="114300" distR="114300">
            <wp:extent cx="5610225" cy="7712075"/>
            <wp:effectExtent l="0" t="0" r="9525" b="3175"/>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52"/>
                    <a:stretch>
                      <a:fillRect/>
                    </a:stretch>
                  </pic:blipFill>
                  <pic:spPr>
                    <a:xfrm>
                      <a:off x="0" y="0"/>
                      <a:ext cx="5610225" cy="7712075"/>
                    </a:xfrm>
                    <a:prstGeom prst="rect">
                      <a:avLst/>
                    </a:prstGeom>
                    <a:noFill/>
                    <a:ln>
                      <a:noFill/>
                    </a:ln>
                  </pic:spPr>
                </pic:pic>
              </a:graphicData>
            </a:graphic>
          </wp:inline>
        </w:drawing>
      </w:r>
      <w:r>
        <w:drawing>
          <wp:inline distT="0" distB="0" distL="114300" distR="114300">
            <wp:extent cx="5615305" cy="7574915"/>
            <wp:effectExtent l="0" t="0" r="4445" b="6985"/>
            <wp:docPr id="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4"/>
                    <pic:cNvPicPr>
                      <a:picLocks noChangeAspect="1"/>
                    </pic:cNvPicPr>
                  </pic:nvPicPr>
                  <pic:blipFill>
                    <a:blip r:embed="rId53"/>
                    <a:stretch>
                      <a:fillRect/>
                    </a:stretch>
                  </pic:blipFill>
                  <pic:spPr>
                    <a:xfrm>
                      <a:off x="0" y="0"/>
                      <a:ext cx="5615305" cy="7574915"/>
                    </a:xfrm>
                    <a:prstGeom prst="rect">
                      <a:avLst/>
                    </a:prstGeom>
                    <a:noFill/>
                    <a:ln>
                      <a:noFill/>
                    </a:ln>
                  </pic:spPr>
                </pic:pic>
              </a:graphicData>
            </a:graphic>
          </wp:inline>
        </w:drawing>
      </w:r>
      <w:r>
        <w:drawing>
          <wp:inline distT="0" distB="0" distL="114300" distR="114300">
            <wp:extent cx="5572125" cy="7867650"/>
            <wp:effectExtent l="0" t="0" r="9525" b="0"/>
            <wp:docPr id="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5"/>
                    <pic:cNvPicPr>
                      <a:picLocks noChangeAspect="1"/>
                    </pic:cNvPicPr>
                  </pic:nvPicPr>
                  <pic:blipFill>
                    <a:blip r:embed="rId54"/>
                    <a:stretch>
                      <a:fillRect/>
                    </a:stretch>
                  </pic:blipFill>
                  <pic:spPr>
                    <a:xfrm>
                      <a:off x="0" y="0"/>
                      <a:ext cx="5572125" cy="7867650"/>
                    </a:xfrm>
                    <a:prstGeom prst="rect">
                      <a:avLst/>
                    </a:prstGeom>
                    <a:noFill/>
                    <a:ln>
                      <a:noFill/>
                    </a:ln>
                  </pic:spPr>
                </pic:pic>
              </a:graphicData>
            </a:graphic>
          </wp:inline>
        </w:drawing>
      </w:r>
    </w:p>
    <w:p w14:paraId="0DF87C43">
      <w:pPr>
        <w:pStyle w:val="5"/>
        <w:ind w:left="0" w:leftChars="0" w:firstLine="0" w:firstLineChars="0"/>
        <w:rPr>
          <w:rFonts w:hint="eastAsia" w:eastAsia="宋体" w:cs="Times New Roman"/>
          <w:color w:val="auto"/>
          <w:sz w:val="28"/>
          <w:szCs w:val="28"/>
          <w:highlight w:val="none"/>
          <w:lang w:val="en-US" w:eastAsia="zh-CN"/>
        </w:rPr>
      </w:pPr>
      <w:r>
        <w:rPr>
          <w:rFonts w:hint="eastAsia" w:eastAsia="宋体" w:cs="Times New Roman"/>
          <w:color w:val="auto"/>
          <w:sz w:val="28"/>
          <w:szCs w:val="28"/>
          <w:highlight w:val="none"/>
          <w:lang w:val="en-US" w:eastAsia="zh-CN"/>
        </w:rPr>
        <w:t>附件5</w:t>
      </w:r>
      <w:r>
        <w:rPr>
          <w:rFonts w:hint="eastAsia" w:ascii="宋体" w:hAnsi="宋体" w:eastAsia="宋体" w:cs="宋体"/>
          <w:color w:val="auto"/>
          <w:sz w:val="28"/>
          <w:szCs w:val="28"/>
          <w:highlight w:val="none"/>
        </w:rPr>
        <w:t>生物质</w:t>
      </w:r>
      <w:r>
        <w:rPr>
          <w:rFonts w:hint="eastAsia" w:ascii="宋体" w:hAnsi="宋体" w:eastAsia="宋体" w:cs="宋体"/>
          <w:color w:val="auto"/>
          <w:sz w:val="28"/>
          <w:szCs w:val="28"/>
          <w:highlight w:val="none"/>
          <w:lang w:val="en-US" w:eastAsia="zh-CN"/>
        </w:rPr>
        <w:t>燃料</w:t>
      </w:r>
      <w:r>
        <w:rPr>
          <w:rFonts w:hint="eastAsia" w:ascii="宋体" w:hAnsi="宋体" w:eastAsia="宋体" w:cs="宋体"/>
          <w:color w:val="auto"/>
          <w:sz w:val="28"/>
          <w:szCs w:val="28"/>
          <w:highlight w:val="none"/>
        </w:rPr>
        <w:t>分析报告</w:t>
      </w:r>
    </w:p>
    <w:p w14:paraId="7ED29093">
      <w:pPr>
        <w:bidi w:val="0"/>
        <w:rPr>
          <w:rFonts w:hint="eastAsia"/>
          <w:color w:val="auto"/>
          <w:highlight w:val="none"/>
        </w:rPr>
      </w:pPr>
      <w:r>
        <w:rPr>
          <w:rFonts w:eastAsia="黑体"/>
          <w:snapToGrid w:val="0"/>
          <w:color w:val="000000" w:themeColor="text1"/>
          <w:sz w:val="32"/>
          <w:szCs w:val="32"/>
          <w14:textFill>
            <w14:solidFill>
              <w14:schemeClr w14:val="tx1"/>
            </w14:solidFill>
          </w14:textFill>
        </w:rPr>
        <w:drawing>
          <wp:inline distT="0" distB="0" distL="114300" distR="114300">
            <wp:extent cx="5668010" cy="7599680"/>
            <wp:effectExtent l="0" t="0" r="8890" b="1270"/>
            <wp:docPr id="114" name="图片 114" descr="附件4  生物质检测报告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附件4  生物质检测报告_页面_1"/>
                    <pic:cNvPicPr>
                      <a:picLocks noChangeAspect="1"/>
                    </pic:cNvPicPr>
                  </pic:nvPicPr>
                  <pic:blipFill>
                    <a:blip r:embed="rId55"/>
                    <a:srcRect l="16069" t="10881" r="15243" b="24002"/>
                    <a:stretch>
                      <a:fillRect/>
                    </a:stretch>
                  </pic:blipFill>
                  <pic:spPr>
                    <a:xfrm>
                      <a:off x="0" y="0"/>
                      <a:ext cx="5668010" cy="7599680"/>
                    </a:xfrm>
                    <a:prstGeom prst="rect">
                      <a:avLst/>
                    </a:prstGeom>
                  </pic:spPr>
                </pic:pic>
              </a:graphicData>
            </a:graphic>
          </wp:inline>
        </w:drawing>
      </w:r>
      <w:r>
        <w:rPr>
          <w:rFonts w:ascii="Times New Roman" w:eastAsia="黑体" w:cs="Times New Roman"/>
          <w:snapToGrid w:val="0"/>
          <w:color w:val="000000" w:themeColor="text1"/>
          <w:sz w:val="32"/>
          <w:szCs w:val="32"/>
          <w14:textFill>
            <w14:solidFill>
              <w14:schemeClr w14:val="tx1"/>
            </w14:solidFill>
          </w14:textFill>
        </w:rPr>
        <w:drawing>
          <wp:inline distT="0" distB="0" distL="114300" distR="114300">
            <wp:extent cx="5674995" cy="7661910"/>
            <wp:effectExtent l="0" t="0" r="1905" b="15240"/>
            <wp:docPr id="115" name="图片 115" descr="附件4  生物质检测报告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附件4  生物质检测报告_页面_2"/>
                    <pic:cNvPicPr>
                      <a:picLocks noChangeAspect="1"/>
                    </pic:cNvPicPr>
                  </pic:nvPicPr>
                  <pic:blipFill>
                    <a:blip r:embed="rId56"/>
                    <a:srcRect l="15390" t="8801" r="15390" b="25122"/>
                    <a:stretch>
                      <a:fillRect/>
                    </a:stretch>
                  </pic:blipFill>
                  <pic:spPr>
                    <a:xfrm>
                      <a:off x="0" y="0"/>
                      <a:ext cx="5674995" cy="7661910"/>
                    </a:xfrm>
                    <a:prstGeom prst="rect">
                      <a:avLst/>
                    </a:prstGeom>
                  </pic:spPr>
                </pic:pic>
              </a:graphicData>
            </a:graphic>
          </wp:inline>
        </w:drawing>
      </w:r>
      <w:r>
        <w:rPr>
          <w:rFonts w:ascii="Times New Roman" w:eastAsia="黑体" w:cs="Times New Roman"/>
          <w:snapToGrid w:val="0"/>
          <w:color w:val="000000" w:themeColor="text1"/>
          <w:sz w:val="32"/>
          <w:szCs w:val="32"/>
          <w14:textFill>
            <w14:solidFill>
              <w14:schemeClr w14:val="tx1"/>
            </w14:solidFill>
          </w14:textFill>
        </w:rPr>
        <w:drawing>
          <wp:inline distT="0" distB="0" distL="114300" distR="114300">
            <wp:extent cx="5674995" cy="7726045"/>
            <wp:effectExtent l="0" t="0" r="1905" b="8255"/>
            <wp:docPr id="116" name="图片 116" descr="附件4  生物质检测报告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附件4  生物质检测报告_页面_3"/>
                    <pic:cNvPicPr>
                      <a:picLocks noChangeAspect="1"/>
                    </pic:cNvPicPr>
                  </pic:nvPicPr>
                  <pic:blipFill>
                    <a:blip r:embed="rId57"/>
                    <a:srcRect l="15164" t="9121" r="16521" b="25122"/>
                    <a:stretch>
                      <a:fillRect/>
                    </a:stretch>
                  </pic:blipFill>
                  <pic:spPr>
                    <a:xfrm>
                      <a:off x="0" y="0"/>
                      <a:ext cx="5674995" cy="7726045"/>
                    </a:xfrm>
                    <a:prstGeom prst="rect">
                      <a:avLst/>
                    </a:prstGeom>
                  </pic:spPr>
                </pic:pic>
              </a:graphicData>
            </a:graphic>
          </wp:inline>
        </w:drawing>
      </w:r>
    </w:p>
    <w:p w14:paraId="7577F3FF">
      <w:pPr>
        <w:bidi w:val="0"/>
        <w:rPr>
          <w:rFonts w:hint="default" w:ascii="Times New Roman" w:hAnsi="Times New Roman" w:eastAsia="宋体" w:cs="Times New Roman"/>
          <w:color w:val="auto"/>
          <w:sz w:val="21"/>
          <w:szCs w:val="21"/>
          <w:highlight w:val="none"/>
        </w:rPr>
      </w:pPr>
    </w:p>
    <w:p w14:paraId="7D032739">
      <w:pPr>
        <w:rPr>
          <w:rFonts w:hint="default" w:ascii="Times New Roman" w:hAnsi="Times New Roman" w:eastAsia="宋体" w:cs="Times New Roman"/>
          <w:color w:val="auto"/>
          <w:sz w:val="21"/>
          <w:szCs w:val="21"/>
          <w:highlight w:val="none"/>
        </w:rPr>
      </w:pPr>
    </w:p>
    <w:p w14:paraId="0B044F88">
      <w:pPr>
        <w:rPr>
          <w:rFonts w:hint="default" w:ascii="Times New Roman" w:hAnsi="Times New Roman" w:eastAsia="宋体" w:cs="Times New Roman"/>
          <w:color w:val="auto"/>
          <w:sz w:val="21"/>
          <w:szCs w:val="21"/>
          <w:highlight w:val="none"/>
        </w:rPr>
      </w:pPr>
    </w:p>
    <w:p w14:paraId="178695A6">
      <w:pPr>
        <w:rPr>
          <w:rFonts w:hint="default" w:ascii="Times New Roman" w:hAnsi="Times New Roman" w:eastAsia="宋体" w:cs="Times New Roman"/>
          <w:color w:val="auto"/>
          <w:sz w:val="21"/>
          <w:szCs w:val="21"/>
          <w:highlight w:val="none"/>
        </w:rPr>
      </w:pPr>
    </w:p>
    <w:p w14:paraId="5F87B7CE">
      <w:pPr>
        <w:rPr>
          <w:rFonts w:hint="default" w:ascii="Times New Roman" w:hAnsi="Times New Roman" w:eastAsia="宋体" w:cs="Times New Roman"/>
          <w:color w:val="auto"/>
          <w:sz w:val="21"/>
          <w:szCs w:val="21"/>
          <w:highlight w:val="none"/>
        </w:rPr>
      </w:pPr>
    </w:p>
    <w:p w14:paraId="4EE5E2E4">
      <w:pPr>
        <w:pStyle w:val="5"/>
        <w:ind w:left="0" w:leftChars="0" w:firstLine="0" w:firstLineChars="0"/>
        <w:rPr>
          <w:rFonts w:hint="default" w:eastAsia="宋体" w:cs="Times New Roman"/>
          <w:color w:val="auto"/>
          <w:sz w:val="28"/>
          <w:szCs w:val="28"/>
          <w:highlight w:val="none"/>
          <w:lang w:val="en-US" w:eastAsia="zh-CN"/>
        </w:rPr>
      </w:pPr>
      <w:r>
        <w:rPr>
          <w:rFonts w:hint="eastAsia" w:eastAsia="宋体" w:cs="Times New Roman"/>
          <w:color w:val="auto"/>
          <w:sz w:val="28"/>
          <w:szCs w:val="28"/>
          <w:highlight w:val="none"/>
          <w:lang w:val="en-US" w:eastAsia="zh-CN"/>
        </w:rPr>
        <w:t>附件6灰渣、烘干粉尘处置协议</w:t>
      </w:r>
    </w:p>
    <w:p w14:paraId="233FAC71">
      <w:pPr>
        <w:rPr>
          <w:rFonts w:hint="default" w:ascii="Times New Roman" w:hAnsi="Times New Roman" w:eastAsia="宋体" w:cs="Times New Roman"/>
          <w:color w:val="auto"/>
          <w:sz w:val="21"/>
          <w:szCs w:val="21"/>
          <w:highlight w:val="none"/>
        </w:rPr>
      </w:pPr>
      <w:r>
        <w:drawing>
          <wp:inline distT="0" distB="0" distL="114300" distR="114300">
            <wp:extent cx="5172075" cy="6753225"/>
            <wp:effectExtent l="0" t="0" r="9525" b="9525"/>
            <wp:docPr id="1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3"/>
                    <pic:cNvPicPr>
                      <a:picLocks noChangeAspect="1"/>
                    </pic:cNvPicPr>
                  </pic:nvPicPr>
                  <pic:blipFill>
                    <a:blip r:embed="rId58"/>
                    <a:stretch>
                      <a:fillRect/>
                    </a:stretch>
                  </pic:blipFill>
                  <pic:spPr>
                    <a:xfrm>
                      <a:off x="0" y="0"/>
                      <a:ext cx="5172075" cy="6753225"/>
                    </a:xfrm>
                    <a:prstGeom prst="rect">
                      <a:avLst/>
                    </a:prstGeom>
                    <a:noFill/>
                    <a:ln>
                      <a:noFill/>
                    </a:ln>
                  </pic:spPr>
                </pic:pic>
              </a:graphicData>
            </a:graphic>
          </wp:inline>
        </w:drawing>
      </w:r>
      <w:r>
        <w:drawing>
          <wp:inline distT="0" distB="0" distL="114300" distR="114300">
            <wp:extent cx="5191125" cy="6924675"/>
            <wp:effectExtent l="0" t="0" r="9525" b="9525"/>
            <wp:docPr id="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
                    <pic:cNvPicPr>
                      <a:picLocks noChangeAspect="1"/>
                    </pic:cNvPicPr>
                  </pic:nvPicPr>
                  <pic:blipFill>
                    <a:blip r:embed="rId59"/>
                    <a:stretch>
                      <a:fillRect/>
                    </a:stretch>
                  </pic:blipFill>
                  <pic:spPr>
                    <a:xfrm>
                      <a:off x="0" y="0"/>
                      <a:ext cx="5191125" cy="6924675"/>
                    </a:xfrm>
                    <a:prstGeom prst="rect">
                      <a:avLst/>
                    </a:prstGeom>
                    <a:noFill/>
                    <a:ln>
                      <a:noFill/>
                    </a:ln>
                  </pic:spPr>
                </pic:pic>
              </a:graphicData>
            </a:graphic>
          </wp:inline>
        </w:drawing>
      </w:r>
    </w:p>
    <w:p w14:paraId="51439C92">
      <w:pPr>
        <w:bidi w:val="0"/>
        <w:rPr>
          <w:rFonts w:hint="default"/>
        </w:rPr>
      </w:pPr>
    </w:p>
    <w:p w14:paraId="5D027DFF">
      <w:pPr>
        <w:bidi w:val="0"/>
        <w:rPr>
          <w:rFonts w:hint="default"/>
        </w:rPr>
      </w:pPr>
    </w:p>
    <w:p w14:paraId="53E6D03C">
      <w:pPr>
        <w:bidi w:val="0"/>
        <w:rPr>
          <w:rFonts w:hint="default"/>
        </w:rPr>
      </w:pPr>
    </w:p>
    <w:p w14:paraId="664F1A8C">
      <w:pPr>
        <w:bidi w:val="0"/>
        <w:rPr>
          <w:rFonts w:hint="default"/>
        </w:rPr>
      </w:pPr>
    </w:p>
    <w:p w14:paraId="070DBD4A">
      <w:pPr>
        <w:bidi w:val="0"/>
        <w:rPr>
          <w:rFonts w:hint="default"/>
        </w:rPr>
      </w:pPr>
    </w:p>
    <w:p w14:paraId="2B2A71BD">
      <w:pPr>
        <w:bidi w:val="0"/>
        <w:rPr>
          <w:rFonts w:hint="default"/>
        </w:rPr>
      </w:pPr>
    </w:p>
    <w:p w14:paraId="19E070B5">
      <w:pPr>
        <w:bidi w:val="0"/>
        <w:rPr>
          <w:rFonts w:hint="default"/>
        </w:rPr>
      </w:pPr>
    </w:p>
    <w:p w14:paraId="2F88A39E">
      <w:pPr>
        <w:bidi w:val="0"/>
        <w:rPr>
          <w:rFonts w:hint="default"/>
        </w:rPr>
      </w:pPr>
    </w:p>
    <w:p w14:paraId="3A72FD66">
      <w:pPr>
        <w:pStyle w:val="5"/>
        <w:ind w:left="0" w:leftChars="0" w:firstLine="0" w:firstLineChars="0"/>
        <w:rPr>
          <w:rFonts w:hint="eastAsia" w:ascii="Times New Roman" w:hAnsi="Times New Roman" w:eastAsia="宋体" w:cs="Times New Roman"/>
          <w:color w:val="auto"/>
          <w:sz w:val="28"/>
          <w:szCs w:val="28"/>
          <w:highlight w:val="none"/>
          <w:lang w:val="en-US" w:eastAsia="zh-CN"/>
        </w:rPr>
      </w:pPr>
      <w:r>
        <w:rPr>
          <w:rFonts w:hint="default" w:ascii="Times New Roman" w:hAnsi="Times New Roman" w:eastAsia="宋体" w:cs="Times New Roman"/>
          <w:color w:val="auto"/>
          <w:sz w:val="28"/>
          <w:szCs w:val="28"/>
          <w:highlight w:val="none"/>
          <w:lang w:val="en-US" w:eastAsia="zh-CN"/>
        </w:rPr>
        <w:t>附件</w:t>
      </w:r>
      <w:r>
        <w:rPr>
          <w:rFonts w:hint="eastAsia" w:ascii="Times New Roman" w:hAnsi="Times New Roman" w:eastAsia="宋体" w:cs="Times New Roman"/>
          <w:color w:val="auto"/>
          <w:sz w:val="28"/>
          <w:szCs w:val="28"/>
          <w:highlight w:val="none"/>
          <w:lang w:val="en-US" w:eastAsia="zh-CN"/>
        </w:rPr>
        <w:t>7核定排放量计算说明</w:t>
      </w:r>
    </w:p>
    <w:p w14:paraId="4067A819">
      <w:pPr>
        <w:keepNext w:val="0"/>
        <w:keepLines w:val="0"/>
        <w:pageBreakBefore w:val="0"/>
        <w:widowControl/>
        <w:numPr>
          <w:ilvl w:val="0"/>
          <w:numId w:val="4"/>
        </w:numPr>
        <w:kinsoku/>
        <w:wordWrap/>
        <w:overflowPunct/>
        <w:topLinePunct w:val="0"/>
        <w:autoSpaceDE/>
        <w:autoSpaceDN/>
        <w:bidi w:val="0"/>
        <w:adjustRightInd/>
        <w:snapToGrid/>
        <w:spacing w:line="360" w:lineRule="auto"/>
        <w:ind w:firstLine="422" w:firstLineChars="200"/>
        <w:textAlignment w:val="auto"/>
        <w:rPr>
          <w:rFonts w:hint="eastAsia" w:ascii="宋体" w:hAnsi="宋体" w:cs="宋体"/>
          <w:b/>
          <w:color w:val="auto"/>
          <w:szCs w:val="21"/>
          <w:highlight w:val="none"/>
        </w:rPr>
      </w:pPr>
      <w:r>
        <w:rPr>
          <w:rFonts w:hint="eastAsia" w:ascii="宋体" w:hAnsi="宋体" w:cs="宋体"/>
          <w:b/>
          <w:color w:val="auto"/>
          <w:szCs w:val="21"/>
          <w:highlight w:val="none"/>
        </w:rPr>
        <w:t>废气排放总量</w:t>
      </w:r>
    </w:p>
    <w:p w14:paraId="6F13010B">
      <w:pPr>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b w:val="0"/>
          <w:bCs/>
          <w:color w:val="auto"/>
          <w:highlight w:val="none"/>
        </w:rPr>
      </w:pPr>
      <w:r>
        <w:rPr>
          <w:rFonts w:hint="eastAsia" w:ascii="宋体" w:hAnsi="宋体" w:cs="宋体"/>
          <w:b w:val="0"/>
          <w:bCs/>
          <w:color w:val="auto"/>
          <w:szCs w:val="21"/>
          <w:highlight w:val="none"/>
          <w:lang w:eastAsia="zh-CN"/>
        </w:rPr>
        <w:t>（</w:t>
      </w:r>
      <w:r>
        <w:rPr>
          <w:rFonts w:hint="eastAsia" w:ascii="宋体" w:hAnsi="宋体" w:cs="宋体"/>
          <w:b w:val="0"/>
          <w:bCs/>
          <w:color w:val="auto"/>
          <w:szCs w:val="21"/>
          <w:highlight w:val="none"/>
          <w:lang w:val="en-US" w:eastAsia="zh-CN"/>
        </w:rPr>
        <w:t>一）本项目核定</w:t>
      </w:r>
      <w:r>
        <w:rPr>
          <w:rFonts w:hint="eastAsia" w:ascii="宋体" w:hAnsi="宋体" w:cs="宋体"/>
          <w:b w:val="0"/>
          <w:bCs/>
          <w:color w:val="auto"/>
          <w:szCs w:val="21"/>
          <w:highlight w:val="none"/>
        </w:rPr>
        <w:t>排放总量</w:t>
      </w:r>
    </w:p>
    <w:p w14:paraId="6FBB230E">
      <w:pPr>
        <w:pStyle w:val="156"/>
        <w:adjustRightInd w:val="0"/>
        <w:snapToGrid w:val="0"/>
        <w:spacing w:line="360" w:lineRule="auto"/>
        <w:ind w:firstLineChars="200"/>
        <w:rPr>
          <w:rFonts w:eastAsia="宋体"/>
          <w:color w:val="auto"/>
          <w:sz w:val="21"/>
          <w:szCs w:val="21"/>
          <w:highlight w:val="none"/>
        </w:rPr>
      </w:pPr>
      <w:r>
        <w:rPr>
          <w:rFonts w:hint="eastAsia"/>
          <w:color w:val="auto"/>
          <w:sz w:val="21"/>
          <w:szCs w:val="21"/>
          <w:highlight w:val="none"/>
          <w:lang w:val="en-US" w:eastAsia="zh-CN"/>
        </w:rPr>
        <w:t>1、热风炉污染物：</w:t>
      </w:r>
      <w:r>
        <w:rPr>
          <w:rFonts w:eastAsia="宋体"/>
          <w:color w:val="auto"/>
          <w:sz w:val="21"/>
          <w:szCs w:val="21"/>
          <w:highlight w:val="none"/>
        </w:rPr>
        <w:t>根据《排污许可证申请与核发技术规范 工业炉窑》（HJ1121-2020）中表6取值表计算本项目</w:t>
      </w:r>
      <w:r>
        <w:rPr>
          <w:rFonts w:hint="eastAsia"/>
          <w:color w:val="auto"/>
          <w:sz w:val="21"/>
          <w:szCs w:val="21"/>
          <w:highlight w:val="none"/>
          <w:lang w:val="en-US" w:eastAsia="zh-CN"/>
        </w:rPr>
        <w:t>颗粒物</w:t>
      </w:r>
      <w:r>
        <w:rPr>
          <w:rFonts w:hint="eastAsia"/>
          <w:color w:val="auto"/>
          <w:sz w:val="21"/>
          <w:szCs w:val="21"/>
          <w:highlight w:val="none"/>
          <w:lang w:eastAsia="zh-CN"/>
        </w:rPr>
        <w:t>、二氧化硫、</w:t>
      </w:r>
      <w:r>
        <w:rPr>
          <w:rFonts w:eastAsia="宋体"/>
          <w:color w:val="auto"/>
          <w:sz w:val="21"/>
          <w:szCs w:val="21"/>
          <w:highlight w:val="none"/>
        </w:rPr>
        <w:t>氮氧化物绩效值。</w:t>
      </w:r>
      <w:r>
        <w:rPr>
          <w:rFonts w:hint="default" w:ascii="Times New Roman" w:hAnsi="Times New Roman" w:cs="Times New Roman"/>
          <w:color w:val="auto"/>
          <w:sz w:val="21"/>
          <w:szCs w:val="21"/>
          <w:highlight w:val="none"/>
        </w:rPr>
        <w:t>本项目低位发热量（Q</w:t>
      </w:r>
      <w:r>
        <w:rPr>
          <w:rFonts w:hint="default" w:ascii="Times New Roman" w:hAnsi="Times New Roman" w:cs="Times New Roman"/>
          <w:color w:val="auto"/>
          <w:sz w:val="21"/>
          <w:szCs w:val="21"/>
          <w:highlight w:val="none"/>
          <w:vertAlign w:val="subscript"/>
        </w:rPr>
        <w:t>net，ar</w:t>
      </w:r>
      <w:r>
        <w:rPr>
          <w:rFonts w:hint="default" w:ascii="Times New Roman" w:hAnsi="Times New Roman" w:cs="Times New Roman"/>
          <w:color w:val="auto"/>
          <w:sz w:val="21"/>
          <w:szCs w:val="21"/>
          <w:highlight w:val="none"/>
        </w:rPr>
        <w:t>）为</w:t>
      </w:r>
      <w:r>
        <w:rPr>
          <w:rFonts w:hint="eastAsia" w:cs="Times New Roman"/>
          <w:color w:val="auto"/>
          <w:sz w:val="21"/>
          <w:szCs w:val="21"/>
          <w:highlight w:val="none"/>
          <w:lang w:val="en-US" w:eastAsia="zh-CN"/>
        </w:rPr>
        <w:t>9.58</w:t>
      </w:r>
      <w:r>
        <w:rPr>
          <w:rFonts w:hint="default" w:ascii="Times New Roman" w:hAnsi="Times New Roman" w:cs="Times New Roman"/>
          <w:color w:val="auto"/>
          <w:sz w:val="21"/>
          <w:szCs w:val="21"/>
          <w:highlight w:val="none"/>
        </w:rPr>
        <w:t>MJ/kg</w:t>
      </w:r>
      <w:r>
        <w:rPr>
          <w:rFonts w:eastAsia="宋体"/>
          <w:color w:val="auto"/>
          <w:sz w:val="21"/>
          <w:szCs w:val="21"/>
          <w:highlight w:val="none"/>
        </w:rPr>
        <w:t>，采用插值法计算绩效值：</w:t>
      </w:r>
    </w:p>
    <w:p w14:paraId="6DF33150">
      <w:pPr>
        <w:pStyle w:val="156"/>
        <w:adjustRightInd w:val="0"/>
        <w:snapToGrid w:val="0"/>
        <w:spacing w:line="360" w:lineRule="auto"/>
        <w:ind w:left="0" w:leftChars="0" w:firstLine="0" w:firstLineChars="0"/>
        <w:rPr>
          <w:rFonts w:eastAsia="宋体"/>
          <w:color w:val="auto"/>
          <w:sz w:val="21"/>
          <w:szCs w:val="21"/>
          <w:highlight w:val="none"/>
        </w:rPr>
      </w:pPr>
      <w:r>
        <w:rPr>
          <w:rFonts w:hint="eastAsia"/>
          <w:color w:val="auto"/>
          <w:sz w:val="21"/>
          <w:szCs w:val="21"/>
          <w:highlight w:val="none"/>
          <w:lang w:eastAsia="zh-CN"/>
        </w:rPr>
        <w:t>颗粒物</w:t>
      </w:r>
      <w:r>
        <w:rPr>
          <w:rFonts w:eastAsia="宋体"/>
          <w:color w:val="auto"/>
          <w:sz w:val="21"/>
          <w:szCs w:val="21"/>
          <w:highlight w:val="none"/>
        </w:rPr>
        <w:t>绩效值=</w:t>
      </w:r>
      <w:r>
        <w:rPr>
          <w:rFonts w:hint="eastAsia"/>
          <w:color w:val="auto"/>
          <w:sz w:val="21"/>
          <w:szCs w:val="21"/>
          <w:highlight w:val="none"/>
          <w:lang w:val="en-US" w:eastAsia="zh-CN"/>
        </w:rPr>
        <w:t>0.156</w:t>
      </w:r>
      <w:r>
        <w:rPr>
          <w:rFonts w:eastAsia="宋体"/>
          <w:color w:val="auto"/>
          <w:sz w:val="21"/>
          <w:szCs w:val="21"/>
          <w:highlight w:val="none"/>
        </w:rPr>
        <w:t>+（</w:t>
      </w:r>
      <w:r>
        <w:rPr>
          <w:rFonts w:hint="eastAsia"/>
          <w:color w:val="auto"/>
          <w:sz w:val="21"/>
          <w:szCs w:val="21"/>
          <w:highlight w:val="none"/>
          <w:lang w:val="en-US" w:eastAsia="zh-CN"/>
        </w:rPr>
        <w:t>0.18</w:t>
      </w:r>
      <w:r>
        <w:rPr>
          <w:rFonts w:eastAsia="宋体"/>
          <w:color w:val="auto"/>
          <w:sz w:val="21"/>
          <w:szCs w:val="21"/>
          <w:highlight w:val="none"/>
        </w:rPr>
        <w:t>-0</w:t>
      </w:r>
      <w:r>
        <w:rPr>
          <w:rFonts w:hint="eastAsia"/>
          <w:color w:val="auto"/>
          <w:sz w:val="21"/>
          <w:szCs w:val="21"/>
          <w:highlight w:val="none"/>
          <w:lang w:val="en-US" w:eastAsia="zh-CN"/>
        </w:rPr>
        <w:t>.156</w:t>
      </w:r>
      <w:r>
        <w:rPr>
          <w:rFonts w:eastAsia="宋体"/>
          <w:color w:val="auto"/>
          <w:sz w:val="21"/>
          <w:szCs w:val="21"/>
          <w:highlight w:val="none"/>
        </w:rPr>
        <w:t>）×（</w:t>
      </w:r>
      <w:r>
        <w:rPr>
          <w:rFonts w:hint="eastAsia"/>
          <w:color w:val="auto"/>
          <w:sz w:val="21"/>
          <w:szCs w:val="21"/>
          <w:highlight w:val="none"/>
          <w:lang w:val="en-US" w:eastAsia="zh-CN"/>
        </w:rPr>
        <w:t>9.58</w:t>
      </w:r>
      <w:r>
        <w:rPr>
          <w:rFonts w:eastAsia="宋体"/>
          <w:color w:val="auto"/>
          <w:sz w:val="21"/>
          <w:szCs w:val="21"/>
          <w:highlight w:val="none"/>
        </w:rPr>
        <w:t>-</w:t>
      </w:r>
      <w:r>
        <w:rPr>
          <w:rFonts w:hint="eastAsia"/>
          <w:color w:val="auto"/>
          <w:sz w:val="21"/>
          <w:szCs w:val="21"/>
          <w:highlight w:val="none"/>
          <w:lang w:val="en-US" w:eastAsia="zh-CN"/>
        </w:rPr>
        <w:t>8.37</w:t>
      </w:r>
      <w:r>
        <w:rPr>
          <w:rFonts w:eastAsia="宋体"/>
          <w:color w:val="auto"/>
          <w:sz w:val="21"/>
          <w:szCs w:val="21"/>
          <w:highlight w:val="none"/>
        </w:rPr>
        <w:t>）÷（</w:t>
      </w:r>
      <w:r>
        <w:rPr>
          <w:rFonts w:hint="eastAsia"/>
          <w:color w:val="auto"/>
          <w:sz w:val="21"/>
          <w:szCs w:val="21"/>
          <w:highlight w:val="none"/>
          <w:lang w:val="en-US" w:eastAsia="zh-CN"/>
        </w:rPr>
        <w:t>10.47</w:t>
      </w:r>
      <w:r>
        <w:rPr>
          <w:rFonts w:eastAsia="宋体"/>
          <w:color w:val="auto"/>
          <w:sz w:val="21"/>
          <w:szCs w:val="21"/>
          <w:highlight w:val="none"/>
        </w:rPr>
        <w:t>-</w:t>
      </w:r>
      <w:r>
        <w:rPr>
          <w:rFonts w:hint="eastAsia"/>
          <w:color w:val="auto"/>
          <w:sz w:val="21"/>
          <w:szCs w:val="21"/>
          <w:highlight w:val="none"/>
          <w:lang w:val="en-US" w:eastAsia="zh-CN"/>
        </w:rPr>
        <w:t>8.37</w:t>
      </w:r>
      <w:r>
        <w:rPr>
          <w:rFonts w:eastAsia="宋体"/>
          <w:color w:val="auto"/>
          <w:sz w:val="21"/>
          <w:szCs w:val="21"/>
          <w:highlight w:val="none"/>
        </w:rPr>
        <w:t>）=</w:t>
      </w:r>
      <w:r>
        <w:rPr>
          <w:rFonts w:hint="eastAsia"/>
          <w:color w:val="auto"/>
          <w:sz w:val="21"/>
          <w:szCs w:val="21"/>
          <w:highlight w:val="none"/>
          <w:lang w:val="en-US" w:eastAsia="zh-CN"/>
        </w:rPr>
        <w:t>0.1698</w:t>
      </w:r>
      <w:r>
        <w:rPr>
          <w:rFonts w:eastAsia="宋体"/>
          <w:color w:val="auto"/>
          <w:sz w:val="21"/>
          <w:szCs w:val="21"/>
          <w:highlight w:val="none"/>
        </w:rPr>
        <w:t>kg/t原料</w:t>
      </w:r>
    </w:p>
    <w:p w14:paraId="593CC4D6">
      <w:pPr>
        <w:pStyle w:val="156"/>
        <w:adjustRightInd w:val="0"/>
        <w:snapToGrid w:val="0"/>
        <w:spacing w:line="360" w:lineRule="auto"/>
        <w:ind w:left="0" w:leftChars="0" w:firstLine="0" w:firstLineChars="0"/>
        <w:rPr>
          <w:rFonts w:hint="default" w:eastAsia="宋体"/>
          <w:color w:val="auto"/>
          <w:sz w:val="21"/>
          <w:szCs w:val="21"/>
          <w:highlight w:val="none"/>
          <w:lang w:val="en-US" w:eastAsia="zh-CN"/>
        </w:rPr>
      </w:pPr>
      <w:r>
        <w:rPr>
          <w:rFonts w:hint="eastAsia"/>
          <w:color w:val="auto"/>
          <w:sz w:val="21"/>
          <w:szCs w:val="21"/>
          <w:highlight w:val="none"/>
          <w:lang w:eastAsia="zh-CN"/>
        </w:rPr>
        <w:t>二氧化硫绩效值</w:t>
      </w:r>
      <w:r>
        <w:rPr>
          <w:rFonts w:hint="eastAsia"/>
          <w:color w:val="auto"/>
          <w:sz w:val="21"/>
          <w:szCs w:val="21"/>
          <w:highlight w:val="none"/>
          <w:lang w:val="en-US" w:eastAsia="zh-CN"/>
        </w:rPr>
        <w:t>=0.519+（0.599-0.519）</w:t>
      </w:r>
      <w:r>
        <w:rPr>
          <w:rFonts w:eastAsia="宋体"/>
          <w:color w:val="auto"/>
          <w:sz w:val="21"/>
          <w:szCs w:val="21"/>
          <w:highlight w:val="none"/>
        </w:rPr>
        <w:t>×（</w:t>
      </w:r>
      <w:r>
        <w:rPr>
          <w:rFonts w:hint="eastAsia"/>
          <w:color w:val="auto"/>
          <w:sz w:val="21"/>
          <w:szCs w:val="21"/>
          <w:highlight w:val="none"/>
          <w:lang w:val="en-US" w:eastAsia="zh-CN"/>
        </w:rPr>
        <w:t>9.58</w:t>
      </w:r>
      <w:r>
        <w:rPr>
          <w:rFonts w:eastAsia="宋体"/>
          <w:color w:val="auto"/>
          <w:sz w:val="21"/>
          <w:szCs w:val="21"/>
          <w:highlight w:val="none"/>
        </w:rPr>
        <w:t>-</w:t>
      </w:r>
      <w:r>
        <w:rPr>
          <w:rFonts w:hint="eastAsia"/>
          <w:color w:val="auto"/>
          <w:sz w:val="21"/>
          <w:szCs w:val="21"/>
          <w:highlight w:val="none"/>
          <w:lang w:val="en-US" w:eastAsia="zh-CN"/>
        </w:rPr>
        <w:t>8.37</w:t>
      </w:r>
      <w:r>
        <w:rPr>
          <w:rFonts w:eastAsia="宋体"/>
          <w:color w:val="auto"/>
          <w:sz w:val="21"/>
          <w:szCs w:val="21"/>
          <w:highlight w:val="none"/>
        </w:rPr>
        <w:t>）÷（</w:t>
      </w:r>
      <w:r>
        <w:rPr>
          <w:rFonts w:hint="eastAsia"/>
          <w:color w:val="auto"/>
          <w:sz w:val="21"/>
          <w:szCs w:val="21"/>
          <w:highlight w:val="none"/>
          <w:lang w:val="en-US" w:eastAsia="zh-CN"/>
        </w:rPr>
        <w:t>10.47</w:t>
      </w:r>
      <w:r>
        <w:rPr>
          <w:rFonts w:eastAsia="宋体"/>
          <w:color w:val="auto"/>
          <w:sz w:val="21"/>
          <w:szCs w:val="21"/>
          <w:highlight w:val="none"/>
        </w:rPr>
        <w:t>-</w:t>
      </w:r>
      <w:r>
        <w:rPr>
          <w:rFonts w:hint="eastAsia"/>
          <w:color w:val="auto"/>
          <w:sz w:val="21"/>
          <w:szCs w:val="21"/>
          <w:highlight w:val="none"/>
          <w:lang w:val="en-US" w:eastAsia="zh-CN"/>
        </w:rPr>
        <w:t>8.37</w:t>
      </w:r>
      <w:r>
        <w:rPr>
          <w:rFonts w:eastAsia="宋体"/>
          <w:color w:val="auto"/>
          <w:sz w:val="21"/>
          <w:szCs w:val="21"/>
          <w:highlight w:val="none"/>
        </w:rPr>
        <w:t>）</w:t>
      </w:r>
      <w:r>
        <w:rPr>
          <w:rFonts w:hint="eastAsia" w:eastAsia="宋体"/>
          <w:color w:val="auto"/>
          <w:sz w:val="21"/>
          <w:szCs w:val="21"/>
          <w:highlight w:val="none"/>
          <w:lang w:val="en-US" w:eastAsia="zh-CN"/>
        </w:rPr>
        <w:t>=0</w:t>
      </w:r>
      <w:r>
        <w:rPr>
          <w:rFonts w:hint="eastAsia"/>
          <w:color w:val="auto"/>
          <w:sz w:val="21"/>
          <w:szCs w:val="21"/>
          <w:highlight w:val="none"/>
          <w:lang w:val="en-US" w:eastAsia="zh-CN"/>
        </w:rPr>
        <w:t>.5651</w:t>
      </w:r>
      <w:r>
        <w:rPr>
          <w:rFonts w:eastAsia="宋体"/>
          <w:color w:val="auto"/>
          <w:sz w:val="21"/>
          <w:szCs w:val="21"/>
          <w:highlight w:val="none"/>
        </w:rPr>
        <w:t>kg/t原料</w:t>
      </w:r>
    </w:p>
    <w:p w14:paraId="1EC05A6A">
      <w:pPr>
        <w:pStyle w:val="156"/>
        <w:adjustRightInd w:val="0"/>
        <w:snapToGrid w:val="0"/>
        <w:spacing w:line="360" w:lineRule="auto"/>
        <w:ind w:left="0" w:leftChars="0" w:firstLine="0" w:firstLineChars="0"/>
        <w:rPr>
          <w:rFonts w:eastAsia="宋体"/>
          <w:color w:val="auto"/>
          <w:sz w:val="21"/>
          <w:szCs w:val="21"/>
          <w:highlight w:val="none"/>
        </w:rPr>
      </w:pPr>
      <w:r>
        <w:rPr>
          <w:rFonts w:eastAsia="宋体"/>
          <w:color w:val="auto"/>
          <w:sz w:val="21"/>
          <w:szCs w:val="21"/>
          <w:highlight w:val="none"/>
        </w:rPr>
        <w:t>氮氧化合物绩效值=</w:t>
      </w:r>
      <w:r>
        <w:rPr>
          <w:rFonts w:hint="eastAsia"/>
          <w:color w:val="auto"/>
          <w:sz w:val="21"/>
          <w:szCs w:val="21"/>
          <w:highlight w:val="none"/>
          <w:lang w:val="en-US" w:eastAsia="zh-CN"/>
        </w:rPr>
        <w:t>1.558</w:t>
      </w:r>
      <w:r>
        <w:rPr>
          <w:rFonts w:eastAsia="宋体"/>
          <w:color w:val="auto"/>
          <w:sz w:val="21"/>
          <w:szCs w:val="21"/>
          <w:highlight w:val="none"/>
        </w:rPr>
        <w:t>+（</w:t>
      </w:r>
      <w:r>
        <w:rPr>
          <w:rFonts w:hint="eastAsia"/>
          <w:color w:val="auto"/>
          <w:sz w:val="21"/>
          <w:szCs w:val="21"/>
          <w:highlight w:val="none"/>
          <w:lang w:val="en-US" w:eastAsia="zh-CN"/>
        </w:rPr>
        <w:t>1.798</w:t>
      </w:r>
      <w:r>
        <w:rPr>
          <w:rFonts w:eastAsia="宋体"/>
          <w:color w:val="auto"/>
          <w:sz w:val="21"/>
          <w:szCs w:val="21"/>
          <w:highlight w:val="none"/>
        </w:rPr>
        <w:t>-</w:t>
      </w:r>
      <w:r>
        <w:rPr>
          <w:rFonts w:hint="eastAsia"/>
          <w:color w:val="auto"/>
          <w:sz w:val="21"/>
          <w:szCs w:val="21"/>
          <w:highlight w:val="none"/>
          <w:lang w:val="en-US" w:eastAsia="zh-CN"/>
        </w:rPr>
        <w:t>1.558</w:t>
      </w:r>
      <w:r>
        <w:rPr>
          <w:rFonts w:eastAsia="宋体"/>
          <w:color w:val="auto"/>
          <w:sz w:val="21"/>
          <w:szCs w:val="21"/>
          <w:highlight w:val="none"/>
        </w:rPr>
        <w:t>）×（</w:t>
      </w:r>
      <w:r>
        <w:rPr>
          <w:rFonts w:hint="eastAsia"/>
          <w:color w:val="auto"/>
          <w:sz w:val="21"/>
          <w:szCs w:val="21"/>
          <w:highlight w:val="none"/>
          <w:lang w:val="en-US" w:eastAsia="zh-CN"/>
        </w:rPr>
        <w:t>9.58</w:t>
      </w:r>
      <w:r>
        <w:rPr>
          <w:rFonts w:eastAsia="宋体"/>
          <w:color w:val="auto"/>
          <w:sz w:val="21"/>
          <w:szCs w:val="21"/>
          <w:highlight w:val="none"/>
        </w:rPr>
        <w:t>-</w:t>
      </w:r>
      <w:r>
        <w:rPr>
          <w:rFonts w:hint="eastAsia"/>
          <w:color w:val="auto"/>
          <w:sz w:val="21"/>
          <w:szCs w:val="21"/>
          <w:highlight w:val="none"/>
          <w:lang w:val="en-US" w:eastAsia="zh-CN"/>
        </w:rPr>
        <w:t>8.37</w:t>
      </w:r>
      <w:r>
        <w:rPr>
          <w:rFonts w:eastAsia="宋体"/>
          <w:color w:val="auto"/>
          <w:sz w:val="21"/>
          <w:szCs w:val="21"/>
          <w:highlight w:val="none"/>
        </w:rPr>
        <w:t>）÷（</w:t>
      </w:r>
      <w:r>
        <w:rPr>
          <w:rFonts w:hint="eastAsia"/>
          <w:color w:val="auto"/>
          <w:sz w:val="21"/>
          <w:szCs w:val="21"/>
          <w:highlight w:val="none"/>
          <w:lang w:val="en-US" w:eastAsia="zh-CN"/>
        </w:rPr>
        <w:t>10.47</w:t>
      </w:r>
      <w:r>
        <w:rPr>
          <w:rFonts w:eastAsia="宋体"/>
          <w:color w:val="auto"/>
          <w:sz w:val="21"/>
          <w:szCs w:val="21"/>
          <w:highlight w:val="none"/>
        </w:rPr>
        <w:t>-</w:t>
      </w:r>
      <w:r>
        <w:rPr>
          <w:rFonts w:hint="eastAsia"/>
          <w:color w:val="auto"/>
          <w:sz w:val="21"/>
          <w:szCs w:val="21"/>
          <w:highlight w:val="none"/>
          <w:lang w:val="en-US" w:eastAsia="zh-CN"/>
        </w:rPr>
        <w:t>8.37</w:t>
      </w:r>
      <w:r>
        <w:rPr>
          <w:rFonts w:eastAsia="宋体"/>
          <w:color w:val="auto"/>
          <w:sz w:val="21"/>
          <w:szCs w:val="21"/>
          <w:highlight w:val="none"/>
        </w:rPr>
        <w:t>）=</w:t>
      </w:r>
      <w:r>
        <w:rPr>
          <w:rFonts w:hint="eastAsia"/>
          <w:color w:val="auto"/>
          <w:sz w:val="21"/>
          <w:szCs w:val="21"/>
          <w:highlight w:val="none"/>
          <w:lang w:val="en-US" w:eastAsia="zh-CN"/>
        </w:rPr>
        <w:t>1.6963</w:t>
      </w:r>
      <w:r>
        <w:rPr>
          <w:rFonts w:eastAsia="宋体"/>
          <w:color w:val="auto"/>
          <w:sz w:val="21"/>
          <w:szCs w:val="21"/>
          <w:highlight w:val="none"/>
        </w:rPr>
        <w:t>kg/t原料</w:t>
      </w:r>
    </w:p>
    <w:p w14:paraId="30B821BB">
      <w:pPr>
        <w:pStyle w:val="156"/>
        <w:adjustRightInd w:val="0"/>
        <w:snapToGrid w:val="0"/>
        <w:spacing w:line="500" w:lineRule="exact"/>
        <w:ind w:firstLine="0"/>
        <w:jc w:val="center"/>
        <w:rPr>
          <w:rFonts w:eastAsia="宋体"/>
          <w:b/>
          <w:bCs/>
          <w:color w:val="auto"/>
          <w:sz w:val="21"/>
          <w:szCs w:val="21"/>
          <w:highlight w:val="none"/>
        </w:rPr>
      </w:pPr>
      <w:r>
        <w:rPr>
          <w:rFonts w:eastAsia="宋体"/>
          <w:b/>
          <w:bCs/>
          <w:color w:val="auto"/>
          <w:sz w:val="21"/>
          <w:szCs w:val="21"/>
          <w:highlight w:val="none"/>
        </w:rPr>
        <w:t>表1加热炉、热处理炉、干燥炉（窑）排放口参考绩效值表</w:t>
      </w:r>
    </w:p>
    <w:p w14:paraId="596A686F">
      <w:pPr>
        <w:pStyle w:val="156"/>
        <w:adjustRightInd w:val="0"/>
        <w:snapToGrid w:val="0"/>
        <w:ind w:firstLine="0"/>
        <w:jc w:val="center"/>
        <w:rPr>
          <w:rFonts w:eastAsia="宋体"/>
          <w:color w:val="auto"/>
          <w:sz w:val="21"/>
          <w:szCs w:val="21"/>
          <w:highlight w:val="none"/>
        </w:rPr>
      </w:pPr>
      <w:r>
        <w:rPr>
          <w:color w:val="auto"/>
          <w:highlight w:val="none"/>
        </w:rPr>
        <w:drawing>
          <wp:inline distT="0" distB="0" distL="114300" distR="114300">
            <wp:extent cx="5274310" cy="1818640"/>
            <wp:effectExtent l="0" t="0" r="2540" b="10160"/>
            <wp:docPr id="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60"/>
                    <a:stretch>
                      <a:fillRect/>
                    </a:stretch>
                  </pic:blipFill>
                  <pic:spPr>
                    <a:xfrm>
                      <a:off x="0" y="0"/>
                      <a:ext cx="5274310" cy="1818640"/>
                    </a:xfrm>
                    <a:prstGeom prst="rect">
                      <a:avLst/>
                    </a:prstGeom>
                    <a:noFill/>
                    <a:ln>
                      <a:noFill/>
                    </a:ln>
                  </pic:spPr>
                </pic:pic>
              </a:graphicData>
            </a:graphic>
          </wp:inline>
        </w:drawing>
      </w:r>
    </w:p>
    <w:p w14:paraId="0C1855AD">
      <w:pPr>
        <w:pStyle w:val="156"/>
        <w:adjustRightInd w:val="0"/>
        <w:snapToGrid w:val="0"/>
        <w:spacing w:line="360" w:lineRule="auto"/>
        <w:ind w:firstLineChars="200"/>
        <w:rPr>
          <w:rFonts w:eastAsia="宋体"/>
          <w:color w:val="auto"/>
          <w:sz w:val="21"/>
          <w:szCs w:val="21"/>
          <w:highlight w:val="none"/>
        </w:rPr>
      </w:pPr>
      <w:r>
        <w:rPr>
          <w:rFonts w:eastAsia="宋体"/>
          <w:color w:val="auto"/>
          <w:sz w:val="21"/>
          <w:szCs w:val="21"/>
          <w:highlight w:val="none"/>
        </w:rPr>
        <w:t>根据《排污许可证申请与核发技术规范 工业炉窑》（HJ1121-2020）绩效值法核算方法</w:t>
      </w:r>
    </w:p>
    <w:p w14:paraId="60B081B9">
      <w:pPr>
        <w:spacing w:line="360" w:lineRule="auto"/>
        <w:jc w:val="center"/>
        <w:rPr>
          <w:color w:val="auto"/>
          <w:szCs w:val="21"/>
          <w:highlight w:val="none"/>
        </w:rPr>
      </w:pPr>
      <w:r>
        <w:rPr>
          <w:color w:val="auto"/>
          <w:szCs w:val="21"/>
          <w:highlight w:val="none"/>
        </w:rPr>
        <w:drawing>
          <wp:inline distT="0" distB="0" distL="114300" distR="114300">
            <wp:extent cx="1423035" cy="742315"/>
            <wp:effectExtent l="0" t="0" r="5715" b="63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61"/>
                    <a:stretch>
                      <a:fillRect/>
                    </a:stretch>
                  </pic:blipFill>
                  <pic:spPr>
                    <a:xfrm>
                      <a:off x="0" y="0"/>
                      <a:ext cx="1423035" cy="742315"/>
                    </a:xfrm>
                    <a:prstGeom prst="rect">
                      <a:avLst/>
                    </a:prstGeom>
                    <a:noFill/>
                    <a:ln>
                      <a:noFill/>
                    </a:ln>
                  </pic:spPr>
                </pic:pic>
              </a:graphicData>
            </a:graphic>
          </wp:inline>
        </w:drawing>
      </w:r>
    </w:p>
    <w:p w14:paraId="252645B4">
      <w:pPr>
        <w:pStyle w:val="156"/>
        <w:adjustRightInd w:val="0"/>
        <w:snapToGrid w:val="0"/>
        <w:spacing w:line="360" w:lineRule="auto"/>
        <w:ind w:firstLineChars="200"/>
        <w:rPr>
          <w:rFonts w:eastAsia="宋体"/>
          <w:color w:val="auto"/>
          <w:sz w:val="21"/>
          <w:szCs w:val="21"/>
          <w:highlight w:val="none"/>
        </w:rPr>
      </w:pPr>
      <w:r>
        <w:rPr>
          <w:rFonts w:eastAsia="宋体"/>
          <w:color w:val="auto"/>
          <w:sz w:val="21"/>
          <w:szCs w:val="21"/>
          <w:highlight w:val="none"/>
        </w:rPr>
        <w:t>式中：Mi——第i个排放口污染物年许可排放量，t；</w:t>
      </w:r>
    </w:p>
    <w:p w14:paraId="7717CF94">
      <w:pPr>
        <w:pStyle w:val="156"/>
        <w:adjustRightInd w:val="0"/>
        <w:snapToGrid w:val="0"/>
        <w:spacing w:line="360" w:lineRule="auto"/>
        <w:ind w:firstLine="1050" w:firstLineChars="500"/>
        <w:rPr>
          <w:rFonts w:eastAsia="宋体"/>
          <w:color w:val="auto"/>
          <w:sz w:val="21"/>
          <w:szCs w:val="21"/>
          <w:highlight w:val="none"/>
        </w:rPr>
      </w:pPr>
      <w:r>
        <w:rPr>
          <w:rFonts w:eastAsia="宋体"/>
          <w:color w:val="auto"/>
          <w:sz w:val="21"/>
          <w:szCs w:val="21"/>
          <w:highlight w:val="none"/>
        </w:rPr>
        <w:t>R——第i个排放口对应工业炉窑前三年实际产量最大值（若不足一年或前三年实际产量最大值超过设计产能，则以设计产能为准）或前三年实际燃料消耗量最大值（若不足一年或前三年实际燃料消耗量最大值超过设计消耗量，则以设计消耗量为准），万t或万m</w:t>
      </w:r>
      <w:r>
        <w:rPr>
          <w:rFonts w:eastAsia="宋体"/>
          <w:color w:val="auto"/>
          <w:sz w:val="21"/>
          <w:szCs w:val="21"/>
          <w:highlight w:val="none"/>
          <w:vertAlign w:val="superscript"/>
        </w:rPr>
        <w:t>3</w:t>
      </w:r>
      <w:r>
        <w:rPr>
          <w:rFonts w:eastAsia="宋体"/>
          <w:color w:val="auto"/>
          <w:sz w:val="21"/>
          <w:szCs w:val="21"/>
          <w:highlight w:val="none"/>
        </w:rPr>
        <w:t>；</w:t>
      </w:r>
    </w:p>
    <w:p w14:paraId="2F316978">
      <w:pPr>
        <w:pStyle w:val="156"/>
        <w:adjustRightInd w:val="0"/>
        <w:snapToGrid w:val="0"/>
        <w:spacing w:line="360" w:lineRule="auto"/>
        <w:ind w:firstLine="1050" w:firstLineChars="500"/>
        <w:rPr>
          <w:rFonts w:eastAsia="宋体"/>
          <w:color w:val="auto"/>
          <w:sz w:val="21"/>
          <w:szCs w:val="21"/>
          <w:highlight w:val="none"/>
        </w:rPr>
      </w:pPr>
      <w:r>
        <w:rPr>
          <w:rFonts w:eastAsia="宋体"/>
          <w:color w:val="auto"/>
          <w:sz w:val="21"/>
          <w:szCs w:val="21"/>
          <w:highlight w:val="none"/>
        </w:rPr>
        <w:t>G——绩效值，kg/t产品，kg/t燃料或kg/m</w:t>
      </w:r>
      <w:r>
        <w:rPr>
          <w:rFonts w:eastAsia="宋体"/>
          <w:color w:val="auto"/>
          <w:sz w:val="21"/>
          <w:szCs w:val="21"/>
          <w:highlight w:val="none"/>
          <w:vertAlign w:val="superscript"/>
        </w:rPr>
        <w:t>3</w:t>
      </w:r>
      <w:r>
        <w:rPr>
          <w:rFonts w:eastAsia="宋体"/>
          <w:color w:val="auto"/>
          <w:sz w:val="21"/>
          <w:szCs w:val="21"/>
          <w:highlight w:val="none"/>
        </w:rPr>
        <w:t>燃料；</w:t>
      </w:r>
    </w:p>
    <w:p w14:paraId="47CEAB92">
      <w:pPr>
        <w:pStyle w:val="156"/>
        <w:adjustRightInd w:val="0"/>
        <w:snapToGrid w:val="0"/>
        <w:spacing w:line="360" w:lineRule="auto"/>
        <w:ind w:firstLine="1050" w:firstLineChars="500"/>
        <w:rPr>
          <w:rFonts w:eastAsia="宋体"/>
          <w:color w:val="auto"/>
          <w:sz w:val="21"/>
          <w:szCs w:val="21"/>
          <w:highlight w:val="none"/>
        </w:rPr>
      </w:pPr>
      <w:r>
        <w:rPr>
          <w:rFonts w:eastAsia="宋体"/>
          <w:color w:val="auto"/>
          <w:sz w:val="21"/>
          <w:szCs w:val="21"/>
          <w:highlight w:val="none"/>
        </w:rPr>
        <w:t>E</w:t>
      </w:r>
      <w:r>
        <w:rPr>
          <w:rFonts w:eastAsia="宋体"/>
          <w:color w:val="auto"/>
          <w:sz w:val="21"/>
          <w:szCs w:val="21"/>
          <w:highlight w:val="none"/>
          <w:vertAlign w:val="subscript"/>
        </w:rPr>
        <w:t>年许可</w:t>
      </w:r>
      <w:r>
        <w:rPr>
          <w:rFonts w:eastAsia="宋体"/>
          <w:color w:val="auto"/>
          <w:sz w:val="21"/>
          <w:szCs w:val="21"/>
          <w:highlight w:val="none"/>
        </w:rPr>
        <w:t>——污染物年许可排放量，t。</w:t>
      </w:r>
    </w:p>
    <w:p w14:paraId="3B079B4C">
      <w:pPr>
        <w:pStyle w:val="156"/>
        <w:adjustRightInd w:val="0"/>
        <w:snapToGrid w:val="0"/>
        <w:spacing w:line="360" w:lineRule="auto"/>
        <w:ind w:firstLineChars="200"/>
        <w:rPr>
          <w:rFonts w:hint="eastAsia" w:eastAsia="宋体"/>
          <w:color w:val="auto"/>
          <w:sz w:val="21"/>
          <w:szCs w:val="21"/>
          <w:highlight w:val="none"/>
          <w:lang w:eastAsia="zh-CN"/>
        </w:rPr>
      </w:pPr>
      <w:r>
        <w:rPr>
          <w:rFonts w:eastAsia="宋体"/>
          <w:color w:val="auto"/>
          <w:sz w:val="21"/>
          <w:szCs w:val="21"/>
          <w:highlight w:val="none"/>
        </w:rPr>
        <w:t>本项目为一个烟囱排放口则i=1，设计消耗量</w:t>
      </w:r>
      <w:r>
        <w:rPr>
          <w:rFonts w:hint="eastAsia" w:cs="Times New Roman"/>
          <w:color w:val="auto"/>
          <w:sz w:val="21"/>
          <w:szCs w:val="21"/>
          <w:highlight w:val="none"/>
          <w:lang w:val="en-US" w:eastAsia="zh-CN"/>
        </w:rPr>
        <w:t>2882.4</w:t>
      </w:r>
      <w:r>
        <w:rPr>
          <w:rFonts w:eastAsia="宋体"/>
          <w:color w:val="auto"/>
          <w:sz w:val="21"/>
          <w:szCs w:val="21"/>
          <w:highlight w:val="none"/>
        </w:rPr>
        <w:t>t/a</w:t>
      </w:r>
    </w:p>
    <w:p w14:paraId="0B650BCC">
      <w:pPr>
        <w:pStyle w:val="156"/>
        <w:adjustRightInd w:val="0"/>
        <w:snapToGrid w:val="0"/>
        <w:spacing w:line="360" w:lineRule="auto"/>
        <w:ind w:firstLineChars="200"/>
        <w:rPr>
          <w:rFonts w:hint="default" w:eastAsia="宋体"/>
          <w:color w:val="auto"/>
          <w:sz w:val="21"/>
          <w:szCs w:val="21"/>
          <w:highlight w:val="none"/>
          <w:lang w:val="en-US" w:eastAsia="zh-CN"/>
        </w:rPr>
      </w:pPr>
      <w:r>
        <w:rPr>
          <w:rFonts w:eastAsia="宋体"/>
          <w:color w:val="auto"/>
          <w:sz w:val="21"/>
          <w:szCs w:val="21"/>
          <w:highlight w:val="none"/>
        </w:rPr>
        <w:t>则E</w:t>
      </w:r>
      <w:r>
        <w:rPr>
          <w:rFonts w:hint="eastAsia"/>
          <w:color w:val="auto"/>
          <w:sz w:val="21"/>
          <w:szCs w:val="21"/>
          <w:highlight w:val="none"/>
          <w:vertAlign w:val="subscript"/>
          <w:lang w:eastAsia="zh-CN"/>
        </w:rPr>
        <w:t>颗粒物</w:t>
      </w:r>
      <w:r>
        <w:rPr>
          <w:rFonts w:eastAsia="宋体"/>
          <w:color w:val="auto"/>
          <w:sz w:val="21"/>
          <w:szCs w:val="21"/>
          <w:highlight w:val="none"/>
        </w:rPr>
        <w:t>=</w:t>
      </w:r>
      <w:r>
        <w:rPr>
          <w:rFonts w:hint="eastAsia"/>
          <w:color w:val="auto"/>
          <w:sz w:val="21"/>
          <w:szCs w:val="21"/>
          <w:highlight w:val="none"/>
          <w:lang w:val="en-US" w:eastAsia="zh-CN"/>
        </w:rPr>
        <w:t>0.</w:t>
      </w:r>
      <w:r>
        <w:rPr>
          <w:rFonts w:hint="eastAsia" w:cs="Times New Roman"/>
          <w:color w:val="auto"/>
          <w:sz w:val="21"/>
          <w:szCs w:val="21"/>
          <w:highlight w:val="none"/>
          <w:lang w:val="en-US" w:eastAsia="zh-CN"/>
        </w:rPr>
        <w:t>28824万</w:t>
      </w:r>
      <w:r>
        <w:rPr>
          <w:rFonts w:eastAsia="宋体"/>
          <w:color w:val="auto"/>
          <w:sz w:val="21"/>
          <w:szCs w:val="21"/>
          <w:highlight w:val="none"/>
        </w:rPr>
        <w:t>t×0.</w:t>
      </w:r>
      <w:r>
        <w:rPr>
          <w:rFonts w:hint="eastAsia"/>
          <w:color w:val="auto"/>
          <w:sz w:val="21"/>
          <w:szCs w:val="21"/>
          <w:highlight w:val="none"/>
          <w:lang w:val="en-US" w:eastAsia="zh-CN"/>
        </w:rPr>
        <w:t>1698</w:t>
      </w:r>
      <w:r>
        <w:rPr>
          <w:rFonts w:eastAsia="宋体"/>
          <w:color w:val="auto"/>
          <w:sz w:val="21"/>
          <w:szCs w:val="21"/>
          <w:highlight w:val="none"/>
        </w:rPr>
        <w:t>×10=</w:t>
      </w:r>
      <w:r>
        <w:rPr>
          <w:rFonts w:hint="eastAsia"/>
          <w:color w:val="auto"/>
          <w:sz w:val="21"/>
          <w:szCs w:val="21"/>
          <w:highlight w:val="none"/>
          <w:lang w:val="en-US" w:eastAsia="zh-CN"/>
        </w:rPr>
        <w:t>0.489t</w:t>
      </w:r>
    </w:p>
    <w:p w14:paraId="5FE128DA">
      <w:pPr>
        <w:pStyle w:val="156"/>
        <w:adjustRightInd w:val="0"/>
        <w:snapToGrid w:val="0"/>
        <w:spacing w:line="360" w:lineRule="auto"/>
        <w:ind w:firstLine="630" w:firstLineChars="300"/>
        <w:rPr>
          <w:rFonts w:hint="default" w:eastAsia="宋体"/>
          <w:color w:val="auto"/>
          <w:sz w:val="21"/>
          <w:szCs w:val="21"/>
          <w:highlight w:val="none"/>
          <w:lang w:val="en-US"/>
        </w:rPr>
      </w:pPr>
      <w:r>
        <w:rPr>
          <w:rFonts w:eastAsia="宋体"/>
          <w:color w:val="auto"/>
          <w:sz w:val="21"/>
          <w:szCs w:val="21"/>
          <w:highlight w:val="none"/>
        </w:rPr>
        <w:t>E</w:t>
      </w:r>
      <w:r>
        <w:rPr>
          <w:rFonts w:hint="eastAsia" w:eastAsia="宋体"/>
          <w:color w:val="auto"/>
          <w:sz w:val="21"/>
          <w:szCs w:val="21"/>
          <w:highlight w:val="none"/>
          <w:vertAlign w:val="subscript"/>
          <w:lang w:val="en-US" w:eastAsia="zh-CN"/>
        </w:rPr>
        <w:t>SO2</w:t>
      </w:r>
      <w:r>
        <w:rPr>
          <w:rFonts w:eastAsia="宋体"/>
          <w:color w:val="auto"/>
          <w:sz w:val="21"/>
          <w:szCs w:val="21"/>
          <w:highlight w:val="none"/>
        </w:rPr>
        <w:t>=</w:t>
      </w:r>
      <w:r>
        <w:rPr>
          <w:rFonts w:hint="eastAsia"/>
          <w:color w:val="auto"/>
          <w:sz w:val="21"/>
          <w:szCs w:val="21"/>
          <w:highlight w:val="none"/>
          <w:lang w:val="en-US" w:eastAsia="zh-CN"/>
        </w:rPr>
        <w:t>0.</w:t>
      </w:r>
      <w:r>
        <w:rPr>
          <w:rFonts w:hint="eastAsia" w:cs="Times New Roman"/>
          <w:color w:val="auto"/>
          <w:sz w:val="21"/>
          <w:szCs w:val="21"/>
          <w:highlight w:val="none"/>
          <w:lang w:val="en-US" w:eastAsia="zh-CN"/>
        </w:rPr>
        <w:t>28824万</w:t>
      </w:r>
      <w:r>
        <w:rPr>
          <w:rFonts w:eastAsia="宋体"/>
          <w:color w:val="auto"/>
          <w:sz w:val="21"/>
          <w:szCs w:val="21"/>
          <w:highlight w:val="none"/>
        </w:rPr>
        <w:t>t×</w:t>
      </w:r>
      <w:r>
        <w:rPr>
          <w:rFonts w:hint="eastAsia" w:eastAsia="宋体"/>
          <w:color w:val="auto"/>
          <w:sz w:val="21"/>
          <w:szCs w:val="21"/>
          <w:highlight w:val="none"/>
          <w:lang w:val="en-US" w:eastAsia="zh-CN"/>
        </w:rPr>
        <w:t>0.</w:t>
      </w:r>
      <w:r>
        <w:rPr>
          <w:rFonts w:hint="eastAsia"/>
          <w:color w:val="auto"/>
          <w:sz w:val="21"/>
          <w:szCs w:val="21"/>
          <w:highlight w:val="none"/>
          <w:lang w:val="en-US" w:eastAsia="zh-CN"/>
        </w:rPr>
        <w:t>5651</w:t>
      </w:r>
      <w:r>
        <w:rPr>
          <w:rFonts w:eastAsia="宋体"/>
          <w:color w:val="auto"/>
          <w:sz w:val="21"/>
          <w:szCs w:val="21"/>
          <w:highlight w:val="none"/>
        </w:rPr>
        <w:t>×10=</w:t>
      </w:r>
      <w:r>
        <w:rPr>
          <w:rFonts w:hint="eastAsia"/>
          <w:color w:val="auto"/>
          <w:sz w:val="21"/>
          <w:szCs w:val="21"/>
          <w:highlight w:val="none"/>
          <w:lang w:val="en-US" w:eastAsia="zh-CN"/>
        </w:rPr>
        <w:t>1.629t</w:t>
      </w:r>
      <w:r>
        <w:rPr>
          <w:rFonts w:hint="eastAsia"/>
          <w:color w:val="auto"/>
          <w:sz w:val="21"/>
          <w:szCs w:val="21"/>
          <w:highlight w:val="none"/>
          <w:lang w:val="en-US" w:eastAsia="zh-CN"/>
        </w:rPr>
        <w:tab/>
      </w:r>
    </w:p>
    <w:p w14:paraId="686A2FEC">
      <w:pPr>
        <w:pStyle w:val="156"/>
        <w:adjustRightInd w:val="0"/>
        <w:snapToGrid w:val="0"/>
        <w:spacing w:line="360" w:lineRule="auto"/>
        <w:ind w:firstLine="630" w:firstLineChars="300"/>
        <w:rPr>
          <w:rFonts w:eastAsia="宋体"/>
          <w:color w:val="auto"/>
          <w:sz w:val="21"/>
          <w:szCs w:val="21"/>
          <w:highlight w:val="none"/>
        </w:rPr>
      </w:pPr>
      <w:r>
        <w:rPr>
          <w:rFonts w:eastAsia="宋体"/>
          <w:color w:val="auto"/>
          <w:sz w:val="21"/>
          <w:szCs w:val="21"/>
          <w:highlight w:val="none"/>
        </w:rPr>
        <w:t>E</w:t>
      </w:r>
      <w:r>
        <w:rPr>
          <w:rFonts w:eastAsia="宋体"/>
          <w:color w:val="auto"/>
          <w:sz w:val="21"/>
          <w:szCs w:val="21"/>
          <w:highlight w:val="none"/>
          <w:vertAlign w:val="subscript"/>
        </w:rPr>
        <w:t>NOX</w:t>
      </w:r>
      <w:r>
        <w:rPr>
          <w:rFonts w:eastAsia="宋体"/>
          <w:color w:val="auto"/>
          <w:sz w:val="21"/>
          <w:szCs w:val="21"/>
          <w:highlight w:val="none"/>
        </w:rPr>
        <w:t>=</w:t>
      </w:r>
      <w:r>
        <w:rPr>
          <w:rFonts w:hint="eastAsia"/>
          <w:color w:val="auto"/>
          <w:sz w:val="21"/>
          <w:szCs w:val="21"/>
          <w:highlight w:val="none"/>
          <w:lang w:val="en-US" w:eastAsia="zh-CN"/>
        </w:rPr>
        <w:t>0.</w:t>
      </w:r>
      <w:r>
        <w:rPr>
          <w:rFonts w:hint="eastAsia" w:cs="Times New Roman"/>
          <w:color w:val="auto"/>
          <w:sz w:val="21"/>
          <w:szCs w:val="21"/>
          <w:highlight w:val="none"/>
          <w:lang w:val="en-US" w:eastAsia="zh-CN"/>
        </w:rPr>
        <w:t>28824万</w:t>
      </w:r>
      <w:r>
        <w:rPr>
          <w:rFonts w:eastAsia="宋体"/>
          <w:color w:val="auto"/>
          <w:sz w:val="21"/>
          <w:szCs w:val="21"/>
          <w:highlight w:val="none"/>
        </w:rPr>
        <w:t>t×</w:t>
      </w:r>
      <w:r>
        <w:rPr>
          <w:rFonts w:hint="eastAsia"/>
          <w:color w:val="auto"/>
          <w:sz w:val="21"/>
          <w:szCs w:val="21"/>
          <w:highlight w:val="none"/>
          <w:lang w:val="en-US" w:eastAsia="zh-CN"/>
        </w:rPr>
        <w:t>1.6963</w:t>
      </w:r>
      <w:r>
        <w:rPr>
          <w:rFonts w:eastAsia="宋体"/>
          <w:color w:val="auto"/>
          <w:sz w:val="21"/>
          <w:szCs w:val="21"/>
          <w:highlight w:val="none"/>
        </w:rPr>
        <w:t>×10=</w:t>
      </w:r>
      <w:r>
        <w:rPr>
          <w:rFonts w:hint="eastAsia"/>
          <w:color w:val="auto"/>
          <w:sz w:val="21"/>
          <w:szCs w:val="21"/>
          <w:highlight w:val="none"/>
          <w:lang w:val="en-US" w:eastAsia="zh-CN"/>
        </w:rPr>
        <w:t>4.889</w:t>
      </w:r>
      <w:r>
        <w:rPr>
          <w:rFonts w:eastAsia="宋体"/>
          <w:color w:val="auto"/>
          <w:sz w:val="21"/>
          <w:szCs w:val="21"/>
          <w:highlight w:val="none"/>
        </w:rPr>
        <w:t>t</w:t>
      </w:r>
    </w:p>
    <w:p w14:paraId="06C40A22">
      <w:pPr>
        <w:pStyle w:val="157"/>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hint="eastAsia"/>
          <w:color w:val="auto"/>
          <w:highlight w:val="none"/>
          <w:lang w:val="en-US" w:eastAsia="zh-CN"/>
        </w:rPr>
      </w:pPr>
      <w:r>
        <w:rPr>
          <w:rFonts w:hint="default" w:ascii="Times New Roman" w:hAnsi="Times New Roman" w:eastAsia="宋体" w:cs="Times New Roman"/>
          <w:color w:val="auto"/>
          <w:szCs w:val="21"/>
          <w:highlight w:val="none"/>
          <w:lang w:val="en-US" w:eastAsia="zh-CN"/>
        </w:rPr>
        <w:t>2</w:t>
      </w:r>
      <w:r>
        <w:rPr>
          <w:rFonts w:hint="default" w:ascii="Times New Roman" w:hAnsi="Times New Roman" w:eastAsia="宋体" w:cs="Times New Roman"/>
          <w:color w:val="auto"/>
          <w:szCs w:val="21"/>
          <w:highlight w:val="none"/>
        </w:rPr>
        <w:t>、</w:t>
      </w:r>
      <w:bookmarkStart w:id="11" w:name="_Toc219"/>
      <w:r>
        <w:rPr>
          <w:rFonts w:cs="Times New Roman"/>
          <w:color w:val="auto"/>
          <w:spacing w:val="0"/>
          <w:sz w:val="21"/>
          <w:szCs w:val="21"/>
          <w:highlight w:val="none"/>
        </w:rPr>
        <w:t>厂区无组织排放粉尘</w:t>
      </w:r>
      <w:r>
        <w:rPr>
          <w:rFonts w:hint="eastAsia" w:cs="Times New Roman"/>
          <w:color w:val="auto"/>
          <w:spacing w:val="0"/>
          <w:sz w:val="21"/>
          <w:szCs w:val="21"/>
          <w:highlight w:val="none"/>
          <w:lang w:val="en-US" w:eastAsia="zh-CN"/>
        </w:rPr>
        <w:t>量为1.335t/a。</w:t>
      </w:r>
    </w:p>
    <w:p w14:paraId="3927917F">
      <w:pPr>
        <w:pStyle w:val="3"/>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pacing w:val="0"/>
          <w:sz w:val="21"/>
          <w:szCs w:val="21"/>
          <w:highlight w:val="none"/>
          <w:lang w:val="en-US" w:eastAsia="zh-CN"/>
        </w:rPr>
      </w:pPr>
      <w:r>
        <w:rPr>
          <w:rFonts w:hint="eastAsia" w:ascii="Times New Roman" w:cs="Times New Roman"/>
          <w:color w:val="auto"/>
          <w:sz w:val="21"/>
          <w:szCs w:val="21"/>
          <w:highlight w:val="none"/>
          <w:lang w:val="en-US" w:eastAsia="zh-CN"/>
        </w:rPr>
        <w:t>综上所述，</w:t>
      </w:r>
      <w:r>
        <w:rPr>
          <w:rFonts w:hint="default" w:ascii="Times New Roman" w:hAnsi="Times New Roman" w:cs="Times New Roman"/>
          <w:color w:val="auto"/>
          <w:sz w:val="21"/>
          <w:szCs w:val="21"/>
          <w:highlight w:val="none"/>
          <w:lang w:val="en-US" w:eastAsia="zh-CN"/>
        </w:rPr>
        <w:t>本项目颗粒物</w:t>
      </w:r>
      <w:r>
        <w:rPr>
          <w:rFonts w:hint="eastAsia" w:ascii="Times New Roman" w:cs="Times New Roman"/>
          <w:color w:val="auto"/>
          <w:sz w:val="21"/>
          <w:szCs w:val="21"/>
          <w:highlight w:val="none"/>
          <w:lang w:val="en-US" w:eastAsia="zh-CN"/>
        </w:rPr>
        <w:t>核定</w:t>
      </w:r>
      <w:r>
        <w:rPr>
          <w:rFonts w:hint="default" w:ascii="Times New Roman" w:hAnsi="Times New Roman" w:cs="Times New Roman"/>
          <w:color w:val="auto"/>
          <w:sz w:val="21"/>
          <w:szCs w:val="21"/>
          <w:highlight w:val="none"/>
          <w:lang w:val="en-US" w:eastAsia="zh-CN"/>
        </w:rPr>
        <w:t>排放量为</w:t>
      </w:r>
      <w:r>
        <w:rPr>
          <w:rFonts w:hint="eastAsia" w:ascii="Times New Roman" w:cs="Times New Roman"/>
          <w:color w:val="auto"/>
          <w:spacing w:val="0"/>
          <w:sz w:val="21"/>
          <w:szCs w:val="21"/>
          <w:highlight w:val="none"/>
          <w:lang w:val="en-US" w:eastAsia="zh-CN"/>
        </w:rPr>
        <w:t>0.489</w:t>
      </w:r>
      <w:r>
        <w:rPr>
          <w:rFonts w:hint="default" w:ascii="Times New Roman" w:cs="Times New Roman"/>
          <w:color w:val="auto"/>
          <w:spacing w:val="0"/>
          <w:sz w:val="21"/>
          <w:szCs w:val="21"/>
          <w:highlight w:val="none"/>
          <w:lang w:val="en-US" w:eastAsia="zh-CN"/>
        </w:rPr>
        <w:t>t</w:t>
      </w:r>
      <w:r>
        <w:rPr>
          <w:rFonts w:hint="default" w:ascii="Times New Roman" w:hAnsi="Times New Roman" w:cs="Times New Roman"/>
          <w:color w:val="auto"/>
          <w:spacing w:val="0"/>
          <w:sz w:val="21"/>
          <w:szCs w:val="21"/>
          <w:highlight w:val="none"/>
          <w:lang w:val="en-US" w:eastAsia="zh-CN"/>
        </w:rPr>
        <w:t>/a，二氧化硫</w:t>
      </w:r>
      <w:r>
        <w:rPr>
          <w:rFonts w:hint="eastAsia" w:ascii="Times New Roman" w:cs="Times New Roman"/>
          <w:color w:val="auto"/>
          <w:spacing w:val="0"/>
          <w:sz w:val="21"/>
          <w:szCs w:val="21"/>
          <w:highlight w:val="none"/>
          <w:lang w:val="en-US" w:eastAsia="zh-CN"/>
        </w:rPr>
        <w:t>核定</w:t>
      </w:r>
      <w:r>
        <w:rPr>
          <w:rFonts w:hint="default" w:ascii="Times New Roman" w:hAnsi="Times New Roman" w:cs="Times New Roman"/>
          <w:color w:val="auto"/>
          <w:sz w:val="21"/>
          <w:szCs w:val="21"/>
          <w:highlight w:val="none"/>
          <w:lang w:val="en-US" w:eastAsia="zh-CN"/>
        </w:rPr>
        <w:t>排放量为</w:t>
      </w:r>
      <w:r>
        <w:rPr>
          <w:rFonts w:hint="eastAsia" w:ascii="Times New Roman" w:cs="Times New Roman"/>
          <w:color w:val="auto"/>
          <w:sz w:val="21"/>
          <w:szCs w:val="21"/>
          <w:highlight w:val="none"/>
          <w:lang w:val="en-US" w:eastAsia="zh-CN"/>
        </w:rPr>
        <w:t>1.629</w:t>
      </w:r>
      <w:r>
        <w:rPr>
          <w:rFonts w:hint="default" w:ascii="Times New Roman" w:hAnsi="Times New Roman" w:cs="Times New Roman"/>
          <w:color w:val="auto"/>
          <w:spacing w:val="0"/>
          <w:sz w:val="21"/>
          <w:szCs w:val="21"/>
          <w:highlight w:val="none"/>
          <w:lang w:val="en-US" w:eastAsia="zh-CN"/>
        </w:rPr>
        <w:t>t/a，氮氧化物</w:t>
      </w:r>
      <w:r>
        <w:rPr>
          <w:rFonts w:hint="eastAsia" w:ascii="Times New Roman" w:cs="Times New Roman"/>
          <w:color w:val="auto"/>
          <w:spacing w:val="0"/>
          <w:sz w:val="21"/>
          <w:szCs w:val="21"/>
          <w:highlight w:val="none"/>
          <w:lang w:val="en-US" w:eastAsia="zh-CN"/>
        </w:rPr>
        <w:t>核定</w:t>
      </w:r>
      <w:r>
        <w:rPr>
          <w:rFonts w:hint="default" w:ascii="Times New Roman" w:hAnsi="Times New Roman" w:cs="Times New Roman"/>
          <w:color w:val="auto"/>
          <w:sz w:val="21"/>
          <w:szCs w:val="21"/>
          <w:highlight w:val="none"/>
          <w:lang w:val="en-US" w:eastAsia="zh-CN"/>
        </w:rPr>
        <w:t>排放量为</w:t>
      </w:r>
      <w:r>
        <w:rPr>
          <w:rFonts w:hint="eastAsia" w:ascii="Times New Roman" w:cs="Times New Roman"/>
          <w:color w:val="auto"/>
          <w:sz w:val="21"/>
          <w:szCs w:val="21"/>
          <w:highlight w:val="none"/>
          <w:lang w:val="en-US" w:eastAsia="zh-CN"/>
        </w:rPr>
        <w:t>4.889</w:t>
      </w:r>
      <w:r>
        <w:rPr>
          <w:rFonts w:hint="default" w:ascii="Times New Roman" w:hAnsi="Times New Roman" w:cs="Times New Roman"/>
          <w:color w:val="auto"/>
          <w:spacing w:val="0"/>
          <w:sz w:val="21"/>
          <w:szCs w:val="21"/>
          <w:highlight w:val="none"/>
          <w:lang w:val="en-US" w:eastAsia="zh-CN"/>
        </w:rPr>
        <w:t>t/a</w:t>
      </w:r>
      <w:r>
        <w:rPr>
          <w:rFonts w:hint="eastAsia" w:ascii="Times New Roman" w:cs="Times New Roman"/>
          <w:color w:val="auto"/>
          <w:spacing w:val="0"/>
          <w:sz w:val="21"/>
          <w:szCs w:val="21"/>
          <w:highlight w:val="none"/>
          <w:lang w:val="en-US" w:eastAsia="zh-CN"/>
        </w:rPr>
        <w:t>，工业粉尘排放量为1.335t/a。</w:t>
      </w:r>
    </w:p>
    <w:p w14:paraId="613FB4B3">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52845187">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06639701">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531E4DA6">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6C08EF78">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29776AC5">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4E50A368">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39A0E48D">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68C1BCD3">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7B0F4432">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029B9705">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276E71D6">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2B943C02">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7978F53A">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12050310">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1AD985BC">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44D6F9E3">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78B98638">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479FD9B8">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395F843F">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5362BE75">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50E35B87">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6C73A214">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4B74CA3C">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24E3F6F5">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239A526A">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3DF7730D">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07A72187">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7CB2858A">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0316B941">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16BA07BA">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default" w:eastAsia="宋体"/>
          <w:b/>
          <w:bCs/>
          <w:color w:val="auto"/>
          <w:highlight w:val="none"/>
          <w:lang w:val="en-US" w:eastAsia="zh-CN"/>
        </w:rPr>
      </w:pPr>
      <w:r>
        <w:rPr>
          <w:rFonts w:hint="default" w:ascii="Times New Roman" w:hAnsi="Times New Roman" w:eastAsia="宋体" w:cs="Times New Roman"/>
          <w:b/>
          <w:bCs/>
          <w:color w:val="auto"/>
          <w:sz w:val="28"/>
          <w:szCs w:val="28"/>
          <w:highlight w:val="none"/>
        </w:rPr>
        <w:t>附件</w:t>
      </w:r>
      <w:r>
        <w:rPr>
          <w:rFonts w:hint="eastAsia" w:cs="Times New Roman"/>
          <w:b/>
          <w:bCs/>
          <w:color w:val="auto"/>
          <w:sz w:val="28"/>
          <w:szCs w:val="28"/>
          <w:highlight w:val="none"/>
          <w:lang w:val="en-US" w:eastAsia="zh-CN"/>
        </w:rPr>
        <w:t>8总量指标申请表</w:t>
      </w:r>
    </w:p>
    <w:p w14:paraId="40D1150D">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r>
        <w:drawing>
          <wp:inline distT="0" distB="0" distL="114300" distR="114300">
            <wp:extent cx="5276850" cy="7038975"/>
            <wp:effectExtent l="0" t="0" r="0" b="9525"/>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62"/>
                    <a:stretch>
                      <a:fillRect/>
                    </a:stretch>
                  </pic:blipFill>
                  <pic:spPr>
                    <a:xfrm>
                      <a:off x="0" y="0"/>
                      <a:ext cx="5276850" cy="7038975"/>
                    </a:xfrm>
                    <a:prstGeom prst="rect">
                      <a:avLst/>
                    </a:prstGeom>
                    <a:noFill/>
                    <a:ln>
                      <a:noFill/>
                    </a:ln>
                  </pic:spPr>
                </pic:pic>
              </a:graphicData>
            </a:graphic>
          </wp:inline>
        </w:drawing>
      </w:r>
    </w:p>
    <w:p w14:paraId="33EF95CB">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1C97CC95">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3128351B">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66476CCE">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pPr>
    </w:p>
    <w:p w14:paraId="418C276F">
      <w:pPr>
        <w:pStyle w:val="130"/>
        <w:keepNext w:val="0"/>
        <w:keepLines w:val="0"/>
        <w:pageBreakBefore w:val="0"/>
        <w:widowControl/>
        <w:numPr>
          <w:ilvl w:val="0"/>
          <w:numId w:val="0"/>
        </w:numPr>
        <w:kinsoku/>
        <w:wordWrap/>
        <w:overflowPunct/>
        <w:topLinePunct w:val="0"/>
        <w:autoSpaceDE/>
        <w:autoSpaceDN/>
        <w:bidi w:val="0"/>
        <w:adjustRightInd/>
        <w:snapToGrid/>
        <w:spacing w:line="360" w:lineRule="auto"/>
        <w:textAlignment w:val="auto"/>
        <w:rPr>
          <w:rFonts w:hint="eastAsia" w:eastAsia="宋体"/>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41C6841F">
      <w:pPr>
        <w:pStyle w:val="5"/>
        <w:spacing w:line="260" w:lineRule="auto"/>
        <w:ind w:left="0" w:firstLine="0"/>
        <w:jc w:val="both"/>
        <w:rPr>
          <w:rFonts w:hint="eastAsia" w:eastAsia="宋体" w:cs="Times New Roman"/>
          <w:color w:val="auto"/>
          <w:sz w:val="28"/>
          <w:szCs w:val="28"/>
          <w:highlight w:val="none"/>
          <w:lang w:val="en-US" w:eastAsia="zh-CN"/>
        </w:rPr>
      </w:pPr>
      <w:r>
        <w:rPr>
          <w:rFonts w:hint="default" w:ascii="Times New Roman" w:hAnsi="Times New Roman" w:eastAsia="宋体" w:cs="Times New Roman"/>
          <w:color w:val="auto"/>
          <w:sz w:val="28"/>
          <w:szCs w:val="28"/>
          <w:highlight w:val="none"/>
        </w:rPr>
        <w:t>附件</w:t>
      </w:r>
      <w:r>
        <w:rPr>
          <w:rFonts w:hint="eastAsia" w:eastAsia="宋体" w:cs="Times New Roman"/>
          <w:color w:val="auto"/>
          <w:sz w:val="28"/>
          <w:szCs w:val="28"/>
          <w:highlight w:val="none"/>
          <w:lang w:val="en-US" w:eastAsia="zh-CN"/>
        </w:rPr>
        <w:t>9生态环境分区管控分析报告</w:t>
      </w:r>
    </w:p>
    <w:p w14:paraId="166D63D0">
      <w:pPr>
        <w:pStyle w:val="31"/>
        <w:jc w:val="center"/>
        <w:rPr>
          <w:rFonts w:hint="default"/>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6968490" cy="4707255"/>
            <wp:effectExtent l="0" t="0" r="3810" b="17145"/>
            <wp:docPr id="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0"/>
                    <pic:cNvPicPr>
                      <a:picLocks noChangeAspect="1"/>
                    </pic:cNvPicPr>
                  </pic:nvPicPr>
                  <pic:blipFill>
                    <a:blip r:embed="rId63"/>
                    <a:stretch>
                      <a:fillRect/>
                    </a:stretch>
                  </pic:blipFill>
                  <pic:spPr>
                    <a:xfrm>
                      <a:off x="0" y="0"/>
                      <a:ext cx="6968490" cy="4707255"/>
                    </a:xfrm>
                    <a:prstGeom prst="rect">
                      <a:avLst/>
                    </a:prstGeom>
                    <a:noFill/>
                    <a:ln>
                      <a:noFill/>
                    </a:ln>
                  </pic:spPr>
                </pic:pic>
              </a:graphicData>
            </a:graphic>
          </wp:inline>
        </w:drawing>
      </w:r>
      <w:r>
        <w:drawing>
          <wp:inline distT="0" distB="0" distL="114300" distR="114300">
            <wp:extent cx="8523605" cy="4641215"/>
            <wp:effectExtent l="0" t="0" r="10795" b="6985"/>
            <wp:docPr id="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1"/>
                    <pic:cNvPicPr>
                      <a:picLocks noChangeAspect="1"/>
                    </pic:cNvPicPr>
                  </pic:nvPicPr>
                  <pic:blipFill>
                    <a:blip r:embed="rId64"/>
                    <a:stretch>
                      <a:fillRect/>
                    </a:stretch>
                  </pic:blipFill>
                  <pic:spPr>
                    <a:xfrm>
                      <a:off x="0" y="0"/>
                      <a:ext cx="8523605" cy="4641215"/>
                    </a:xfrm>
                    <a:prstGeom prst="rect">
                      <a:avLst/>
                    </a:prstGeom>
                    <a:noFill/>
                    <a:ln>
                      <a:noFill/>
                    </a:ln>
                  </pic:spPr>
                </pic:pic>
              </a:graphicData>
            </a:graphic>
          </wp:inline>
        </w:drawing>
      </w:r>
      <w:r>
        <w:drawing>
          <wp:inline distT="0" distB="0" distL="114300" distR="114300">
            <wp:extent cx="8522970" cy="5120640"/>
            <wp:effectExtent l="0" t="0" r="11430" b="3810"/>
            <wp:docPr id="2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2"/>
                    <pic:cNvPicPr>
                      <a:picLocks noChangeAspect="1"/>
                    </pic:cNvPicPr>
                  </pic:nvPicPr>
                  <pic:blipFill>
                    <a:blip r:embed="rId65"/>
                    <a:stretch>
                      <a:fillRect/>
                    </a:stretch>
                  </pic:blipFill>
                  <pic:spPr>
                    <a:xfrm>
                      <a:off x="0" y="0"/>
                      <a:ext cx="8522970" cy="5120640"/>
                    </a:xfrm>
                    <a:prstGeom prst="rect">
                      <a:avLst/>
                    </a:prstGeom>
                    <a:noFill/>
                    <a:ln>
                      <a:noFill/>
                    </a:ln>
                  </pic:spPr>
                </pic:pic>
              </a:graphicData>
            </a:graphic>
          </wp:inline>
        </w:drawing>
      </w:r>
      <w:r>
        <w:drawing>
          <wp:inline distT="0" distB="0" distL="114300" distR="114300">
            <wp:extent cx="8530590" cy="5262880"/>
            <wp:effectExtent l="0" t="0" r="3810" b="13970"/>
            <wp:docPr id="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3"/>
                    <pic:cNvPicPr>
                      <a:picLocks noChangeAspect="1"/>
                    </pic:cNvPicPr>
                  </pic:nvPicPr>
                  <pic:blipFill>
                    <a:blip r:embed="rId66"/>
                    <a:stretch>
                      <a:fillRect/>
                    </a:stretch>
                  </pic:blipFill>
                  <pic:spPr>
                    <a:xfrm>
                      <a:off x="0" y="0"/>
                      <a:ext cx="8530590" cy="5262880"/>
                    </a:xfrm>
                    <a:prstGeom prst="rect">
                      <a:avLst/>
                    </a:prstGeom>
                    <a:noFill/>
                    <a:ln>
                      <a:noFill/>
                    </a:ln>
                  </pic:spPr>
                </pic:pic>
              </a:graphicData>
            </a:graphic>
          </wp:inline>
        </w:drawing>
      </w:r>
      <w:r>
        <w:drawing>
          <wp:inline distT="0" distB="0" distL="114300" distR="114300">
            <wp:extent cx="8522970" cy="5283200"/>
            <wp:effectExtent l="0" t="0" r="11430" b="12700"/>
            <wp:docPr id="3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4"/>
                    <pic:cNvPicPr>
                      <a:picLocks noChangeAspect="1"/>
                    </pic:cNvPicPr>
                  </pic:nvPicPr>
                  <pic:blipFill>
                    <a:blip r:embed="rId67"/>
                    <a:stretch>
                      <a:fillRect/>
                    </a:stretch>
                  </pic:blipFill>
                  <pic:spPr>
                    <a:xfrm>
                      <a:off x="0" y="0"/>
                      <a:ext cx="8522970" cy="5283200"/>
                    </a:xfrm>
                    <a:prstGeom prst="rect">
                      <a:avLst/>
                    </a:prstGeom>
                    <a:noFill/>
                    <a:ln>
                      <a:noFill/>
                    </a:ln>
                  </pic:spPr>
                </pic:pic>
              </a:graphicData>
            </a:graphic>
          </wp:inline>
        </w:drawing>
      </w:r>
      <w:r>
        <w:drawing>
          <wp:inline distT="0" distB="0" distL="114300" distR="114300">
            <wp:extent cx="8526780" cy="5309235"/>
            <wp:effectExtent l="0" t="0" r="7620" b="5715"/>
            <wp:docPr id="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
                    <pic:cNvPicPr>
                      <a:picLocks noChangeAspect="1"/>
                    </pic:cNvPicPr>
                  </pic:nvPicPr>
                  <pic:blipFill>
                    <a:blip r:embed="rId68"/>
                    <a:stretch>
                      <a:fillRect/>
                    </a:stretch>
                  </pic:blipFill>
                  <pic:spPr>
                    <a:xfrm>
                      <a:off x="0" y="0"/>
                      <a:ext cx="8526780" cy="5309235"/>
                    </a:xfrm>
                    <a:prstGeom prst="rect">
                      <a:avLst/>
                    </a:prstGeom>
                    <a:noFill/>
                    <a:ln>
                      <a:noFill/>
                    </a:ln>
                  </pic:spPr>
                </pic:pic>
              </a:graphicData>
            </a:graphic>
          </wp:inline>
        </w:drawing>
      </w:r>
      <w:r>
        <w:drawing>
          <wp:inline distT="0" distB="0" distL="114300" distR="114300">
            <wp:extent cx="8530590" cy="5128260"/>
            <wp:effectExtent l="0" t="0" r="3810" b="15240"/>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pic:cNvPicPr>
                      <a:picLocks noChangeAspect="1"/>
                    </pic:cNvPicPr>
                  </pic:nvPicPr>
                  <pic:blipFill>
                    <a:blip r:embed="rId69">
                      <a:lum bright="-6000"/>
                    </a:blip>
                    <a:stretch>
                      <a:fillRect/>
                    </a:stretch>
                  </pic:blipFill>
                  <pic:spPr>
                    <a:xfrm>
                      <a:off x="0" y="0"/>
                      <a:ext cx="8530590" cy="5128260"/>
                    </a:xfrm>
                    <a:prstGeom prst="rect">
                      <a:avLst/>
                    </a:prstGeom>
                    <a:noFill/>
                    <a:ln>
                      <a:noFill/>
                    </a:ln>
                  </pic:spPr>
                </pic:pic>
              </a:graphicData>
            </a:graphic>
          </wp:inline>
        </w:drawing>
      </w:r>
      <w:r>
        <w:drawing>
          <wp:inline distT="0" distB="0" distL="114300" distR="114300">
            <wp:extent cx="8526145" cy="5259070"/>
            <wp:effectExtent l="0" t="0" r="8255" b="17780"/>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70"/>
                    <a:stretch>
                      <a:fillRect/>
                    </a:stretch>
                  </pic:blipFill>
                  <pic:spPr>
                    <a:xfrm>
                      <a:off x="0" y="0"/>
                      <a:ext cx="8526145" cy="5259070"/>
                    </a:xfrm>
                    <a:prstGeom prst="rect">
                      <a:avLst/>
                    </a:prstGeom>
                    <a:noFill/>
                    <a:ln>
                      <a:noFill/>
                    </a:ln>
                  </pic:spPr>
                </pic:pic>
              </a:graphicData>
            </a:graphic>
          </wp:inline>
        </w:drawing>
      </w:r>
      <w:r>
        <w:drawing>
          <wp:inline distT="0" distB="0" distL="114300" distR="114300">
            <wp:extent cx="8522335" cy="5252085"/>
            <wp:effectExtent l="0" t="0" r="12065" b="5715"/>
            <wp:docPr id="3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8"/>
                    <pic:cNvPicPr>
                      <a:picLocks noChangeAspect="1"/>
                    </pic:cNvPicPr>
                  </pic:nvPicPr>
                  <pic:blipFill>
                    <a:blip r:embed="rId71"/>
                    <a:stretch>
                      <a:fillRect/>
                    </a:stretch>
                  </pic:blipFill>
                  <pic:spPr>
                    <a:xfrm>
                      <a:off x="0" y="0"/>
                      <a:ext cx="8522335" cy="5252085"/>
                    </a:xfrm>
                    <a:prstGeom prst="rect">
                      <a:avLst/>
                    </a:prstGeom>
                    <a:noFill/>
                    <a:ln>
                      <a:noFill/>
                    </a:ln>
                  </pic:spPr>
                </pic:pic>
              </a:graphicData>
            </a:graphic>
          </wp:inline>
        </w:drawing>
      </w:r>
      <w:r>
        <w:drawing>
          <wp:inline distT="0" distB="0" distL="114300" distR="114300">
            <wp:extent cx="8531225" cy="5554345"/>
            <wp:effectExtent l="0" t="0" r="3175" b="8255"/>
            <wp:docPr id="4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9"/>
                    <pic:cNvPicPr>
                      <a:picLocks noChangeAspect="1"/>
                    </pic:cNvPicPr>
                  </pic:nvPicPr>
                  <pic:blipFill>
                    <a:blip r:embed="rId72"/>
                    <a:stretch>
                      <a:fillRect/>
                    </a:stretch>
                  </pic:blipFill>
                  <pic:spPr>
                    <a:xfrm>
                      <a:off x="0" y="0"/>
                      <a:ext cx="8531225" cy="5554345"/>
                    </a:xfrm>
                    <a:prstGeom prst="rect">
                      <a:avLst/>
                    </a:prstGeom>
                    <a:noFill/>
                    <a:ln>
                      <a:noFill/>
                    </a:ln>
                  </pic:spPr>
                </pic:pic>
              </a:graphicData>
            </a:graphic>
          </wp:inline>
        </w:drawing>
      </w:r>
    </w:p>
    <w:p w14:paraId="7E3CB511">
      <w:pPr>
        <w:spacing w:line="240" w:lineRule="auto"/>
        <w:jc w:val="both"/>
        <w:outlineLvl w:val="9"/>
        <w:rPr>
          <w:rFonts w:hint="eastAsia" w:eastAsia="宋体"/>
          <w:color w:val="auto"/>
          <w:highlight w:val="none"/>
          <w:lang w:eastAsia="zh-CN"/>
        </w:rPr>
      </w:pPr>
      <w:r>
        <w:rPr>
          <w:sz w:val="21"/>
        </w:rPr>
        <mc:AlternateContent>
          <mc:Choice Requires="wps">
            <w:drawing>
              <wp:anchor distT="0" distB="0" distL="114300" distR="114300" simplePos="0" relativeHeight="251677696" behindDoc="0" locked="0" layoutInCell="1" allowOverlap="1">
                <wp:simplePos x="0" y="0"/>
                <wp:positionH relativeFrom="column">
                  <wp:posOffset>7628255</wp:posOffset>
                </wp:positionH>
                <wp:positionV relativeFrom="paragraph">
                  <wp:posOffset>4333875</wp:posOffset>
                </wp:positionV>
                <wp:extent cx="161925" cy="133350"/>
                <wp:effectExtent l="12700" t="12700" r="15875" b="25400"/>
                <wp:wrapNone/>
                <wp:docPr id="77" name="五角星 77"/>
                <wp:cNvGraphicFramePr/>
                <a:graphic xmlns:a="http://schemas.openxmlformats.org/drawingml/2006/main">
                  <a:graphicData uri="http://schemas.microsoft.com/office/word/2010/wordprocessingShape">
                    <wps:wsp>
                      <wps:cNvSpPr/>
                      <wps:spPr>
                        <a:xfrm>
                          <a:off x="0" y="0"/>
                          <a:ext cx="161925" cy="13335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600.65pt;margin-top:341.25pt;height:10.5pt;width:12.75pt;z-index:251677696;v-text-anchor:middle;mso-width-relative:page;mso-height-relative:page;" fillcolor="#FF0000" filled="t" stroked="t" coordsize="161925,133350" o:gfxdata="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G9MdGndAAAADQEAAA8AAAAAAAAAAQAgAAAAIgAAAGRycy9kb3ducmV2&#10;LnhtbFBLAQIUABQAAAAIAIdO4kCzsJy2aQIAAOIEAAAOAAAAAAAAAAEAIAAAACwBAABkcnMvZTJv&#10;RG9jLnhtbFBLBQYAAAAABgAGAFkBAAAHBgAAAAA=&#10;" path="m0,50935l61850,50935,80962,0,100074,50935,161924,50935,111886,82414,130999,133349,80962,101869,30925,133349,50038,82414xe">
                <v:path o:connectlocs="80962,0;0,50935;30925,133349;130999,133349;161924,50935" o:connectangles="247,164,82,82,0"/>
                <v:fill on="t" focussize="0,0"/>
                <v:stroke weight="2pt" color="#FF0000 [2404]" joinstyle="round"/>
                <v:imagedata o:title=""/>
                <o:lock v:ext="edit" aspectratio="f"/>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7493635</wp:posOffset>
                </wp:positionH>
                <wp:positionV relativeFrom="paragraph">
                  <wp:posOffset>4061460</wp:posOffset>
                </wp:positionV>
                <wp:extent cx="1201420" cy="830580"/>
                <wp:effectExtent l="4445" t="4445" r="13335" b="22225"/>
                <wp:wrapNone/>
                <wp:docPr id="74" name="文本框 74"/>
                <wp:cNvGraphicFramePr/>
                <a:graphic xmlns:a="http://schemas.openxmlformats.org/drawingml/2006/main">
                  <a:graphicData uri="http://schemas.microsoft.com/office/word/2010/wordprocessingShape">
                    <wps:wsp>
                      <wps:cNvSpPr txBox="1"/>
                      <wps:spPr>
                        <a:xfrm>
                          <a:off x="8009890" y="5057775"/>
                          <a:ext cx="1201420" cy="8305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FF9AD33">
                            <w:pPr>
                              <w:jc w:val="center"/>
                              <w:rPr>
                                <w:rFonts w:hint="eastAsia"/>
                                <w:b/>
                                <w:bCs/>
                                <w:lang w:val="en-US" w:eastAsia="zh-CN"/>
                              </w:rPr>
                            </w:pPr>
                            <w:r>
                              <w:rPr>
                                <w:rFonts w:hint="eastAsia"/>
                                <w:b/>
                                <w:bCs/>
                                <w:lang w:val="en-US" w:eastAsia="zh-CN"/>
                              </w:rPr>
                              <w:t>图例</w:t>
                            </w:r>
                          </w:p>
                          <w:p w14:paraId="2814034C">
                            <w:pPr>
                              <w:pStyle w:val="2"/>
                              <w:ind w:firstLine="420" w:firstLineChars="20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项目位置</w:t>
                            </w:r>
                          </w:p>
                          <w:p w14:paraId="0867D453">
                            <w:pPr>
                              <w:pStyle w:val="3"/>
                              <w:rPr>
                                <w:rFonts w:hint="default"/>
                                <w:lang w:val="en-US" w:eastAsia="zh-CN"/>
                              </w:rPr>
                            </w:pPr>
                            <w:r>
                              <w:rPr>
                                <w:rFonts w:hint="eastAsia" w:ascii="Times New Roman" w:hAnsi="Times New Roman" w:eastAsia="宋体" w:cs="Times New Roman"/>
                                <w:kern w:val="2"/>
                                <w:sz w:val="21"/>
                                <w:szCs w:val="24"/>
                                <w:lang w:val="en-US" w:eastAsia="zh-CN" w:bidi="ar-SA"/>
                              </w:rPr>
                              <w:t>比例尺：1：72223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0.05pt;margin-top:319.8pt;height:65.4pt;width:94.6pt;z-index:251675648;mso-width-relative:page;mso-height-relative:page;" fillcolor="#FFFFFF [3201]" filled="t" stroked="t" coordsize="21600,21600" o:gfxdata="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pukrvZAAAADQEAAA8AAAAAAAAAAQAgAAAAIgAAAGRycy9kb3ducmV2LnhtbFBL&#10;AQIUABQAAAAIAIdO4kCsqT6bZwIAAMUEAAAOAAAAAAAAAAEAIAAAACgBAABkcnMvZTJvRG9jLnht&#10;bFBLBQYAAAAABgAGAFkBAAABBgAAAAA=&#10;">
                <v:fill on="t" focussize="0,0"/>
                <v:stroke weight="0.5pt" color="#000000 [3204]" joinstyle="round"/>
                <v:imagedata o:title=""/>
                <o:lock v:ext="edit" aspectratio="f"/>
                <v:textbox>
                  <w:txbxContent>
                    <w:p w14:paraId="1FF9AD33">
                      <w:pPr>
                        <w:jc w:val="center"/>
                        <w:rPr>
                          <w:rFonts w:hint="eastAsia"/>
                          <w:b/>
                          <w:bCs/>
                          <w:lang w:val="en-US" w:eastAsia="zh-CN"/>
                        </w:rPr>
                      </w:pPr>
                      <w:r>
                        <w:rPr>
                          <w:rFonts w:hint="eastAsia"/>
                          <w:b/>
                          <w:bCs/>
                          <w:lang w:val="en-US" w:eastAsia="zh-CN"/>
                        </w:rPr>
                        <w:t>图例</w:t>
                      </w:r>
                    </w:p>
                    <w:p w14:paraId="2814034C">
                      <w:pPr>
                        <w:pStyle w:val="2"/>
                        <w:ind w:firstLine="420" w:firstLineChars="200"/>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kern w:val="2"/>
                          <w:sz w:val="21"/>
                          <w:szCs w:val="24"/>
                          <w:lang w:val="en-US" w:eastAsia="zh-CN" w:bidi="ar-SA"/>
                        </w:rPr>
                        <w:t>项目位置</w:t>
                      </w:r>
                    </w:p>
                    <w:p w14:paraId="0867D453">
                      <w:pPr>
                        <w:pStyle w:val="3"/>
                        <w:rPr>
                          <w:rFonts w:hint="default"/>
                          <w:lang w:val="en-US" w:eastAsia="zh-CN"/>
                        </w:rPr>
                      </w:pPr>
                      <w:r>
                        <w:rPr>
                          <w:rFonts w:hint="eastAsia" w:ascii="Times New Roman" w:hAnsi="Times New Roman" w:eastAsia="宋体" w:cs="Times New Roman"/>
                          <w:kern w:val="2"/>
                          <w:sz w:val="21"/>
                          <w:szCs w:val="24"/>
                          <w:lang w:val="en-US" w:eastAsia="zh-CN" w:bidi="ar-SA"/>
                        </w:rPr>
                        <w:t>比例尺：1：72223</w:t>
                      </w:r>
                    </w:p>
                  </w:txbxContent>
                </v:textbox>
              </v:shape>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6180455</wp:posOffset>
                </wp:positionH>
                <wp:positionV relativeFrom="paragraph">
                  <wp:posOffset>1390650</wp:posOffset>
                </wp:positionV>
                <wp:extent cx="161925" cy="133350"/>
                <wp:effectExtent l="12700" t="12700" r="15875" b="25400"/>
                <wp:wrapNone/>
                <wp:docPr id="75" name="五角星 75"/>
                <wp:cNvGraphicFramePr/>
                <a:graphic xmlns:a="http://schemas.openxmlformats.org/drawingml/2006/main">
                  <a:graphicData uri="http://schemas.microsoft.com/office/word/2010/wordprocessingShape">
                    <wps:wsp>
                      <wps:cNvSpPr/>
                      <wps:spPr>
                        <a:xfrm>
                          <a:off x="6419215" y="1937385"/>
                          <a:ext cx="161925" cy="13335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86.65pt;margin-top:109.5pt;height:10.5pt;width:12.75pt;z-index:251676672;v-text-anchor:middle;mso-width-relative:page;mso-height-relative:page;" fillcolor="#FF0000" filled="t" stroked="t" coordsize="161925,133350" o:gfxdata="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OEaNNrcAAAACwEAAA8AAAAAAAAAAQAgAAAAIgAA&#10;AGRycy9kb3ducmV2LnhtbFBLAQIUABQAAAAIAIdO4kCGI3RpdgIAAO4EAAAOAAAAAAAAAAEAIAAA&#10;ACsBAABkcnMvZTJvRG9jLnhtbFBLBQYAAAAABgAGAFkBAAATBgAAAAA=&#10;" path="m0,50935l61850,50935,80962,0,100074,50935,161924,50935,111886,82414,130999,133349,80962,101869,30925,133349,50038,82414xe">
                <v:path o:connectlocs="80962,0;0,50935;30925,133349;130999,133349;161924,50935" o:connectangles="247,164,82,82,0"/>
                <v:fill on="t" focussize="0,0"/>
                <v:stroke weight="2pt" color="#FF0000 [2404]" joinstyle="round"/>
                <v:imagedata o:title=""/>
                <o:lock v:ext="edit" aspectratio="f"/>
              </v:shape>
            </w:pict>
          </mc:Fallback>
        </mc:AlternateContent>
      </w:r>
      <w:r>
        <w:rPr>
          <w:color w:val="auto"/>
        </w:rPr>
        <w:drawing>
          <wp:anchor distT="0" distB="0" distL="114300" distR="114300" simplePos="0" relativeHeight="251673600" behindDoc="0" locked="0" layoutInCell="1" allowOverlap="1">
            <wp:simplePos x="0" y="0"/>
            <wp:positionH relativeFrom="column">
              <wp:posOffset>7893685</wp:posOffset>
            </wp:positionH>
            <wp:positionV relativeFrom="paragraph">
              <wp:posOffset>86995</wp:posOffset>
            </wp:positionV>
            <wp:extent cx="799465" cy="741045"/>
            <wp:effectExtent l="0" t="0" r="635" b="1905"/>
            <wp:wrapNone/>
            <wp:docPr id="173"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 descr="鸡西风玫瑰"/>
                    <pic:cNvPicPr>
                      <a:picLocks noChangeAspect="1"/>
                    </pic:cNvPicPr>
                  </pic:nvPicPr>
                  <pic:blipFill>
                    <a:blip r:embed="rId73"/>
                    <a:stretch>
                      <a:fillRect/>
                    </a:stretch>
                  </pic:blipFill>
                  <pic:spPr>
                    <a:xfrm>
                      <a:off x="0" y="0"/>
                      <a:ext cx="799465" cy="741045"/>
                    </a:xfrm>
                    <a:prstGeom prst="rect">
                      <a:avLst/>
                    </a:prstGeom>
                    <a:noFill/>
                    <a:ln>
                      <a:noFill/>
                    </a:ln>
                  </pic:spPr>
                </pic:pic>
              </a:graphicData>
            </a:graphic>
          </wp:anchor>
        </w:drawing>
      </w:r>
      <w:r>
        <w:drawing>
          <wp:inline distT="0" distB="0" distL="114300" distR="114300">
            <wp:extent cx="8703945" cy="4839970"/>
            <wp:effectExtent l="0" t="0" r="1905" b="17780"/>
            <wp:docPr id="6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0"/>
                    <pic:cNvPicPr>
                      <a:picLocks noChangeAspect="1"/>
                    </pic:cNvPicPr>
                  </pic:nvPicPr>
                  <pic:blipFill>
                    <a:blip r:embed="rId74"/>
                    <a:stretch>
                      <a:fillRect/>
                    </a:stretch>
                  </pic:blipFill>
                  <pic:spPr>
                    <a:xfrm>
                      <a:off x="0" y="0"/>
                      <a:ext cx="8703945" cy="4839970"/>
                    </a:xfrm>
                    <a:prstGeom prst="rect">
                      <a:avLst/>
                    </a:prstGeom>
                    <a:noFill/>
                    <a:ln>
                      <a:noFill/>
                    </a:ln>
                  </pic:spPr>
                </pic:pic>
              </a:graphicData>
            </a:graphic>
          </wp:inline>
        </w:drawing>
      </w:r>
    </w:p>
    <w:p w14:paraId="2E5C9232">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0" w:firstLine="0"/>
        <w:jc w:val="center"/>
        <w:textAlignment w:val="auto"/>
        <w:rPr>
          <w:rFonts w:hint="default" w:ascii="Times New Roman" w:hAnsi="Times New Roman" w:eastAsia="黑体" w:cs="Times New Roman"/>
          <w:snapToGrid w:val="0"/>
          <w:color w:val="auto"/>
          <w:kern w:val="21"/>
          <w:sz w:val="30"/>
          <w:szCs w:val="30"/>
          <w:highlight w:val="none"/>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eastAsia="宋体" w:cs="Times New Roman"/>
          <w:color w:val="auto"/>
          <w:sz w:val="21"/>
          <w:szCs w:val="21"/>
          <w:highlight w:val="none"/>
        </w:rPr>
        <w:t>附图</w:t>
      </w:r>
      <w:r>
        <w:rPr>
          <w:rFonts w:hint="eastAsia" w:eastAsia="宋体" w:cs="Times New Roman"/>
          <w:color w:val="auto"/>
          <w:sz w:val="21"/>
          <w:szCs w:val="21"/>
          <w:highlight w:val="none"/>
          <w:lang w:val="en-US" w:eastAsia="zh-CN"/>
        </w:rPr>
        <w:t xml:space="preserve">1 </w:t>
      </w:r>
      <w:r>
        <w:rPr>
          <w:rFonts w:hint="default" w:ascii="Times New Roman" w:hAnsi="Times New Roman" w:eastAsia="宋体" w:cs="Times New Roman"/>
          <w:color w:val="auto"/>
          <w:sz w:val="21"/>
          <w:szCs w:val="21"/>
          <w:highlight w:val="none"/>
        </w:rPr>
        <w:t>项目地理位置图</w:t>
      </w:r>
    </w:p>
    <w:bookmarkEnd w:id="11"/>
    <w:p w14:paraId="1B0725A9">
      <w:pPr>
        <w:bidi w:val="0"/>
        <w:jc w:val="center"/>
        <w:rPr>
          <w:rStyle w:val="139"/>
          <w:rFonts w:hint="default" w:ascii="Times New Roman" w:hAnsi="Times New Roman" w:eastAsia="宋体" w:cs="Times New Roman"/>
          <w:sz w:val="21"/>
          <w:szCs w:val="21"/>
          <w:lang w:val="en-US" w:eastAsia="zh-CN"/>
        </w:rPr>
      </w:pPr>
      <w:r>
        <w:rPr>
          <w:sz w:val="30"/>
        </w:rPr>
        <mc:AlternateContent>
          <mc:Choice Requires="wps">
            <w:drawing>
              <wp:anchor distT="0" distB="0" distL="114300" distR="114300" simplePos="0" relativeHeight="251701248" behindDoc="0" locked="0" layoutInCell="1" allowOverlap="1">
                <wp:simplePos x="0" y="0"/>
                <wp:positionH relativeFrom="column">
                  <wp:posOffset>2485390</wp:posOffset>
                </wp:positionH>
                <wp:positionV relativeFrom="paragraph">
                  <wp:posOffset>2204085</wp:posOffset>
                </wp:positionV>
                <wp:extent cx="1111885" cy="34417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1111885" cy="344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C3D74F">
                            <w:pPr>
                              <w:rPr>
                                <w:rFonts w:hint="default" w:eastAsia="宋体"/>
                                <w:sz w:val="18"/>
                                <w:szCs w:val="18"/>
                                <w:lang w:val="en-US" w:eastAsia="zh-CN"/>
                              </w:rPr>
                            </w:pPr>
                            <w:r>
                              <w:rPr>
                                <w:rFonts w:hint="eastAsia"/>
                                <w:sz w:val="18"/>
                                <w:szCs w:val="18"/>
                                <w:lang w:val="en-US" w:eastAsia="zh-CN"/>
                              </w:rPr>
                              <w:t>西侧发展村五组居民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7pt;margin-top:173.55pt;height:27.1pt;width:87.55pt;z-index:251701248;mso-width-relative:page;mso-height-relative:page;" filled="f" stroked="f" coordsize="21600,21600" o:gfxdata="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RaFZI3QAAAAsBAAAPAAAAAAAAAAEAIAAAACIA&#10;AABkcnMvZG93bnJldi54bWxQSwECFAAUAAAACACHTuJAyqFtMj0CAABqBAAADgAAAAAAAAABACAA&#10;AAAsAQAAZHJzL2Uyb0RvYy54bWxQSwUGAAAAAAYABgBZAQAA2wUAAAAA&#10;">
                <v:fill on="f" focussize="0,0"/>
                <v:stroke on="f" weight="0.5pt"/>
                <v:imagedata o:title=""/>
                <o:lock v:ext="edit" aspectratio="f"/>
                <v:textbox>
                  <w:txbxContent>
                    <w:p w14:paraId="6BC3D74F">
                      <w:pPr>
                        <w:rPr>
                          <w:rFonts w:hint="default" w:eastAsia="宋体"/>
                          <w:sz w:val="18"/>
                          <w:szCs w:val="18"/>
                          <w:lang w:val="en-US" w:eastAsia="zh-CN"/>
                        </w:rPr>
                      </w:pPr>
                      <w:r>
                        <w:rPr>
                          <w:rFonts w:hint="eastAsia"/>
                          <w:sz w:val="18"/>
                          <w:szCs w:val="18"/>
                          <w:lang w:val="en-US" w:eastAsia="zh-CN"/>
                        </w:rPr>
                        <w:t>西侧发展村五组居民</w:t>
                      </w:r>
                    </w:p>
                  </w:txbxContent>
                </v:textbox>
              </v:shape>
            </w:pict>
          </mc:Fallback>
        </mc:AlternateContent>
      </w:r>
      <w:r>
        <w:rPr>
          <w:sz w:val="30"/>
        </w:rPr>
        <mc:AlternateContent>
          <mc:Choice Requires="wps">
            <w:drawing>
              <wp:anchor distT="0" distB="0" distL="114300" distR="114300" simplePos="0" relativeHeight="251697152" behindDoc="0" locked="0" layoutInCell="1" allowOverlap="1">
                <wp:simplePos x="0" y="0"/>
                <wp:positionH relativeFrom="column">
                  <wp:posOffset>3074670</wp:posOffset>
                </wp:positionH>
                <wp:positionV relativeFrom="paragraph">
                  <wp:posOffset>1933575</wp:posOffset>
                </wp:positionV>
                <wp:extent cx="504825" cy="238125"/>
                <wp:effectExtent l="0" t="0" r="0" b="0"/>
                <wp:wrapNone/>
                <wp:docPr id="118" name="文本框 118"/>
                <wp:cNvGraphicFramePr/>
                <a:graphic xmlns:a="http://schemas.openxmlformats.org/drawingml/2006/main">
                  <a:graphicData uri="http://schemas.microsoft.com/office/word/2010/wordprocessingShape">
                    <wps:wsp>
                      <wps:cNvSpPr txBox="1"/>
                      <wps:spPr>
                        <a:xfrm rot="21300000">
                          <a:off x="4094480" y="2042160"/>
                          <a:ext cx="50482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A5900D">
                            <w:pPr>
                              <w:rPr>
                                <w:rFonts w:hint="default" w:eastAsia="宋体"/>
                                <w:sz w:val="15"/>
                                <w:szCs w:val="15"/>
                                <w:lang w:val="en-US" w:eastAsia="zh-CN"/>
                              </w:rPr>
                            </w:pPr>
                            <w:r>
                              <w:rPr>
                                <w:rFonts w:hint="eastAsia"/>
                                <w:sz w:val="15"/>
                                <w:szCs w:val="15"/>
                                <w:lang w:val="en-US" w:eastAsia="zh-CN"/>
                              </w:rPr>
                              <w:t>15m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1pt;margin-top:152.25pt;height:18.75pt;width:39.75pt;rotation:-327680f;z-index:251697152;mso-width-relative:page;mso-height-relative:page;" filled="f" stroked="f" coordsize="21600,21600" o:gfxdata="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HYb6M7bAAAACwEAAA8A&#10;AAAAAAAAAQAgAAAAIgAAAGRycy9kb3ducmV2LnhtbFBLAQIUABQAAAAIAIdO4kB9GziJTQIAAIQE&#10;AAAOAAAAAAAAAAEAIAAAACoBAABkcnMvZTJvRG9jLnhtbFBLBQYAAAAABgAGAFkBAADpBQAAAAA=&#10;">
                <v:fill on="f" focussize="0,0"/>
                <v:stroke on="f" weight="0.5pt"/>
                <v:imagedata o:title=""/>
                <o:lock v:ext="edit" aspectratio="f"/>
                <v:textbox>
                  <w:txbxContent>
                    <w:p w14:paraId="0BA5900D">
                      <w:pPr>
                        <w:rPr>
                          <w:rFonts w:hint="default" w:eastAsia="宋体"/>
                          <w:sz w:val="15"/>
                          <w:szCs w:val="15"/>
                          <w:lang w:val="en-US" w:eastAsia="zh-CN"/>
                        </w:rPr>
                      </w:pPr>
                      <w:r>
                        <w:rPr>
                          <w:rFonts w:hint="eastAsia"/>
                          <w:sz w:val="15"/>
                          <w:szCs w:val="15"/>
                          <w:lang w:val="en-US" w:eastAsia="zh-CN"/>
                        </w:rPr>
                        <w:t>15m</w:t>
                      </w:r>
                    </w:p>
                  </w:txbxContent>
                </v:textbox>
              </v:shape>
            </w:pict>
          </mc:Fallback>
        </mc:AlternateContent>
      </w:r>
      <w:r>
        <w:rPr>
          <w:sz w:val="30"/>
        </w:rPr>
        <mc:AlternateContent>
          <mc:Choice Requires="wps">
            <w:drawing>
              <wp:anchor distT="0" distB="0" distL="114300" distR="114300" simplePos="0" relativeHeight="251696128" behindDoc="0" locked="0" layoutInCell="1" allowOverlap="1">
                <wp:simplePos x="0" y="0"/>
                <wp:positionH relativeFrom="column">
                  <wp:posOffset>3169920</wp:posOffset>
                </wp:positionH>
                <wp:positionV relativeFrom="paragraph">
                  <wp:posOffset>2131695</wp:posOffset>
                </wp:positionV>
                <wp:extent cx="238125" cy="60960"/>
                <wp:effectExtent l="0" t="17780" r="9525" b="35560"/>
                <wp:wrapNone/>
                <wp:docPr id="117" name="直接箭头连接符 117"/>
                <wp:cNvGraphicFramePr/>
                <a:graphic xmlns:a="http://schemas.openxmlformats.org/drawingml/2006/main">
                  <a:graphicData uri="http://schemas.microsoft.com/office/word/2010/wordprocessingShape">
                    <wps:wsp>
                      <wps:cNvCnPr/>
                      <wps:spPr>
                        <a:xfrm flipV="1">
                          <a:off x="4170680" y="3211830"/>
                          <a:ext cx="238125" cy="60960"/>
                        </a:xfrm>
                        <a:prstGeom prst="straightConnector1">
                          <a:avLst/>
                        </a:prstGeom>
                        <a:ln w="12700">
                          <a:solidFill>
                            <a:schemeClr val="tx1"/>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49.6pt;margin-top:167.85pt;height:4.8pt;width:18.75pt;z-index:251696128;mso-width-relative:page;mso-height-relative:page;" filled="f" stroked="t" coordsize="21600,21600" o:gfxdata="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8TJK7toAAAALAQAADwAAAAAAAAABACAAAAAiAAAAZHJzL2Rvd25yZXYueG1sUEsBAhQAFAAA&#10;AAgAh07iQJXyPAUmAgAAKAQAAA4AAAAAAAAAAQAgAAAAKQEAAGRycy9lMm9Eb2MueG1sUEsFBgAA&#10;AAAGAAYAWQEAAMEFAAAAAA==&#10;">
                <v:fill on="f" focussize="0,0"/>
                <v:stroke weight="1pt" color="#000000 [3213]" joinstyle="round" startarrow="block" endarrow="block"/>
                <v:imagedata o:title=""/>
                <o:lock v:ext="edit" aspectratio="f"/>
              </v:shape>
            </w:pict>
          </mc:Fallback>
        </mc:AlternateContent>
      </w:r>
      <w:r>
        <w:rPr>
          <w:sz w:val="30"/>
        </w:rPr>
        <mc:AlternateContent>
          <mc:Choice Requires="wps">
            <w:drawing>
              <wp:anchor distT="0" distB="0" distL="114300" distR="114300" simplePos="0" relativeHeight="251698176" behindDoc="0" locked="0" layoutInCell="1" allowOverlap="1">
                <wp:simplePos x="0" y="0"/>
                <wp:positionH relativeFrom="column">
                  <wp:posOffset>3533140</wp:posOffset>
                </wp:positionH>
                <wp:positionV relativeFrom="paragraph">
                  <wp:posOffset>2823210</wp:posOffset>
                </wp:positionV>
                <wp:extent cx="417195" cy="258445"/>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417195"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503985">
                            <w:pPr>
                              <w:rPr>
                                <w:rFonts w:hint="default" w:eastAsia="宋体"/>
                                <w:sz w:val="15"/>
                                <w:szCs w:val="15"/>
                                <w:lang w:val="en-US" w:eastAsia="zh-CN"/>
                              </w:rPr>
                            </w:pPr>
                            <w:r>
                              <w:rPr>
                                <w:rFonts w:hint="eastAsia"/>
                                <w:sz w:val="15"/>
                                <w:szCs w:val="15"/>
                                <w:lang w:val="en-US" w:eastAsia="zh-CN"/>
                              </w:rPr>
                              <w:t>23m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2pt;margin-top:222.3pt;height:20.35pt;width:32.85pt;z-index:251698176;mso-width-relative:page;mso-height-relative:page;" filled="f" stroked="f" coordsize="21600,21600" o:gfxdata="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Dipg9sAAAALAQAADwAAAAAAAAABACAAAAAiAAAA&#10;ZHJzL2Rvd25yZXYueG1sUEsBAhQAFAAAAAgAh07iQBa+i+A9AgAAaQQAAA4AAAAAAAAAAQAgAAAA&#10;KgEAAGRycy9lMm9Eb2MueG1sUEsFBgAAAAAGAAYAWQEAANkFAAAAAA==&#10;">
                <v:fill on="f" focussize="0,0"/>
                <v:stroke on="f" weight="0.5pt"/>
                <v:imagedata o:title=""/>
                <o:lock v:ext="edit" aspectratio="f"/>
                <v:textbox>
                  <w:txbxContent>
                    <w:p w14:paraId="40503985">
                      <w:pPr>
                        <w:rPr>
                          <w:rFonts w:hint="default" w:eastAsia="宋体"/>
                          <w:sz w:val="15"/>
                          <w:szCs w:val="15"/>
                          <w:lang w:val="en-US" w:eastAsia="zh-CN"/>
                        </w:rPr>
                      </w:pPr>
                      <w:r>
                        <w:rPr>
                          <w:rFonts w:hint="eastAsia"/>
                          <w:sz w:val="15"/>
                          <w:szCs w:val="15"/>
                          <w:lang w:val="en-US" w:eastAsia="zh-CN"/>
                        </w:rPr>
                        <w:t>23m</w:t>
                      </w:r>
                    </w:p>
                  </w:txbxContent>
                </v:textbox>
              </v:shape>
            </w:pict>
          </mc:Fallback>
        </mc:AlternateContent>
      </w:r>
      <w:r>
        <w:rPr>
          <w:sz w:val="30"/>
        </w:rPr>
        <mc:AlternateContent>
          <mc:Choice Requires="wps">
            <w:drawing>
              <wp:anchor distT="0" distB="0" distL="114300" distR="114300" simplePos="0" relativeHeight="251699200" behindDoc="0" locked="0" layoutInCell="1" allowOverlap="1">
                <wp:simplePos x="0" y="0"/>
                <wp:positionH relativeFrom="column">
                  <wp:posOffset>3846195</wp:posOffset>
                </wp:positionH>
                <wp:positionV relativeFrom="paragraph">
                  <wp:posOffset>2771775</wp:posOffset>
                </wp:positionV>
                <wp:extent cx="9525" cy="314325"/>
                <wp:effectExtent l="35560" t="0" r="50165" b="9525"/>
                <wp:wrapNone/>
                <wp:docPr id="120" name="直接箭头连接符 120"/>
                <wp:cNvGraphicFramePr/>
                <a:graphic xmlns:a="http://schemas.openxmlformats.org/drawingml/2006/main">
                  <a:graphicData uri="http://schemas.microsoft.com/office/word/2010/wordprocessingShape">
                    <wps:wsp>
                      <wps:cNvCnPr/>
                      <wps:spPr>
                        <a:xfrm flipH="1" flipV="1">
                          <a:off x="0" y="0"/>
                          <a:ext cx="9525" cy="314325"/>
                        </a:xfrm>
                        <a:prstGeom prst="straightConnector1">
                          <a:avLst/>
                        </a:prstGeom>
                        <a:ln w="9525">
                          <a:solidFill>
                            <a:schemeClr val="tx1"/>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02.85pt;margin-top:218.25pt;height:24.75pt;width:0.75pt;z-index:251699200;mso-width-relative:page;mso-height-relative:page;" filled="f" stroked="t" coordsize="21600,21600" o:gfxdata="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Vzg2J2gAAAAsBAAAP&#10;AAAAAAAAAAEAIAAAACIAAABkcnMvZG93bnJldi54bWxQSwECFAAUAAAACACHTuJAA/qO2hYCAAAk&#10;BAAADgAAAAAAAAABACAAAAApAQAAZHJzL2Uyb0RvYy54bWxQSwUGAAAAAAYABgBZAQAAsQUAAAAA&#10;">
                <v:fill on="f" focussize="0,0"/>
                <v:stroke color="#000000 [3213]" joinstyle="round" startarrow="block" endarrow="block"/>
                <v:imagedata o:title=""/>
                <o:lock v:ext="edit" aspectratio="f"/>
              </v:shape>
            </w:pict>
          </mc:Fallback>
        </mc:AlternateContent>
      </w:r>
      <w:r>
        <w:rPr>
          <w:sz w:val="30"/>
        </w:rPr>
        <mc:AlternateContent>
          <mc:Choice Requires="wps">
            <w:drawing>
              <wp:anchor distT="0" distB="0" distL="114300" distR="114300" simplePos="0" relativeHeight="251700224" behindDoc="0" locked="0" layoutInCell="1" allowOverlap="1">
                <wp:simplePos x="0" y="0"/>
                <wp:positionH relativeFrom="column">
                  <wp:posOffset>3333115</wp:posOffset>
                </wp:positionH>
                <wp:positionV relativeFrom="paragraph">
                  <wp:posOffset>2956560</wp:posOffset>
                </wp:positionV>
                <wp:extent cx="1111885" cy="344170"/>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1111885" cy="344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04D662">
                            <w:pPr>
                              <w:rPr>
                                <w:rFonts w:hint="default" w:eastAsia="宋体"/>
                                <w:sz w:val="18"/>
                                <w:szCs w:val="18"/>
                                <w:lang w:val="en-US" w:eastAsia="zh-CN"/>
                              </w:rPr>
                            </w:pPr>
                            <w:r>
                              <w:rPr>
                                <w:rFonts w:hint="eastAsia"/>
                                <w:sz w:val="18"/>
                                <w:szCs w:val="18"/>
                                <w:lang w:val="en-US" w:eastAsia="zh-CN"/>
                              </w:rPr>
                              <w:t>南侧发展村五组居民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2.45pt;margin-top:232.8pt;height:27.1pt;width:87.55pt;z-index:251700224;mso-width-relative:page;mso-height-relative:page;" filled="f" stroked="f" coordsize="21600,21600" o:gfxdata="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&#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1SLmH2wAAAAsBAAAPAAAAAAAAAAEAIAAAACIAAABk&#10;cnMvZG93bnJldi54bWxQSwECFAAUAAAACACHTuJAPY9cXDwCAABqBAAADgAAAAAAAAABACAAAAAq&#10;AQAAZHJzL2Uyb0RvYy54bWxQSwUGAAAAAAYABgBZAQAA2AUAAAAA&#10;">
                <v:fill on="f" focussize="0,0"/>
                <v:stroke on="f" weight="0.5pt"/>
                <v:imagedata o:title=""/>
                <o:lock v:ext="edit" aspectratio="f"/>
                <v:textbox>
                  <w:txbxContent>
                    <w:p w14:paraId="4504D662">
                      <w:pPr>
                        <w:rPr>
                          <w:rFonts w:hint="default" w:eastAsia="宋体"/>
                          <w:sz w:val="18"/>
                          <w:szCs w:val="18"/>
                          <w:lang w:val="en-US" w:eastAsia="zh-CN"/>
                        </w:rPr>
                      </w:pPr>
                      <w:r>
                        <w:rPr>
                          <w:rFonts w:hint="eastAsia"/>
                          <w:sz w:val="18"/>
                          <w:szCs w:val="18"/>
                          <w:lang w:val="en-US" w:eastAsia="zh-CN"/>
                        </w:rPr>
                        <w:t>南侧发展村五组居民</w:t>
                      </w:r>
                    </w:p>
                  </w:txbxContent>
                </v:textbox>
              </v:shape>
            </w:pict>
          </mc:Fallback>
        </mc:AlternateContent>
      </w:r>
      <w:r>
        <w:drawing>
          <wp:inline distT="0" distB="0" distL="114300" distR="114300">
            <wp:extent cx="8700770" cy="4952365"/>
            <wp:effectExtent l="0" t="0" r="5080" b="635"/>
            <wp:docPr id="10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3"/>
                    <pic:cNvPicPr>
                      <a:picLocks noChangeAspect="1"/>
                    </pic:cNvPicPr>
                  </pic:nvPicPr>
                  <pic:blipFill>
                    <a:blip r:embed="rId75"/>
                    <a:stretch>
                      <a:fillRect/>
                    </a:stretch>
                  </pic:blipFill>
                  <pic:spPr>
                    <a:xfrm>
                      <a:off x="0" y="0"/>
                      <a:ext cx="8700770" cy="4952365"/>
                    </a:xfrm>
                    <a:prstGeom prst="rect">
                      <a:avLst/>
                    </a:prstGeom>
                    <a:noFill/>
                    <a:ln>
                      <a:noFill/>
                    </a:ln>
                  </pic:spPr>
                </pic:pic>
              </a:graphicData>
            </a:graphic>
          </wp:inline>
        </w:drawing>
      </w:r>
      <w:r>
        <w:rPr>
          <w:color w:val="auto"/>
        </w:rPr>
        <w:drawing>
          <wp:anchor distT="0" distB="0" distL="114300" distR="114300" simplePos="0" relativeHeight="251669504" behindDoc="0" locked="0" layoutInCell="1" allowOverlap="1">
            <wp:simplePos x="0" y="0"/>
            <wp:positionH relativeFrom="column">
              <wp:posOffset>7884160</wp:posOffset>
            </wp:positionH>
            <wp:positionV relativeFrom="paragraph">
              <wp:posOffset>22225</wp:posOffset>
            </wp:positionV>
            <wp:extent cx="799465" cy="741045"/>
            <wp:effectExtent l="0" t="0" r="635" b="1905"/>
            <wp:wrapNone/>
            <wp:docPr id="165"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 descr="鸡西风玫瑰"/>
                    <pic:cNvPicPr>
                      <a:picLocks noChangeAspect="1"/>
                    </pic:cNvPicPr>
                  </pic:nvPicPr>
                  <pic:blipFill>
                    <a:blip r:embed="rId73"/>
                    <a:stretch>
                      <a:fillRect/>
                    </a:stretch>
                  </pic:blipFill>
                  <pic:spPr>
                    <a:xfrm>
                      <a:off x="0" y="0"/>
                      <a:ext cx="799465" cy="741045"/>
                    </a:xfrm>
                    <a:prstGeom prst="rect">
                      <a:avLst/>
                    </a:prstGeom>
                    <a:noFill/>
                    <a:ln>
                      <a:noFill/>
                    </a:ln>
                  </pic:spPr>
                </pic:pic>
              </a:graphicData>
            </a:graphic>
          </wp:anchor>
        </w:drawing>
      </w:r>
      <w:r>
        <w:rPr>
          <w:rStyle w:val="139"/>
          <w:rFonts w:hint="default" w:ascii="Times New Roman" w:hAnsi="Times New Roman" w:eastAsia="宋体" w:cs="Times New Roman"/>
          <w:sz w:val="21"/>
          <w:szCs w:val="21"/>
          <w:lang w:val="en-US" w:eastAsia="zh-CN"/>
        </w:rPr>
        <mc:AlternateContent>
          <mc:Choice Requires="wps">
            <w:drawing>
              <wp:anchor distT="0" distB="0" distL="114300" distR="114300" simplePos="0" relativeHeight="251670528" behindDoc="0" locked="0" layoutInCell="1" allowOverlap="1">
                <wp:simplePos x="0" y="0"/>
                <wp:positionH relativeFrom="column">
                  <wp:posOffset>7219950</wp:posOffset>
                </wp:positionH>
                <wp:positionV relativeFrom="paragraph">
                  <wp:posOffset>4165600</wp:posOffset>
                </wp:positionV>
                <wp:extent cx="158750" cy="119380"/>
                <wp:effectExtent l="12700" t="12700" r="19050" b="20320"/>
                <wp:wrapNone/>
                <wp:docPr id="170" name="矩形 170"/>
                <wp:cNvGraphicFramePr/>
                <a:graphic xmlns:a="http://schemas.openxmlformats.org/drawingml/2006/main">
                  <a:graphicData uri="http://schemas.microsoft.com/office/word/2010/wordprocessingShape">
                    <wps:wsp>
                      <wps:cNvSpPr/>
                      <wps:spPr>
                        <a:xfrm>
                          <a:off x="7840345" y="5156200"/>
                          <a:ext cx="158750" cy="119380"/>
                        </a:xfrm>
                        <a:prstGeom prst="rect">
                          <a:avLst/>
                        </a:prstGeom>
                        <a:noFill/>
                        <a:ln>
                          <a:solidFill>
                            <a:srgbClr val="FC010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8.5pt;margin-top:328pt;height:9.4pt;width:12.5pt;z-index:251670528;v-text-anchor:middle;mso-width-relative:page;mso-height-relative:page;" filled="f" stroked="t" coordsize="21600,21600" o:gfxdata="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GMIfv2gAAAA0BAAAPAAAAAAAAAAEAIAAAACIAAABkcnMvZG93bnJl&#10;di54bWxQSwECFAAUAAAACACHTuJAdVp4qm0CAADDBAAADgAAAAAAAAABACAAAAApAQAAZHJzL2Uy&#10;b0RvYy54bWxQSwUGAAAAAAYABgBZAQAACAYAAAAA&#10;">
                <v:fill on="f" focussize="0,0"/>
                <v:stroke weight="2pt" color="#FC0101 [2404]" joinstyle="round"/>
                <v:imagedata o:title=""/>
                <o:lock v:ext="edit" aspectratio="f"/>
              </v:rect>
            </w:pict>
          </mc:Fallback>
        </mc:AlternateContent>
      </w:r>
      <w:r>
        <w:rPr>
          <w:rStyle w:val="139"/>
          <w:rFonts w:hint="default" w:ascii="Times New Roman" w:hAnsi="Times New Roman" w:eastAsia="宋体" w:cs="Times New Roman"/>
          <w:sz w:val="21"/>
          <w:szCs w:val="21"/>
          <w:lang w:val="en-US" w:eastAsia="zh-CN"/>
        </w:rPr>
        <mc:AlternateContent>
          <mc:Choice Requires="wps">
            <w:drawing>
              <wp:anchor distT="0" distB="0" distL="114300" distR="114300" simplePos="0" relativeHeight="251671552" behindDoc="0" locked="0" layoutInCell="1" allowOverlap="1">
                <wp:simplePos x="0" y="0"/>
                <wp:positionH relativeFrom="column">
                  <wp:posOffset>7219950</wp:posOffset>
                </wp:positionH>
                <wp:positionV relativeFrom="paragraph">
                  <wp:posOffset>4364990</wp:posOffset>
                </wp:positionV>
                <wp:extent cx="158750" cy="119380"/>
                <wp:effectExtent l="12700" t="12700" r="19050" b="20320"/>
                <wp:wrapNone/>
                <wp:docPr id="171" name="矩形 171"/>
                <wp:cNvGraphicFramePr/>
                <a:graphic xmlns:a="http://schemas.openxmlformats.org/drawingml/2006/main">
                  <a:graphicData uri="http://schemas.microsoft.com/office/word/2010/wordprocessingShape">
                    <wps:wsp>
                      <wps:cNvSpPr/>
                      <wps:spPr>
                        <a:xfrm>
                          <a:off x="0" y="0"/>
                          <a:ext cx="158750" cy="119380"/>
                        </a:xfrm>
                        <a:prstGeom prst="rect">
                          <a:avLst/>
                        </a:prstGeom>
                        <a:noFill/>
                        <a:ln>
                          <a:solidFill>
                            <a:srgbClr val="0000FD"/>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8.5pt;margin-top:343.7pt;height:9.4pt;width:12.5pt;z-index:251671552;v-text-anchor:middle;mso-width-relative:page;mso-height-relative:page;" filled="f" stroked="t" coordsize="21600,21600" o:gfxdata="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Ihb8k3AAAAA0BAAAPAAAAAAAAAAEAIAAAACIAAABkcnMvZG93bnJldi54bWxQSwECFAAU&#10;AAAACACHTuJABJFXcl8CAAC3BAAADgAAAAAAAAABACAAAAArAQAAZHJzL2Uyb0RvYy54bWxQSwUG&#10;AAAAAAYABgBZAQAA/AUAAAAA&#10;">
                <v:fill on="f" focussize="0,0"/>
                <v:stroke weight="2pt" color="#0000FD [2404]" joinstyle="round"/>
                <v:imagedata o:title=""/>
                <o:lock v:ext="edit" aspectratio="f"/>
              </v:rect>
            </w:pict>
          </mc:Fallback>
        </mc:AlternateContent>
      </w:r>
      <w:r>
        <w:rPr>
          <w:rStyle w:val="139"/>
          <w:rFonts w:hint="default" w:ascii="Times New Roman" w:hAnsi="Times New Roman" w:eastAsia="宋体" w:cs="Times New Roman"/>
          <w:sz w:val="21"/>
          <w:szCs w:val="21"/>
          <w:lang w:val="en-US" w:eastAsia="zh-CN"/>
        </w:rPr>
        <mc:AlternateContent>
          <mc:Choice Requires="wps">
            <w:drawing>
              <wp:anchor distT="0" distB="0" distL="114300" distR="114300" simplePos="0" relativeHeight="251672576" behindDoc="0" locked="0" layoutInCell="1" allowOverlap="1">
                <wp:simplePos x="0" y="0"/>
                <wp:positionH relativeFrom="column">
                  <wp:posOffset>7219950</wp:posOffset>
                </wp:positionH>
                <wp:positionV relativeFrom="paragraph">
                  <wp:posOffset>4556125</wp:posOffset>
                </wp:positionV>
                <wp:extent cx="158750" cy="119380"/>
                <wp:effectExtent l="12700" t="12700" r="19050" b="20320"/>
                <wp:wrapNone/>
                <wp:docPr id="172" name="矩形 172"/>
                <wp:cNvGraphicFramePr/>
                <a:graphic xmlns:a="http://schemas.openxmlformats.org/drawingml/2006/main">
                  <a:graphicData uri="http://schemas.microsoft.com/office/word/2010/wordprocessingShape">
                    <wps:wsp>
                      <wps:cNvSpPr/>
                      <wps:spPr>
                        <a:xfrm>
                          <a:off x="0" y="0"/>
                          <a:ext cx="158750" cy="119380"/>
                        </a:xfrm>
                        <a:prstGeom prst="rect">
                          <a:avLst/>
                        </a:prstGeom>
                        <a:solidFill>
                          <a:srgbClr val="0A09F1"/>
                        </a:solidFill>
                        <a:ln>
                          <a:solidFill>
                            <a:srgbClr val="0C0BED"/>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8.5pt;margin-top:358.75pt;height:9.4pt;width:12.5pt;z-index:251672576;v-text-anchor:middle;mso-width-relative:page;mso-height-relative:page;" fillcolor="#0A09F1" filled="t" stroked="t" coordsize="21600,21600" o:gfxdata="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HBcfJzYAAAADQEAAA8AAAAAAAAAAQAgAAAAIgAAAGRycy9kb3ducmV2Lnht&#10;bFBLAQIUABQAAAAIAIdO4kAsaTw4awIAAOAEAAAOAAAAAAAAAAEAIAAAACcBAABkcnMvZTJvRG9j&#10;LnhtbFBLBQYAAAAABgAGAFkBAAAEBgAAAAA=&#10;">
                <v:fill on="t" focussize="0,0"/>
                <v:stroke weight="2pt" color="#0C0BED [2404]" joinstyle="round"/>
                <v:imagedata o:title=""/>
                <o:lock v:ext="edit" aspectratio="f"/>
              </v:rect>
            </w:pict>
          </mc:Fallback>
        </mc:AlternateContent>
      </w:r>
      <w:r>
        <w:rPr>
          <w:rStyle w:val="139"/>
          <w:rFonts w:hint="default" w:ascii="Times New Roman" w:hAnsi="Times New Roman" w:eastAsia="宋体" w:cs="Times New Roman"/>
          <w:sz w:val="21"/>
          <w:szCs w:val="21"/>
          <w:lang w:val="en-US" w:eastAsia="zh-CN"/>
        </w:rPr>
        <mc:AlternateContent>
          <mc:Choice Requires="wps">
            <w:drawing>
              <wp:anchor distT="0" distB="0" distL="114300" distR="114300" simplePos="0" relativeHeight="251663360" behindDoc="0" locked="0" layoutInCell="1" allowOverlap="1">
                <wp:simplePos x="0" y="0"/>
                <wp:positionH relativeFrom="column">
                  <wp:posOffset>7142480</wp:posOffset>
                </wp:positionH>
                <wp:positionV relativeFrom="paragraph">
                  <wp:posOffset>3856990</wp:posOffset>
                </wp:positionV>
                <wp:extent cx="1556385" cy="1136650"/>
                <wp:effectExtent l="4445" t="4445" r="20320" b="20955"/>
                <wp:wrapNone/>
                <wp:docPr id="7" name="文本框 7"/>
                <wp:cNvGraphicFramePr/>
                <a:graphic xmlns:a="http://schemas.openxmlformats.org/drawingml/2006/main">
                  <a:graphicData uri="http://schemas.microsoft.com/office/word/2010/wordprocessingShape">
                    <wps:wsp>
                      <wps:cNvSpPr txBox="1"/>
                      <wps:spPr>
                        <a:xfrm>
                          <a:off x="0" y="0"/>
                          <a:ext cx="1556385" cy="1136650"/>
                        </a:xfrm>
                        <a:prstGeom prst="rect">
                          <a:avLst/>
                        </a:prstGeom>
                        <a:solidFill>
                          <a:srgbClr val="FFFFFF"/>
                        </a:solidFill>
                        <a:ln w="9525" cap="flat" cmpd="sng">
                          <a:solidFill>
                            <a:schemeClr val="tx1"/>
                          </a:solidFill>
                          <a:prstDash val="solid"/>
                          <a:miter/>
                          <a:headEnd type="none" w="med" len="med"/>
                          <a:tailEnd type="none" w="med" len="med"/>
                        </a:ln>
                      </wps:spPr>
                      <wps:txbx>
                        <w:txbxContent>
                          <w:p w14:paraId="3BD3D4AE">
                            <w:pPr>
                              <w:jc w:val="center"/>
                            </w:pPr>
                            <w:r>
                              <w:rPr>
                                <w:rFonts w:hint="eastAsia"/>
                              </w:rPr>
                              <w:t>图  例</w:t>
                            </w:r>
                          </w:p>
                          <w:p w14:paraId="0F85349D">
                            <w:pPr>
                              <w:ind w:firstLine="420" w:firstLineChars="200"/>
                              <w:jc w:val="both"/>
                            </w:pPr>
                            <w:r>
                              <w:rPr>
                                <w:rFonts w:hint="eastAsia"/>
                              </w:rPr>
                              <w:t>项目位置</w:t>
                            </w:r>
                          </w:p>
                          <w:p w14:paraId="2DDFD281">
                            <w:pPr>
                              <w:ind w:firstLine="420" w:firstLineChars="200"/>
                              <w:jc w:val="both"/>
                            </w:pPr>
                            <w:r>
                              <w:rPr>
                                <w:rFonts w:hint="eastAsia"/>
                              </w:rPr>
                              <w:t>声环境保护范围</w:t>
                            </w:r>
                          </w:p>
                          <w:p w14:paraId="4265E5D1">
                            <w:pPr>
                              <w:ind w:firstLine="420" w:firstLineChars="200"/>
                              <w:jc w:val="both"/>
                              <w:rPr>
                                <w:rFonts w:hint="eastAsia"/>
                                <w:lang w:val="en-US" w:eastAsia="zh-CN"/>
                              </w:rPr>
                            </w:pPr>
                            <w:r>
                              <w:rPr>
                                <w:rFonts w:hint="eastAsia"/>
                                <w:lang w:val="en-US" w:eastAsia="zh-CN"/>
                              </w:rPr>
                              <w:t>声环境保护目标</w:t>
                            </w:r>
                          </w:p>
                          <w:p w14:paraId="437EB998">
                            <w:pPr>
                              <w:jc w:val="center"/>
                              <w:rPr>
                                <w:rFonts w:hint="default" w:eastAsia="宋体"/>
                                <w:lang w:val="en-US" w:eastAsia="zh-CN"/>
                              </w:rPr>
                            </w:pPr>
                            <w:r>
                              <w:rPr>
                                <w:rFonts w:hint="eastAsia"/>
                                <w:lang w:val="en-US" w:eastAsia="zh-CN"/>
                              </w:rPr>
                              <w:t>比例尺：1：2256</w:t>
                            </w:r>
                          </w:p>
                        </w:txbxContent>
                      </wps:txbx>
                      <wps:bodyPr upright="1"/>
                    </wps:wsp>
                  </a:graphicData>
                </a:graphic>
              </wp:anchor>
            </w:drawing>
          </mc:Choice>
          <mc:Fallback>
            <w:pict>
              <v:shape id="_x0000_s1026" o:spid="_x0000_s1026" o:spt="202" type="#_x0000_t202" style="position:absolute;left:0pt;margin-left:562.4pt;margin-top:303.7pt;height:89.5pt;width:122.55pt;z-index:251663360;mso-width-relative:page;mso-height-relative:page;" fillcolor="#FFFFFF" filled="t" stroked="t" coordsize="21600,21600" o:gfxdata="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2jvOtsAAAANAQAADwAAAAAAAAAB&#10;ACAAAAAiAAAAZHJzL2Rvd25yZXYueG1sUEsBAhQAFAAAAAgAh07iQFlM3vkNAgAANwQAAA4AAAAA&#10;AAAAAQAgAAAAKgEAAGRycy9lMm9Eb2MueG1sUEsFBgAAAAAGAAYAWQEAAKkFAAAAAA==&#10;">
                <v:fill on="t" focussize="0,0"/>
                <v:stroke color="#000000 [3213]" joinstyle="miter"/>
                <v:imagedata o:title=""/>
                <o:lock v:ext="edit" aspectratio="f"/>
                <v:textbox>
                  <w:txbxContent>
                    <w:p w14:paraId="3BD3D4AE">
                      <w:pPr>
                        <w:jc w:val="center"/>
                      </w:pPr>
                      <w:r>
                        <w:rPr>
                          <w:rFonts w:hint="eastAsia"/>
                        </w:rPr>
                        <w:t>图  例</w:t>
                      </w:r>
                    </w:p>
                    <w:p w14:paraId="0F85349D">
                      <w:pPr>
                        <w:ind w:firstLine="420" w:firstLineChars="200"/>
                        <w:jc w:val="both"/>
                      </w:pPr>
                      <w:r>
                        <w:rPr>
                          <w:rFonts w:hint="eastAsia"/>
                        </w:rPr>
                        <w:t>项目位置</w:t>
                      </w:r>
                    </w:p>
                    <w:p w14:paraId="2DDFD281">
                      <w:pPr>
                        <w:ind w:firstLine="420" w:firstLineChars="200"/>
                        <w:jc w:val="both"/>
                      </w:pPr>
                      <w:r>
                        <w:rPr>
                          <w:rFonts w:hint="eastAsia"/>
                        </w:rPr>
                        <w:t>声环境保护范围</w:t>
                      </w:r>
                    </w:p>
                    <w:p w14:paraId="4265E5D1">
                      <w:pPr>
                        <w:ind w:firstLine="420" w:firstLineChars="200"/>
                        <w:jc w:val="both"/>
                        <w:rPr>
                          <w:rFonts w:hint="eastAsia"/>
                          <w:lang w:val="en-US" w:eastAsia="zh-CN"/>
                        </w:rPr>
                      </w:pPr>
                      <w:r>
                        <w:rPr>
                          <w:rFonts w:hint="eastAsia"/>
                          <w:lang w:val="en-US" w:eastAsia="zh-CN"/>
                        </w:rPr>
                        <w:t>声环境保护目标</w:t>
                      </w:r>
                    </w:p>
                    <w:p w14:paraId="437EB998">
                      <w:pPr>
                        <w:jc w:val="center"/>
                        <w:rPr>
                          <w:rFonts w:hint="default" w:eastAsia="宋体"/>
                          <w:lang w:val="en-US" w:eastAsia="zh-CN"/>
                        </w:rPr>
                      </w:pPr>
                      <w:r>
                        <w:rPr>
                          <w:rFonts w:hint="eastAsia"/>
                          <w:lang w:val="en-US" w:eastAsia="zh-CN"/>
                        </w:rPr>
                        <w:t>比例尺：1：2256</w:t>
                      </w:r>
                    </w:p>
                  </w:txbxContent>
                </v:textbox>
              </v:shape>
            </w:pict>
          </mc:Fallback>
        </mc:AlternateContent>
      </w:r>
      <w:bookmarkStart w:id="12" w:name="_Toc30150"/>
      <w:r>
        <w:rPr>
          <w:rStyle w:val="139"/>
          <w:rFonts w:hint="default" w:ascii="Times New Roman" w:hAnsi="Times New Roman" w:eastAsia="宋体" w:cs="Times New Roman"/>
          <w:sz w:val="21"/>
          <w:szCs w:val="21"/>
          <w:lang w:val="en-US" w:eastAsia="zh-CN"/>
        </w:rPr>
        <w:t>附图2声环境保护目标分布图</w:t>
      </w:r>
    </w:p>
    <w:p w14:paraId="2E2476F9">
      <w:pPr>
        <w:keepNext w:val="0"/>
        <w:keepLines w:val="0"/>
        <w:pageBreakBefore w:val="0"/>
        <w:widowControl w:val="0"/>
        <w:kinsoku/>
        <w:wordWrap/>
        <w:overflowPunct/>
        <w:topLinePunct w:val="0"/>
        <w:autoSpaceDE/>
        <w:autoSpaceDN/>
        <w:bidi w:val="0"/>
        <w:adjustRightInd w:val="0"/>
        <w:snapToGrid w:val="0"/>
        <w:jc w:val="center"/>
        <w:textAlignment w:val="auto"/>
        <w:rPr>
          <w:rStyle w:val="139"/>
          <w:rFonts w:hint="eastAsia"/>
        </w:rPr>
      </w:pPr>
      <w:r>
        <w:rPr>
          <w:rFonts w:hint="default" w:ascii="Times New Roman" w:hAnsi="Times New Roman" w:eastAsia="宋体" w:cs="Times New Roman"/>
          <w:b/>
          <w:bCs/>
          <w:color w:val="auto"/>
          <w:kern w:val="44"/>
          <w:sz w:val="21"/>
          <w:szCs w:val="21"/>
          <w:highlight w:val="none"/>
          <w:lang w:val="en-US" w:eastAsia="zh-CN" w:bidi="ar-SA"/>
        </w:rPr>
        <w:drawing>
          <wp:anchor distT="0" distB="0" distL="114300" distR="114300" simplePos="0" relativeHeight="251691008" behindDoc="0" locked="0" layoutInCell="1" allowOverlap="1">
            <wp:simplePos x="0" y="0"/>
            <wp:positionH relativeFrom="column">
              <wp:posOffset>7884160</wp:posOffset>
            </wp:positionH>
            <wp:positionV relativeFrom="paragraph">
              <wp:posOffset>5080</wp:posOffset>
            </wp:positionV>
            <wp:extent cx="799465" cy="741045"/>
            <wp:effectExtent l="0" t="0" r="635" b="1905"/>
            <wp:wrapNone/>
            <wp:docPr id="72"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 descr="鸡西风玫瑰"/>
                    <pic:cNvPicPr>
                      <a:picLocks noChangeAspect="1"/>
                    </pic:cNvPicPr>
                  </pic:nvPicPr>
                  <pic:blipFill>
                    <a:blip r:embed="rId73"/>
                    <a:stretch>
                      <a:fillRect/>
                    </a:stretch>
                  </pic:blipFill>
                  <pic:spPr>
                    <a:xfrm>
                      <a:off x="0" y="0"/>
                      <a:ext cx="799465" cy="741045"/>
                    </a:xfrm>
                    <a:prstGeom prst="rect">
                      <a:avLst/>
                    </a:prstGeom>
                    <a:noFill/>
                    <a:ln>
                      <a:noFill/>
                    </a:ln>
                  </pic:spPr>
                </pic:pic>
              </a:graphicData>
            </a:graphic>
          </wp:anchor>
        </w:drawing>
      </w:r>
      <w:r>
        <w:rPr>
          <w:rFonts w:hint="default" w:ascii="Times New Roman" w:hAnsi="Times New Roman" w:eastAsia="宋体" w:cs="Times New Roman"/>
          <w:b/>
          <w:bCs/>
          <w:color w:val="auto"/>
          <w:kern w:val="44"/>
          <w:sz w:val="21"/>
          <w:szCs w:val="21"/>
          <w:highlight w:val="none"/>
          <w:lang w:val="en-US" w:eastAsia="zh-CN" w:bidi="ar-SA"/>
        </w:rPr>
        <mc:AlternateContent>
          <mc:Choice Requires="wps">
            <w:drawing>
              <wp:anchor distT="0" distB="0" distL="114300" distR="114300" simplePos="0" relativeHeight="251703296" behindDoc="0" locked="0" layoutInCell="1" allowOverlap="1">
                <wp:simplePos x="0" y="0"/>
                <wp:positionH relativeFrom="column">
                  <wp:posOffset>3427095</wp:posOffset>
                </wp:positionH>
                <wp:positionV relativeFrom="paragraph">
                  <wp:posOffset>2145030</wp:posOffset>
                </wp:positionV>
                <wp:extent cx="504825" cy="238125"/>
                <wp:effectExtent l="0" t="0" r="0" b="0"/>
                <wp:wrapNone/>
                <wp:docPr id="126" name="文本框 126"/>
                <wp:cNvGraphicFramePr/>
                <a:graphic xmlns:a="http://schemas.openxmlformats.org/drawingml/2006/main">
                  <a:graphicData uri="http://schemas.microsoft.com/office/word/2010/wordprocessingShape">
                    <wps:wsp>
                      <wps:cNvSpPr txBox="1"/>
                      <wps:spPr>
                        <a:xfrm rot="21300000">
                          <a:off x="0" y="0"/>
                          <a:ext cx="50482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613F7E">
                            <w:pPr>
                              <w:rPr>
                                <w:rFonts w:hint="default" w:eastAsia="宋体"/>
                                <w:sz w:val="18"/>
                                <w:szCs w:val="18"/>
                                <w:lang w:val="en-US" w:eastAsia="zh-CN"/>
                              </w:rPr>
                            </w:pPr>
                            <w:r>
                              <w:rPr>
                                <w:rFonts w:hint="eastAsia"/>
                                <w:sz w:val="18"/>
                                <w:szCs w:val="18"/>
                                <w:lang w:val="en-US" w:eastAsia="zh-CN"/>
                              </w:rPr>
                              <w:t>15m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9.85pt;margin-top:168.9pt;height:18.75pt;width:39.75pt;rotation:-327680f;z-index:251703296;mso-width-relative:page;mso-height-relative:page;" filled="f" stroked="f" coordsize="21600,21600" o:gfxdata="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dZBdzbAAAACwEAAA8AAAAAAAAAAQAg&#10;AAAAIgAAAGRycy9kb3ducmV2LnhtbFBLAQIUABQAAAAIAIdO4kDnv8MnRAIAAHgEAAAOAAAAAAAA&#10;AAEAIAAAACoBAABkcnMvZTJvRG9jLnhtbFBLBQYAAAAABgAGAFkBAADgBQAAAAA=&#10;">
                <v:fill on="f" focussize="0,0"/>
                <v:stroke on="f" weight="0.5pt"/>
                <v:imagedata o:title=""/>
                <o:lock v:ext="edit" aspectratio="f"/>
                <v:textbox>
                  <w:txbxContent>
                    <w:p w14:paraId="07613F7E">
                      <w:pPr>
                        <w:rPr>
                          <w:rFonts w:hint="default" w:eastAsia="宋体"/>
                          <w:sz w:val="18"/>
                          <w:szCs w:val="18"/>
                          <w:lang w:val="en-US" w:eastAsia="zh-CN"/>
                        </w:rPr>
                      </w:pPr>
                      <w:r>
                        <w:rPr>
                          <w:rFonts w:hint="eastAsia"/>
                          <w:sz w:val="18"/>
                          <w:szCs w:val="18"/>
                          <w:lang w:val="en-US" w:eastAsia="zh-CN"/>
                        </w:rPr>
                        <w:t>15m</w:t>
                      </w:r>
                    </w:p>
                  </w:txbxContent>
                </v:textbox>
              </v:shape>
            </w:pict>
          </mc:Fallback>
        </mc:AlternateContent>
      </w:r>
      <w:r>
        <w:rPr>
          <w:rFonts w:hint="default" w:ascii="Times New Roman" w:hAnsi="Times New Roman" w:eastAsia="宋体" w:cs="Times New Roman"/>
          <w:b/>
          <w:bCs/>
          <w:color w:val="auto"/>
          <w:kern w:val="44"/>
          <w:sz w:val="21"/>
          <w:szCs w:val="21"/>
          <w:highlight w:val="none"/>
          <w:lang w:val="en-US" w:eastAsia="zh-CN" w:bidi="ar-SA"/>
        </w:rPr>
        <mc:AlternateContent>
          <mc:Choice Requires="wps">
            <w:drawing>
              <wp:anchor distT="0" distB="0" distL="114300" distR="114300" simplePos="0" relativeHeight="251702272" behindDoc="0" locked="0" layoutInCell="1" allowOverlap="1">
                <wp:simplePos x="0" y="0"/>
                <wp:positionH relativeFrom="column">
                  <wp:posOffset>3589655</wp:posOffset>
                </wp:positionH>
                <wp:positionV relativeFrom="paragraph">
                  <wp:posOffset>2343150</wp:posOffset>
                </wp:positionV>
                <wp:extent cx="189865" cy="79375"/>
                <wp:effectExtent l="0" t="5715" r="635" b="10160"/>
                <wp:wrapNone/>
                <wp:docPr id="127" name="直接箭头连接符 127"/>
                <wp:cNvGraphicFramePr/>
                <a:graphic xmlns:a="http://schemas.openxmlformats.org/drawingml/2006/main">
                  <a:graphicData uri="http://schemas.microsoft.com/office/word/2010/wordprocessingShape">
                    <wps:wsp>
                      <wps:cNvCnPr/>
                      <wps:spPr>
                        <a:xfrm flipV="1">
                          <a:off x="0" y="0"/>
                          <a:ext cx="189865" cy="79375"/>
                        </a:xfrm>
                        <a:prstGeom prst="straightConnector1">
                          <a:avLst/>
                        </a:prstGeom>
                        <a:ln w="12700">
                          <a:solidFill>
                            <a:schemeClr val="tx1"/>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82.65pt;margin-top:184.5pt;height:6.25pt;width:14.95pt;z-index:251702272;mso-width-relative:page;mso-height-relative:page;" filled="f" stroked="t" coordsize="21600,21600" o:gfxdata="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mBldq2gAAAAsBAAAP&#10;AAAAAAAAAAEAIAAAACIAAABkcnMvZG93bnJldi54bWxQSwECFAAUAAAACACHTuJA0gQ+TBYCAAAc&#10;BAAADgAAAAAAAAABACAAAAApAQAAZHJzL2Uyb0RvYy54bWxQSwUGAAAAAAYABgBZAQAAsQUAAAAA&#10;">
                <v:fill on="f" focussize="0,0"/>
                <v:stroke weight="1pt" color="#000000 [3213]" joinstyle="round" startarrow="block" endarrow="block"/>
                <v:imagedata o:title=""/>
                <o:lock v:ext="edit" aspectratio="f"/>
              </v:shape>
            </w:pict>
          </mc:Fallback>
        </mc:AlternateContent>
      </w:r>
      <w:r>
        <w:rPr>
          <w:rStyle w:val="139"/>
          <w:rFonts w:hint="eastAsia" w:ascii="宋体" w:hAnsi="宋体" w:eastAsia="宋体" w:cs="宋体"/>
          <w:sz w:val="21"/>
          <w:szCs w:val="21"/>
          <w:lang w:val="en-US" w:eastAsia="zh-CN"/>
        </w:rPr>
        <mc:AlternateContent>
          <mc:Choice Requires="wps">
            <w:drawing>
              <wp:anchor distT="0" distB="0" distL="114300" distR="114300" simplePos="0" relativeHeight="251706368" behindDoc="0" locked="0" layoutInCell="1" allowOverlap="1">
                <wp:simplePos x="0" y="0"/>
                <wp:positionH relativeFrom="column">
                  <wp:posOffset>3171190</wp:posOffset>
                </wp:positionH>
                <wp:positionV relativeFrom="paragraph">
                  <wp:posOffset>2720340</wp:posOffset>
                </wp:positionV>
                <wp:extent cx="796925" cy="335280"/>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796925" cy="3352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42928E">
                            <w:pPr>
                              <w:rPr>
                                <w:rFonts w:hint="default" w:eastAsia="宋体"/>
                                <w:sz w:val="18"/>
                                <w:szCs w:val="18"/>
                                <w:lang w:val="en-US" w:eastAsia="zh-CN"/>
                              </w:rPr>
                            </w:pPr>
                            <w:r>
                              <w:rPr>
                                <w:rFonts w:hint="eastAsia"/>
                                <w:sz w:val="18"/>
                                <w:szCs w:val="18"/>
                                <w:lang w:val="en-US" w:eastAsia="zh-CN"/>
                              </w:rPr>
                              <w:t>发展村五组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9.7pt;margin-top:214.2pt;height:26.4pt;width:62.75pt;z-index:251706368;mso-width-relative:page;mso-height-relative:page;" filled="f" stroked="f" coordsize="21600,21600" o:gfxdata="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PmOrvbAAAACwEAAA8AAAAAAAAAAQAgAAAAIgAA&#10;AGRycy9kb3ducmV2LnhtbFBLAQIUABQAAAAIAIdO4kAMLdG/PgIAAGkEAAAOAAAAAAAAAAEAIAAA&#10;ACoBAABkcnMvZTJvRG9jLnhtbFBLBQYAAAAABgAGAFkBAADaBQAAAAA=&#10;">
                <v:fill on="f" focussize="0,0"/>
                <v:stroke on="f" weight="0.5pt"/>
                <v:imagedata o:title=""/>
                <o:lock v:ext="edit" aspectratio="f"/>
                <v:textbox>
                  <w:txbxContent>
                    <w:p w14:paraId="3442928E">
                      <w:pPr>
                        <w:rPr>
                          <w:rFonts w:hint="default" w:eastAsia="宋体"/>
                          <w:sz w:val="18"/>
                          <w:szCs w:val="18"/>
                          <w:lang w:val="en-US" w:eastAsia="zh-CN"/>
                        </w:rPr>
                      </w:pPr>
                      <w:r>
                        <w:rPr>
                          <w:rFonts w:hint="eastAsia"/>
                          <w:sz w:val="18"/>
                          <w:szCs w:val="18"/>
                          <w:lang w:val="en-US" w:eastAsia="zh-CN"/>
                        </w:rPr>
                        <w:t>发展村五组</w:t>
                      </w:r>
                    </w:p>
                  </w:txbxContent>
                </v:textbox>
              </v:shape>
            </w:pict>
          </mc:Fallback>
        </mc:AlternateContent>
      </w:r>
      <w:r>
        <w:rPr>
          <w:rStyle w:val="139"/>
          <w:rFonts w:hint="eastAsia" w:ascii="宋体" w:hAnsi="宋体" w:eastAsia="宋体" w:cs="宋体"/>
          <w:sz w:val="21"/>
          <w:szCs w:val="21"/>
          <w:lang w:val="en-US" w:eastAsia="zh-CN"/>
        </w:rPr>
        <mc:AlternateContent>
          <mc:Choice Requires="wps">
            <w:drawing>
              <wp:anchor distT="0" distB="0" distL="114300" distR="114300" simplePos="0" relativeHeight="251708416" behindDoc="0" locked="0" layoutInCell="1" allowOverlap="1">
                <wp:simplePos x="0" y="0"/>
                <wp:positionH relativeFrom="column">
                  <wp:posOffset>3780790</wp:posOffset>
                </wp:positionH>
                <wp:positionV relativeFrom="paragraph">
                  <wp:posOffset>3434715</wp:posOffset>
                </wp:positionV>
                <wp:extent cx="787400" cy="316230"/>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787400" cy="3162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551875">
                            <w:pPr>
                              <w:rPr>
                                <w:rFonts w:hint="default" w:eastAsia="宋体"/>
                                <w:sz w:val="18"/>
                                <w:szCs w:val="18"/>
                                <w:lang w:val="en-US" w:eastAsia="zh-CN"/>
                              </w:rPr>
                            </w:pPr>
                            <w:r>
                              <w:rPr>
                                <w:rFonts w:hint="eastAsia"/>
                                <w:sz w:val="18"/>
                                <w:szCs w:val="18"/>
                                <w:lang w:val="en-US" w:eastAsia="zh-CN"/>
                              </w:rPr>
                              <w:t>发展村五组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7.7pt;margin-top:270.45pt;height:24.9pt;width:62pt;z-index:251708416;mso-width-relative:page;mso-height-relative:page;" filled="f" stroked="f" coordsize="21600,21600" o:gfxdata="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g2b6NsAAAALAQAADwAAAAAAAAABACAAAAAiAAAA&#10;ZHJzL2Rvd25yZXYueG1sUEsBAhQAFAAAAAgAh07iQDDQmew9AgAAaQQAAA4AAAAAAAAAAQAgAAAA&#10;KgEAAGRycy9lMm9Eb2MueG1sUEsFBgAAAAAGAAYAWQEAANkFAAAAAA==&#10;">
                <v:fill on="f" focussize="0,0"/>
                <v:stroke on="f" weight="0.5pt"/>
                <v:imagedata o:title=""/>
                <o:lock v:ext="edit" aspectratio="f"/>
                <v:textbox>
                  <w:txbxContent>
                    <w:p w14:paraId="1A551875">
                      <w:pPr>
                        <w:rPr>
                          <w:rFonts w:hint="default" w:eastAsia="宋体"/>
                          <w:sz w:val="18"/>
                          <w:szCs w:val="18"/>
                          <w:lang w:val="en-US" w:eastAsia="zh-CN"/>
                        </w:rPr>
                      </w:pPr>
                      <w:r>
                        <w:rPr>
                          <w:rFonts w:hint="eastAsia"/>
                          <w:sz w:val="18"/>
                          <w:szCs w:val="18"/>
                          <w:lang w:val="en-US" w:eastAsia="zh-CN"/>
                        </w:rPr>
                        <w:t>发展村五组</w:t>
                      </w:r>
                    </w:p>
                  </w:txbxContent>
                </v:textbox>
              </v:shape>
            </w:pict>
          </mc:Fallback>
        </mc:AlternateContent>
      </w:r>
      <w:r>
        <w:drawing>
          <wp:inline distT="0" distB="0" distL="114300" distR="114300">
            <wp:extent cx="8709660" cy="5043170"/>
            <wp:effectExtent l="0" t="0" r="15240" b="5080"/>
            <wp:docPr id="10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4"/>
                    <pic:cNvPicPr>
                      <a:picLocks noChangeAspect="1"/>
                    </pic:cNvPicPr>
                  </pic:nvPicPr>
                  <pic:blipFill>
                    <a:blip r:embed="rId76"/>
                    <a:stretch>
                      <a:fillRect/>
                    </a:stretch>
                  </pic:blipFill>
                  <pic:spPr>
                    <a:xfrm>
                      <a:off x="0" y="0"/>
                      <a:ext cx="8709660" cy="5043170"/>
                    </a:xfrm>
                    <a:prstGeom prst="rect">
                      <a:avLst/>
                    </a:prstGeom>
                    <a:noFill/>
                    <a:ln>
                      <a:noFill/>
                    </a:ln>
                  </pic:spPr>
                </pic:pic>
              </a:graphicData>
            </a:graphic>
          </wp:inline>
        </w:drawing>
      </w:r>
      <w:r>
        <w:rPr>
          <w:rStyle w:val="139"/>
          <w:rFonts w:hint="eastAsia" w:ascii="宋体" w:hAnsi="宋体" w:eastAsia="宋体" w:cs="宋体"/>
          <w:sz w:val="21"/>
          <w:szCs w:val="21"/>
          <w:lang w:val="en-US" w:eastAsia="zh-CN"/>
        </w:rPr>
        <mc:AlternateContent>
          <mc:Choice Requires="wps">
            <w:drawing>
              <wp:anchor distT="0" distB="0" distL="114300" distR="114300" simplePos="0" relativeHeight="251707392" behindDoc="0" locked="0" layoutInCell="1" allowOverlap="1">
                <wp:simplePos x="0" y="0"/>
                <wp:positionH relativeFrom="column">
                  <wp:posOffset>5438140</wp:posOffset>
                </wp:positionH>
                <wp:positionV relativeFrom="paragraph">
                  <wp:posOffset>2891790</wp:posOffset>
                </wp:positionV>
                <wp:extent cx="598170" cy="31623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598170" cy="3162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804BCE">
                            <w:pPr>
                              <w:rPr>
                                <w:rFonts w:hint="default" w:eastAsia="宋体"/>
                                <w:sz w:val="18"/>
                                <w:szCs w:val="18"/>
                                <w:lang w:val="en-US" w:eastAsia="zh-CN"/>
                              </w:rPr>
                            </w:pPr>
                            <w:r>
                              <w:rPr>
                                <w:rFonts w:hint="eastAsia"/>
                                <w:sz w:val="18"/>
                                <w:szCs w:val="18"/>
                                <w:lang w:val="en-US" w:eastAsia="zh-CN"/>
                              </w:rPr>
                              <w:t>岭西屯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8.2pt;margin-top:227.7pt;height:24.9pt;width:47.1pt;z-index:251707392;mso-width-relative:page;mso-height-relative:page;" filled="f" stroked="f" coordsize="21600,21600" o:gfxdata="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MvhKdsAAAALAQAADwAAAAAAAAABACAAAAAiAAAA&#10;ZHJzL2Rvd25yZXYueG1sUEsBAhQAFAAAAAgAh07iQG6zJic9AgAAaQQAAA4AAAAAAAAAAQAgAAAA&#10;KgEAAGRycy9lMm9Eb2MueG1sUEsFBgAAAAAGAAYAWQEAANkFAAAAAA==&#10;">
                <v:fill on="f" focussize="0,0"/>
                <v:stroke on="f" weight="0.5pt"/>
                <v:imagedata o:title=""/>
                <o:lock v:ext="edit" aspectratio="f"/>
                <v:textbox>
                  <w:txbxContent>
                    <w:p w14:paraId="12804BCE">
                      <w:pPr>
                        <w:rPr>
                          <w:rFonts w:hint="default" w:eastAsia="宋体"/>
                          <w:sz w:val="18"/>
                          <w:szCs w:val="18"/>
                          <w:lang w:val="en-US" w:eastAsia="zh-CN"/>
                        </w:rPr>
                      </w:pPr>
                      <w:r>
                        <w:rPr>
                          <w:rFonts w:hint="eastAsia"/>
                          <w:sz w:val="18"/>
                          <w:szCs w:val="18"/>
                          <w:lang w:val="en-US" w:eastAsia="zh-CN"/>
                        </w:rPr>
                        <w:t>岭西屯</w:t>
                      </w:r>
                    </w:p>
                  </w:txbxContent>
                </v:textbox>
              </v:shape>
            </w:pict>
          </mc:Fallback>
        </mc:AlternateContent>
      </w:r>
      <w:r>
        <w:rPr>
          <w:rStyle w:val="139"/>
          <w:rFonts w:hint="eastAsia" w:ascii="宋体" w:hAnsi="宋体" w:eastAsia="宋体" w:cs="宋体"/>
          <w:sz w:val="21"/>
          <w:szCs w:val="21"/>
          <w:lang w:val="en-US" w:eastAsia="zh-CN"/>
        </w:rPr>
        <mc:AlternateContent>
          <mc:Choice Requires="wps">
            <w:drawing>
              <wp:anchor distT="0" distB="0" distL="114300" distR="114300" simplePos="0" relativeHeight="251705344" behindDoc="0" locked="0" layoutInCell="1" allowOverlap="1">
                <wp:simplePos x="0" y="0"/>
                <wp:positionH relativeFrom="column">
                  <wp:posOffset>4789170</wp:posOffset>
                </wp:positionH>
                <wp:positionV relativeFrom="paragraph">
                  <wp:posOffset>2535555</wp:posOffset>
                </wp:positionV>
                <wp:extent cx="504825" cy="238125"/>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50482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3A4A12">
                            <w:pPr>
                              <w:rPr>
                                <w:rFonts w:hint="default" w:eastAsia="宋体"/>
                                <w:sz w:val="18"/>
                                <w:szCs w:val="18"/>
                                <w:lang w:val="en-US" w:eastAsia="zh-CN"/>
                              </w:rPr>
                            </w:pPr>
                            <w:r>
                              <w:rPr>
                                <w:rFonts w:hint="eastAsia"/>
                                <w:sz w:val="18"/>
                                <w:szCs w:val="18"/>
                                <w:lang w:val="en-US" w:eastAsia="zh-CN"/>
                              </w:rPr>
                              <w:t>430m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7.1pt;margin-top:199.65pt;height:18.75pt;width:39.75pt;z-index:251705344;mso-width-relative:page;mso-height-relative:page;" filled="f" stroked="f" coordsize="21600,21600" o:gfxdata="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JImNzdAAAACwEAAA8AAAAAAAAAAQAgAAAAIgAA&#10;AGRycy9kb3ducmV2LnhtbFBLAQIUABQAAAAIAIdO4kBf53Z7PAIAAGkEAAAOAAAAAAAAAAEAIAAA&#10;ACwBAABkcnMvZTJvRG9jLnhtbFBLBQYAAAAABgAGAFkBAADaBQAAAAA=&#10;">
                <v:fill on="f" focussize="0,0"/>
                <v:stroke on="f" weight="0.5pt"/>
                <v:imagedata o:title=""/>
                <o:lock v:ext="edit" aspectratio="f"/>
                <v:textbox>
                  <w:txbxContent>
                    <w:p w14:paraId="283A4A12">
                      <w:pPr>
                        <w:rPr>
                          <w:rFonts w:hint="default" w:eastAsia="宋体"/>
                          <w:sz w:val="18"/>
                          <w:szCs w:val="18"/>
                          <w:lang w:val="en-US" w:eastAsia="zh-CN"/>
                        </w:rPr>
                      </w:pPr>
                      <w:r>
                        <w:rPr>
                          <w:rFonts w:hint="eastAsia"/>
                          <w:sz w:val="18"/>
                          <w:szCs w:val="18"/>
                          <w:lang w:val="en-US" w:eastAsia="zh-CN"/>
                        </w:rPr>
                        <w:t>430m</w:t>
                      </w:r>
                    </w:p>
                  </w:txbxContent>
                </v:textbox>
              </v:shape>
            </w:pict>
          </mc:Fallback>
        </mc:AlternateContent>
      </w:r>
      <w:r>
        <w:rPr>
          <w:rStyle w:val="139"/>
          <w:rFonts w:hint="eastAsia" w:ascii="宋体" w:hAnsi="宋体" w:eastAsia="宋体" w:cs="宋体"/>
          <w:sz w:val="21"/>
          <w:szCs w:val="21"/>
          <w:lang w:val="en-US" w:eastAsia="zh-CN"/>
        </w:rPr>
        <mc:AlternateContent>
          <mc:Choice Requires="wps">
            <w:drawing>
              <wp:anchor distT="0" distB="0" distL="114300" distR="114300" simplePos="0" relativeHeight="251704320" behindDoc="0" locked="0" layoutInCell="1" allowOverlap="1">
                <wp:simplePos x="0" y="0"/>
                <wp:positionH relativeFrom="column">
                  <wp:posOffset>4142105</wp:posOffset>
                </wp:positionH>
                <wp:positionV relativeFrom="paragraph">
                  <wp:posOffset>2340610</wp:posOffset>
                </wp:positionV>
                <wp:extent cx="1323340" cy="707390"/>
                <wp:effectExtent l="0" t="0" r="10160" b="16510"/>
                <wp:wrapNone/>
                <wp:docPr id="128" name="直接箭头连接符 128"/>
                <wp:cNvGraphicFramePr/>
                <a:graphic xmlns:a="http://schemas.openxmlformats.org/drawingml/2006/main">
                  <a:graphicData uri="http://schemas.microsoft.com/office/word/2010/wordprocessingShape">
                    <wps:wsp>
                      <wps:cNvCnPr/>
                      <wps:spPr>
                        <a:xfrm>
                          <a:off x="0" y="0"/>
                          <a:ext cx="1323340" cy="707390"/>
                        </a:xfrm>
                        <a:prstGeom prst="straightConnector1">
                          <a:avLst/>
                        </a:prstGeom>
                        <a:ln w="12700">
                          <a:solidFill>
                            <a:schemeClr val="tx1"/>
                          </a:solidFill>
                          <a:headEnd type="triangle" w="med" len="med"/>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26.15pt;margin-top:184.3pt;height:55.7pt;width:104.2pt;z-index:251704320;mso-width-relative:page;mso-height-relative:page;" filled="f" stroked="t" coordsize="21600,21600" o:gfxdata="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eXsnjd4AAAALAQAADwAA&#10;AAAAAAABACAAAAAiAAAAZHJzL2Rvd25yZXYueG1sUEsBAhQAFAAAAAgAh07iQGa0IYIQAgAAFAQA&#10;AA4AAAAAAAAAAQAgAAAALQEAAGRycy9lMm9Eb2MueG1sUEsFBgAAAAAGAAYAWQEAAK8FAAAAAA==&#10;">
                <v:fill on="f" focussize="0,0"/>
                <v:stroke weight="1pt" color="#000000 [3213]" joinstyle="round" startarrow="block" endarrow="block"/>
                <v:imagedata o:title=""/>
                <o:lock v:ext="edit" aspectratio="f"/>
              </v:shape>
            </w:pict>
          </mc:Fallback>
        </mc:AlternateContent>
      </w:r>
      <w:r>
        <w:rPr>
          <w:rFonts w:hint="default" w:ascii="Times New Roman" w:hAnsi="Times New Roman" w:eastAsia="宋体" w:cs="Times New Roman"/>
          <w:b/>
          <w:bCs/>
          <w:color w:val="auto"/>
          <w:kern w:val="44"/>
          <w:sz w:val="21"/>
          <w:szCs w:val="21"/>
          <w:highlight w:val="none"/>
          <w:lang w:val="en-US" w:eastAsia="zh-CN" w:bidi="ar-SA"/>
        </w:rPr>
        <mc:AlternateContent>
          <mc:Choice Requires="wps">
            <w:drawing>
              <wp:anchor distT="0" distB="0" distL="114300" distR="114300" simplePos="0" relativeHeight="251680768" behindDoc="0" locked="0" layoutInCell="1" allowOverlap="1">
                <wp:simplePos x="0" y="0"/>
                <wp:positionH relativeFrom="column">
                  <wp:posOffset>7226300</wp:posOffset>
                </wp:positionH>
                <wp:positionV relativeFrom="paragraph">
                  <wp:posOffset>4356735</wp:posOffset>
                </wp:positionV>
                <wp:extent cx="158750" cy="119380"/>
                <wp:effectExtent l="12700" t="12700" r="19050" b="20320"/>
                <wp:wrapNone/>
                <wp:docPr id="90" name="矩形 90"/>
                <wp:cNvGraphicFramePr/>
                <a:graphic xmlns:a="http://schemas.openxmlformats.org/drawingml/2006/main">
                  <a:graphicData uri="http://schemas.microsoft.com/office/word/2010/wordprocessingShape">
                    <wps:wsp>
                      <wps:cNvSpPr/>
                      <wps:spPr>
                        <a:xfrm>
                          <a:off x="0" y="0"/>
                          <a:ext cx="158750" cy="11938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9pt;margin-top:343.05pt;height:9.4pt;width:12.5pt;z-index:251680768;v-text-anchor:middle;mso-width-relative:page;mso-height-relative:page;" filled="f" stroked="t" coordsize="21600,21600" o:gfxdata="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XFv2mNkAAAANAQAADwAAAAAAAAABACAAAAAiAAAAZHJzL2Rvd25yZXYueG1sUEsBAhQAFAAAAAgA&#10;h07iQGtpMGRdAgAAtQQAAA4AAAAAAAAAAQAgAAAAKAEAAGRycy9lMm9Eb2MueG1sUEsFBgAAAAAG&#10;AAYAWQEAAPcFAAAAAA==&#10;">
                <v:fill on="f" focussize="0,0"/>
                <v:stroke weight="2pt" color="#FFFF00 [2404]" joinstyle="round"/>
                <v:imagedata o:title=""/>
                <o:lock v:ext="edit" aspectratio="f"/>
              </v:rect>
            </w:pict>
          </mc:Fallback>
        </mc:AlternateContent>
      </w:r>
      <w:r>
        <w:rPr>
          <w:rFonts w:hint="default" w:ascii="Times New Roman" w:hAnsi="Times New Roman" w:eastAsia="宋体" w:cs="Times New Roman"/>
          <w:b/>
          <w:bCs/>
          <w:color w:val="auto"/>
          <w:kern w:val="44"/>
          <w:sz w:val="21"/>
          <w:szCs w:val="21"/>
          <w:highlight w:val="none"/>
          <w:lang w:val="en-US" w:eastAsia="zh-CN" w:bidi="ar-SA"/>
        </w:rPr>
        <mc:AlternateContent>
          <mc:Choice Requires="wps">
            <w:drawing>
              <wp:anchor distT="0" distB="0" distL="114300" distR="114300" simplePos="0" relativeHeight="251681792" behindDoc="0" locked="0" layoutInCell="1" allowOverlap="1">
                <wp:simplePos x="0" y="0"/>
                <wp:positionH relativeFrom="column">
                  <wp:posOffset>7226300</wp:posOffset>
                </wp:positionH>
                <wp:positionV relativeFrom="paragraph">
                  <wp:posOffset>4547870</wp:posOffset>
                </wp:positionV>
                <wp:extent cx="158750" cy="119380"/>
                <wp:effectExtent l="12700" t="12700" r="19050" b="20320"/>
                <wp:wrapNone/>
                <wp:docPr id="91" name="矩形 91"/>
                <wp:cNvGraphicFramePr/>
                <a:graphic xmlns:a="http://schemas.openxmlformats.org/drawingml/2006/main">
                  <a:graphicData uri="http://schemas.microsoft.com/office/word/2010/wordprocessingShape">
                    <wps:wsp>
                      <wps:cNvSpPr/>
                      <wps:spPr>
                        <a:xfrm>
                          <a:off x="0" y="0"/>
                          <a:ext cx="158750" cy="119380"/>
                        </a:xfrm>
                        <a:prstGeom prst="rect">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9pt;margin-top:358.1pt;height:9.4pt;width:12.5pt;z-index:251681792;v-text-anchor:middle;mso-width-relative:page;mso-height-relative:page;" fillcolor="#FFFF00" filled="t" stroked="t" coordsize="21600,21600" o:gfxdata="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fnTJd9oAAAANAQAADwAAAAAAAAABACAAAAAiAAAAZHJzL2Rvd25yZXYueG1sUEsBAhQAFAAA&#10;AAgAh07iQDIoVTJfAgAA3gQAAA4AAAAAAAAAAQAgAAAAKQEAAGRycy9lMm9Eb2MueG1sUEsFBgAA&#10;AAAGAAYAWQEAAPoFAAAAAA==&#10;">
                <v:fill on="t" focussize="0,0"/>
                <v:stroke weight="2pt" color="#FFFF00 [2404]" joinstyle="round"/>
                <v:imagedata o:title=""/>
                <o:lock v:ext="edit" aspectratio="f"/>
              </v:rect>
            </w:pict>
          </mc:Fallback>
        </mc:AlternateContent>
      </w:r>
      <w:r>
        <w:rPr>
          <w:rFonts w:hint="default" w:ascii="Times New Roman" w:hAnsi="Times New Roman" w:eastAsia="宋体" w:cs="Times New Roman"/>
          <w:b/>
          <w:bCs/>
          <w:color w:val="auto"/>
          <w:kern w:val="44"/>
          <w:sz w:val="21"/>
          <w:szCs w:val="21"/>
          <w:highlight w:val="none"/>
          <w:lang w:val="en-US" w:eastAsia="zh-CN" w:bidi="ar-SA"/>
        </w:rPr>
        <mc:AlternateContent>
          <mc:Choice Requires="wps">
            <w:drawing>
              <wp:anchor distT="0" distB="0" distL="114300" distR="114300" simplePos="0" relativeHeight="251679744" behindDoc="0" locked="0" layoutInCell="1" allowOverlap="1">
                <wp:simplePos x="0" y="0"/>
                <wp:positionH relativeFrom="column">
                  <wp:posOffset>7226300</wp:posOffset>
                </wp:positionH>
                <wp:positionV relativeFrom="paragraph">
                  <wp:posOffset>4157345</wp:posOffset>
                </wp:positionV>
                <wp:extent cx="183515" cy="128270"/>
                <wp:effectExtent l="12700" t="12700" r="13335" b="30480"/>
                <wp:wrapNone/>
                <wp:docPr id="89" name="矩形 89"/>
                <wp:cNvGraphicFramePr/>
                <a:graphic xmlns:a="http://schemas.openxmlformats.org/drawingml/2006/main">
                  <a:graphicData uri="http://schemas.microsoft.com/office/word/2010/wordprocessingShape">
                    <wps:wsp>
                      <wps:cNvSpPr/>
                      <wps:spPr>
                        <a:xfrm>
                          <a:off x="0" y="0"/>
                          <a:ext cx="183515" cy="128270"/>
                        </a:xfrm>
                        <a:prstGeom prst="rect">
                          <a:avLst/>
                        </a:prstGeom>
                        <a:noFill/>
                        <a:ln>
                          <a:solidFill>
                            <a:srgbClr val="FC010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9pt;margin-top:327.35pt;height:10.1pt;width:14.45pt;z-index:251679744;v-text-anchor:middle;mso-width-relative:page;mso-height-relative:page;" filled="f" stroked="t" coordsize="21600,21600" o:gfxdata="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McuwbtwAAAANAQAADwAAAAAAAAABACAAAAAiAAAAZHJzL2Rvd25yZXYueG1sUEsBAhQA&#10;FAAAAAgAh07iQE8Ir/hgAgAAtQQAAA4AAAAAAAAAAQAgAAAAKwEAAGRycy9lMm9Eb2MueG1sUEsF&#10;BgAAAAAGAAYAWQEAAP0FAAAAAA==&#10;">
                <v:fill on="f" focussize="0,0"/>
                <v:stroke weight="2pt" color="#FC0101 [2404]" joinstyle="round"/>
                <v:imagedata o:title=""/>
                <o:lock v:ext="edit" aspectratio="f"/>
              </v:rect>
            </w:pict>
          </mc:Fallback>
        </mc:AlternateContent>
      </w:r>
      <w:r>
        <w:rPr>
          <w:rFonts w:hint="default" w:ascii="Times New Roman" w:hAnsi="Times New Roman" w:eastAsia="宋体" w:cs="Times New Roman"/>
          <w:b/>
          <w:bCs/>
          <w:color w:val="auto"/>
          <w:kern w:val="44"/>
          <w:sz w:val="21"/>
          <w:szCs w:val="21"/>
          <w:highlight w:val="none"/>
          <w:lang w:val="en-US" w:eastAsia="zh-CN" w:bidi="ar-SA"/>
        </w:rPr>
        <mc:AlternateContent>
          <mc:Choice Requires="wps">
            <w:drawing>
              <wp:anchor distT="0" distB="0" distL="114300" distR="114300" simplePos="0" relativeHeight="251678720" behindDoc="0" locked="0" layoutInCell="1" allowOverlap="1">
                <wp:simplePos x="0" y="0"/>
                <wp:positionH relativeFrom="column">
                  <wp:posOffset>7134225</wp:posOffset>
                </wp:positionH>
                <wp:positionV relativeFrom="paragraph">
                  <wp:posOffset>3875405</wp:posOffset>
                </wp:positionV>
                <wp:extent cx="1556385" cy="1136650"/>
                <wp:effectExtent l="4445" t="4445" r="20320" b="20955"/>
                <wp:wrapNone/>
                <wp:docPr id="88" name="文本框 88"/>
                <wp:cNvGraphicFramePr/>
                <a:graphic xmlns:a="http://schemas.openxmlformats.org/drawingml/2006/main">
                  <a:graphicData uri="http://schemas.microsoft.com/office/word/2010/wordprocessingShape">
                    <wps:wsp>
                      <wps:cNvSpPr txBox="1"/>
                      <wps:spPr>
                        <a:xfrm>
                          <a:off x="0" y="0"/>
                          <a:ext cx="1556385" cy="1136650"/>
                        </a:xfrm>
                        <a:prstGeom prst="rect">
                          <a:avLst/>
                        </a:prstGeom>
                        <a:solidFill>
                          <a:srgbClr val="FFFFFF"/>
                        </a:solidFill>
                        <a:ln w="9525" cap="flat" cmpd="sng">
                          <a:solidFill>
                            <a:schemeClr val="tx1"/>
                          </a:solidFill>
                          <a:prstDash val="solid"/>
                          <a:miter/>
                          <a:headEnd type="none" w="med" len="med"/>
                          <a:tailEnd type="none" w="med" len="med"/>
                        </a:ln>
                      </wps:spPr>
                      <wps:txbx>
                        <w:txbxContent>
                          <w:p w14:paraId="292847D1">
                            <w:pPr>
                              <w:jc w:val="center"/>
                            </w:pPr>
                            <w:r>
                              <w:rPr>
                                <w:rFonts w:hint="eastAsia"/>
                              </w:rPr>
                              <w:t>图  例</w:t>
                            </w:r>
                          </w:p>
                          <w:p w14:paraId="4836764A">
                            <w:pPr>
                              <w:ind w:firstLine="420" w:firstLineChars="200"/>
                              <w:jc w:val="both"/>
                            </w:pPr>
                            <w:r>
                              <w:rPr>
                                <w:rFonts w:hint="eastAsia"/>
                              </w:rPr>
                              <w:t>项目位置</w:t>
                            </w:r>
                          </w:p>
                          <w:p w14:paraId="10776ED6">
                            <w:pPr>
                              <w:ind w:firstLine="420" w:firstLineChars="200"/>
                              <w:jc w:val="both"/>
                            </w:pPr>
                            <w:r>
                              <w:rPr>
                                <w:rFonts w:hint="eastAsia"/>
                                <w:lang w:val="en-US" w:eastAsia="zh-CN"/>
                              </w:rPr>
                              <w:t>大气</w:t>
                            </w:r>
                            <w:r>
                              <w:rPr>
                                <w:rFonts w:hint="eastAsia"/>
                              </w:rPr>
                              <w:t>环境保护范围</w:t>
                            </w:r>
                          </w:p>
                          <w:p w14:paraId="6A68664D">
                            <w:pPr>
                              <w:ind w:firstLine="420" w:firstLineChars="200"/>
                              <w:jc w:val="both"/>
                              <w:rPr>
                                <w:rFonts w:hint="eastAsia"/>
                                <w:lang w:val="en-US" w:eastAsia="zh-CN"/>
                              </w:rPr>
                            </w:pPr>
                            <w:r>
                              <w:rPr>
                                <w:rFonts w:hint="eastAsia"/>
                                <w:lang w:val="en-US" w:eastAsia="zh-CN"/>
                              </w:rPr>
                              <w:t>大气环境保护目标</w:t>
                            </w:r>
                          </w:p>
                          <w:p w14:paraId="0791B0EE">
                            <w:pPr>
                              <w:jc w:val="center"/>
                              <w:rPr>
                                <w:rFonts w:hint="default" w:eastAsia="宋体"/>
                                <w:lang w:val="en-US" w:eastAsia="zh-CN"/>
                              </w:rPr>
                            </w:pPr>
                            <w:r>
                              <w:rPr>
                                <w:rFonts w:hint="eastAsia"/>
                                <w:lang w:val="en-US" w:eastAsia="zh-CN"/>
                              </w:rPr>
                              <w:t>比例尺：1：9027</w:t>
                            </w:r>
                          </w:p>
                        </w:txbxContent>
                      </wps:txbx>
                      <wps:bodyPr upright="1"/>
                    </wps:wsp>
                  </a:graphicData>
                </a:graphic>
              </wp:anchor>
            </w:drawing>
          </mc:Choice>
          <mc:Fallback>
            <w:pict>
              <v:shape id="_x0000_s1026" o:spid="_x0000_s1026" o:spt="202" type="#_x0000_t202" style="position:absolute;left:0pt;margin-left:561.75pt;margin-top:305.15pt;height:89.5pt;width:122.55pt;z-index:251678720;mso-width-relative:page;mso-height-relative:page;" fillcolor="#FFFFFF" filled="t" stroked="t" coordsize="21600,21600" o:gfxdata="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n77rfbAAAADQEAAA8AAAAAAAAA&#10;AQAgAAAAIgAAAGRycy9kb3ducmV2LnhtbFBLAQIUABQAAAAIAIdO4kAavx5iDgIAADkEAAAOAAAA&#10;AAAAAAEAIAAAACoBAABkcnMvZTJvRG9jLnhtbFBLBQYAAAAABgAGAFkBAACqBQAAAAA=&#10;">
                <v:fill on="t" focussize="0,0"/>
                <v:stroke color="#000000 [3213]" joinstyle="miter"/>
                <v:imagedata o:title=""/>
                <o:lock v:ext="edit" aspectratio="f"/>
                <v:textbox>
                  <w:txbxContent>
                    <w:p w14:paraId="292847D1">
                      <w:pPr>
                        <w:jc w:val="center"/>
                      </w:pPr>
                      <w:r>
                        <w:rPr>
                          <w:rFonts w:hint="eastAsia"/>
                        </w:rPr>
                        <w:t>图  例</w:t>
                      </w:r>
                    </w:p>
                    <w:p w14:paraId="4836764A">
                      <w:pPr>
                        <w:ind w:firstLine="420" w:firstLineChars="200"/>
                        <w:jc w:val="both"/>
                      </w:pPr>
                      <w:r>
                        <w:rPr>
                          <w:rFonts w:hint="eastAsia"/>
                        </w:rPr>
                        <w:t>项目位置</w:t>
                      </w:r>
                    </w:p>
                    <w:p w14:paraId="10776ED6">
                      <w:pPr>
                        <w:ind w:firstLine="420" w:firstLineChars="200"/>
                        <w:jc w:val="both"/>
                      </w:pPr>
                      <w:r>
                        <w:rPr>
                          <w:rFonts w:hint="eastAsia"/>
                          <w:lang w:val="en-US" w:eastAsia="zh-CN"/>
                        </w:rPr>
                        <w:t>大气</w:t>
                      </w:r>
                      <w:r>
                        <w:rPr>
                          <w:rFonts w:hint="eastAsia"/>
                        </w:rPr>
                        <w:t>环境保护范围</w:t>
                      </w:r>
                    </w:p>
                    <w:p w14:paraId="6A68664D">
                      <w:pPr>
                        <w:ind w:firstLine="420" w:firstLineChars="200"/>
                        <w:jc w:val="both"/>
                        <w:rPr>
                          <w:rFonts w:hint="eastAsia"/>
                          <w:lang w:val="en-US" w:eastAsia="zh-CN"/>
                        </w:rPr>
                      </w:pPr>
                      <w:r>
                        <w:rPr>
                          <w:rFonts w:hint="eastAsia"/>
                          <w:lang w:val="en-US" w:eastAsia="zh-CN"/>
                        </w:rPr>
                        <w:t>大气环境保护目标</w:t>
                      </w:r>
                    </w:p>
                    <w:p w14:paraId="0791B0EE">
                      <w:pPr>
                        <w:jc w:val="center"/>
                        <w:rPr>
                          <w:rFonts w:hint="default" w:eastAsia="宋体"/>
                          <w:lang w:val="en-US" w:eastAsia="zh-CN"/>
                        </w:rPr>
                      </w:pPr>
                      <w:r>
                        <w:rPr>
                          <w:rFonts w:hint="eastAsia"/>
                          <w:lang w:val="en-US" w:eastAsia="zh-CN"/>
                        </w:rPr>
                        <w:t>比例尺：1：9027</w:t>
                      </w:r>
                    </w:p>
                  </w:txbxContent>
                </v:textbox>
              </v:shape>
            </w:pict>
          </mc:Fallback>
        </mc:AlternateContent>
      </w:r>
      <w:r>
        <w:rPr>
          <w:rStyle w:val="139"/>
          <w:rFonts w:hint="eastAsia" w:ascii="宋体" w:hAnsi="宋体" w:eastAsia="宋体" w:cs="宋体"/>
          <w:sz w:val="21"/>
          <w:szCs w:val="21"/>
          <w:lang w:val="en-US" w:eastAsia="zh-CN"/>
        </w:rPr>
        <w:t>附图</w:t>
      </w:r>
      <w:r>
        <w:rPr>
          <w:rStyle w:val="139"/>
          <w:rFonts w:hint="default" w:ascii="Times New Roman" w:hAnsi="Times New Roman" w:eastAsia="宋体" w:cs="Times New Roman"/>
          <w:sz w:val="21"/>
          <w:szCs w:val="21"/>
          <w:lang w:val="en-US" w:eastAsia="zh-CN"/>
        </w:rPr>
        <w:t>3大</w:t>
      </w:r>
      <w:r>
        <w:rPr>
          <w:rStyle w:val="139"/>
          <w:rFonts w:hint="eastAsia" w:ascii="宋体" w:hAnsi="宋体" w:eastAsia="宋体" w:cs="宋体"/>
          <w:sz w:val="21"/>
          <w:szCs w:val="21"/>
          <w:lang w:val="en-US" w:eastAsia="zh-CN"/>
        </w:rPr>
        <w:t>气环境保护目标分布图</w:t>
      </w:r>
    </w:p>
    <w:p w14:paraId="6D6D92FA">
      <w:pPr>
        <w:rPr>
          <w:rFonts w:hint="eastAsia"/>
          <w:lang w:eastAsia="zh-CN"/>
        </w:rPr>
      </w:pPr>
    </w:p>
    <w:bookmarkEnd w:id="12"/>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6"/>
        <w:gridCol w:w="5346"/>
      </w:tblGrid>
      <w:tr w14:paraId="664B7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1" w:hRule="atLeast"/>
          <w:jc w:val="center"/>
        </w:trPr>
        <w:tc>
          <w:tcPr>
            <w:tcW w:w="4530" w:type="dxa"/>
            <w:noWrap w:val="0"/>
            <w:vAlign w:val="center"/>
          </w:tcPr>
          <w:p w14:paraId="6204E601">
            <w:pPr>
              <w:keepNext w:val="0"/>
              <w:keepLines w:val="0"/>
              <w:suppressLineNumbers w:val="0"/>
              <w:spacing w:before="0" w:beforeAutospacing="0" w:after="0" w:afterAutospacing="0"/>
              <w:ind w:left="0" w:right="0"/>
              <w:jc w:val="center"/>
              <w:rPr>
                <w:rFonts w:hint="eastAsia" w:eastAsia="宋体"/>
                <w:b/>
                <w:bCs/>
                <w:color w:val="auto"/>
                <w:highlight w:val="none"/>
                <w:lang w:eastAsia="zh-CN"/>
              </w:rPr>
            </w:pPr>
            <w:r>
              <w:rPr>
                <w:rFonts w:hint="default"/>
              </w:rPr>
              <w:drawing>
                <wp:inline distT="0" distB="0" distL="114300" distR="114300">
                  <wp:extent cx="3239770" cy="2160270"/>
                  <wp:effectExtent l="0" t="0" r="17780" b="11430"/>
                  <wp:docPr id="79" name="图片 37"/>
                  <wp:cNvGraphicFramePr/>
                  <a:graphic xmlns:a="http://schemas.openxmlformats.org/drawingml/2006/main">
                    <a:graphicData uri="http://schemas.openxmlformats.org/drawingml/2006/picture">
                      <pic:pic xmlns:pic="http://schemas.openxmlformats.org/drawingml/2006/picture">
                        <pic:nvPicPr>
                          <pic:cNvPr id="79" name="图片 37"/>
                          <pic:cNvPicPr/>
                        </pic:nvPicPr>
                        <pic:blipFill>
                          <a:blip r:embed="rId77"/>
                          <a:stretch>
                            <a:fillRect/>
                          </a:stretch>
                        </pic:blipFill>
                        <pic:spPr>
                          <a:xfrm>
                            <a:off x="0" y="0"/>
                            <a:ext cx="3239770" cy="2160270"/>
                          </a:xfrm>
                          <a:prstGeom prst="rect">
                            <a:avLst/>
                          </a:prstGeom>
                          <a:noFill/>
                          <a:ln>
                            <a:noFill/>
                          </a:ln>
                        </pic:spPr>
                      </pic:pic>
                    </a:graphicData>
                  </a:graphic>
                </wp:inline>
              </w:drawing>
            </w:r>
          </w:p>
        </w:tc>
        <w:tc>
          <w:tcPr>
            <w:tcW w:w="4530" w:type="dxa"/>
            <w:noWrap w:val="0"/>
            <w:vAlign w:val="center"/>
          </w:tcPr>
          <w:p w14:paraId="28C3BA47">
            <w:pPr>
              <w:keepNext w:val="0"/>
              <w:keepLines w:val="0"/>
              <w:suppressLineNumbers w:val="0"/>
              <w:spacing w:before="0" w:beforeAutospacing="0" w:after="0" w:afterAutospacing="0"/>
              <w:ind w:left="0" w:right="0"/>
              <w:jc w:val="both"/>
              <w:rPr>
                <w:rFonts w:hint="eastAsia" w:eastAsia="宋体"/>
                <w:b/>
                <w:bCs/>
                <w:color w:val="auto"/>
                <w:highlight w:val="none"/>
                <w:lang w:eastAsia="zh-CN"/>
              </w:rPr>
            </w:pPr>
            <w:r>
              <w:rPr>
                <w:rFonts w:hint="default"/>
              </w:rPr>
              <w:drawing>
                <wp:inline distT="0" distB="0" distL="114300" distR="114300">
                  <wp:extent cx="3239770" cy="2160270"/>
                  <wp:effectExtent l="0" t="0" r="17780" b="11430"/>
                  <wp:docPr id="73" name="图片 34"/>
                  <wp:cNvGraphicFramePr/>
                  <a:graphic xmlns:a="http://schemas.openxmlformats.org/drawingml/2006/main">
                    <a:graphicData uri="http://schemas.openxmlformats.org/drawingml/2006/picture">
                      <pic:pic xmlns:pic="http://schemas.openxmlformats.org/drawingml/2006/picture">
                        <pic:nvPicPr>
                          <pic:cNvPr id="73" name="图片 34"/>
                          <pic:cNvPicPr/>
                        </pic:nvPicPr>
                        <pic:blipFill>
                          <a:blip r:embed="rId78"/>
                          <a:stretch>
                            <a:fillRect/>
                          </a:stretch>
                        </pic:blipFill>
                        <pic:spPr>
                          <a:xfrm>
                            <a:off x="0" y="0"/>
                            <a:ext cx="3239770" cy="2160270"/>
                          </a:xfrm>
                          <a:prstGeom prst="rect">
                            <a:avLst/>
                          </a:prstGeom>
                          <a:noFill/>
                          <a:ln>
                            <a:noFill/>
                          </a:ln>
                        </pic:spPr>
                      </pic:pic>
                    </a:graphicData>
                  </a:graphic>
                </wp:inline>
              </w:drawing>
            </w:r>
          </w:p>
        </w:tc>
      </w:tr>
      <w:tr w14:paraId="57173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530" w:type="dxa"/>
            <w:noWrap w:val="0"/>
            <w:vAlign w:val="center"/>
          </w:tcPr>
          <w:p w14:paraId="7684DF5A">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厂区东侧道路及农田</w:t>
            </w:r>
          </w:p>
        </w:tc>
        <w:tc>
          <w:tcPr>
            <w:tcW w:w="4530" w:type="dxa"/>
            <w:noWrap w:val="0"/>
            <w:vAlign w:val="center"/>
          </w:tcPr>
          <w:p w14:paraId="630D2D6A">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厂区西侧发展村五组</w:t>
            </w:r>
          </w:p>
        </w:tc>
      </w:tr>
      <w:tr w14:paraId="791D2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12" w:hRule="atLeast"/>
          <w:jc w:val="center"/>
        </w:trPr>
        <w:tc>
          <w:tcPr>
            <w:tcW w:w="4530" w:type="dxa"/>
            <w:noWrap w:val="0"/>
            <w:vAlign w:val="center"/>
          </w:tcPr>
          <w:p w14:paraId="52EE06DB">
            <w:pPr>
              <w:keepNext w:val="0"/>
              <w:keepLines w:val="0"/>
              <w:suppressLineNumbers w:val="0"/>
              <w:spacing w:before="0" w:beforeAutospacing="0" w:after="0" w:afterAutospacing="0"/>
              <w:ind w:left="0" w:right="0"/>
              <w:jc w:val="center"/>
              <w:rPr>
                <w:rFonts w:hint="eastAsia" w:eastAsia="宋体"/>
                <w:b/>
                <w:bCs/>
                <w:color w:val="auto"/>
                <w:highlight w:val="none"/>
                <w:lang w:eastAsia="zh-CN"/>
              </w:rPr>
            </w:pPr>
            <w:r>
              <w:rPr>
                <w:rFonts w:hint="default"/>
              </w:rPr>
              <w:drawing>
                <wp:inline distT="0" distB="0" distL="114300" distR="114300">
                  <wp:extent cx="3239770" cy="2160270"/>
                  <wp:effectExtent l="0" t="0" r="17780" b="11430"/>
                  <wp:docPr id="76" name="图片 35"/>
                  <wp:cNvGraphicFramePr/>
                  <a:graphic xmlns:a="http://schemas.openxmlformats.org/drawingml/2006/main">
                    <a:graphicData uri="http://schemas.openxmlformats.org/drawingml/2006/picture">
                      <pic:pic xmlns:pic="http://schemas.openxmlformats.org/drawingml/2006/picture">
                        <pic:nvPicPr>
                          <pic:cNvPr id="76" name="图片 35"/>
                          <pic:cNvPicPr/>
                        </pic:nvPicPr>
                        <pic:blipFill>
                          <a:blip r:embed="rId79"/>
                          <a:stretch>
                            <a:fillRect/>
                          </a:stretch>
                        </pic:blipFill>
                        <pic:spPr>
                          <a:xfrm>
                            <a:off x="0" y="0"/>
                            <a:ext cx="3239770" cy="2160270"/>
                          </a:xfrm>
                          <a:prstGeom prst="rect">
                            <a:avLst/>
                          </a:prstGeom>
                          <a:noFill/>
                          <a:ln>
                            <a:noFill/>
                          </a:ln>
                        </pic:spPr>
                      </pic:pic>
                    </a:graphicData>
                  </a:graphic>
                </wp:inline>
              </w:drawing>
            </w:r>
          </w:p>
        </w:tc>
        <w:tc>
          <w:tcPr>
            <w:tcW w:w="4530" w:type="dxa"/>
            <w:noWrap w:val="0"/>
            <w:vAlign w:val="center"/>
          </w:tcPr>
          <w:p w14:paraId="17CBFC18">
            <w:pPr>
              <w:keepNext w:val="0"/>
              <w:keepLines w:val="0"/>
              <w:suppressLineNumbers w:val="0"/>
              <w:spacing w:before="0" w:beforeAutospacing="0" w:after="0" w:afterAutospacing="0"/>
              <w:ind w:left="0" w:right="0"/>
              <w:jc w:val="center"/>
              <w:rPr>
                <w:rFonts w:hint="eastAsia" w:eastAsia="宋体"/>
                <w:b/>
                <w:bCs/>
                <w:color w:val="auto"/>
                <w:highlight w:val="none"/>
                <w:lang w:eastAsia="zh-CN"/>
              </w:rPr>
            </w:pPr>
            <w:r>
              <w:rPr>
                <w:rFonts w:hint="default"/>
              </w:rPr>
              <w:drawing>
                <wp:inline distT="0" distB="0" distL="114300" distR="114300">
                  <wp:extent cx="3239770" cy="2160270"/>
                  <wp:effectExtent l="0" t="0" r="17780" b="11430"/>
                  <wp:docPr id="78" name="图片 36"/>
                  <wp:cNvGraphicFramePr/>
                  <a:graphic xmlns:a="http://schemas.openxmlformats.org/drawingml/2006/main">
                    <a:graphicData uri="http://schemas.openxmlformats.org/drawingml/2006/picture">
                      <pic:pic xmlns:pic="http://schemas.openxmlformats.org/drawingml/2006/picture">
                        <pic:nvPicPr>
                          <pic:cNvPr id="78" name="图片 36"/>
                          <pic:cNvPicPr/>
                        </pic:nvPicPr>
                        <pic:blipFill>
                          <a:blip r:embed="rId80"/>
                          <a:stretch>
                            <a:fillRect/>
                          </a:stretch>
                        </pic:blipFill>
                        <pic:spPr>
                          <a:xfrm>
                            <a:off x="0" y="0"/>
                            <a:ext cx="3239770" cy="2160270"/>
                          </a:xfrm>
                          <a:prstGeom prst="rect">
                            <a:avLst/>
                          </a:prstGeom>
                          <a:noFill/>
                          <a:ln>
                            <a:noFill/>
                          </a:ln>
                        </pic:spPr>
                      </pic:pic>
                    </a:graphicData>
                  </a:graphic>
                </wp:inline>
              </w:drawing>
            </w:r>
          </w:p>
        </w:tc>
      </w:tr>
      <w:tr w14:paraId="6E07C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noWrap w:val="0"/>
            <w:vAlign w:val="center"/>
          </w:tcPr>
          <w:p w14:paraId="30E0B973">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厂区南侧发展村五组</w:t>
            </w:r>
          </w:p>
        </w:tc>
        <w:tc>
          <w:tcPr>
            <w:tcW w:w="4530" w:type="dxa"/>
            <w:noWrap w:val="0"/>
            <w:vAlign w:val="center"/>
          </w:tcPr>
          <w:p w14:paraId="4B64C093">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厂区北侧农田</w:t>
            </w:r>
          </w:p>
        </w:tc>
      </w:tr>
    </w:tbl>
    <w:p w14:paraId="2032BD1F">
      <w:pPr>
        <w:pStyle w:val="5"/>
        <w:bidi w:val="0"/>
        <w:jc w:val="center"/>
        <w:rPr>
          <w:rFonts w:hint="default" w:ascii="Times New Roman" w:hAnsi="Times New Roman" w:eastAsia="宋体" w:cs="Times New Roman"/>
          <w:color w:val="auto"/>
          <w:sz w:val="21"/>
          <w:szCs w:val="21"/>
          <w:highlight w:val="none"/>
          <w:lang w:val="en-US" w:eastAsia="zh-CN"/>
        </w:rPr>
        <w:sectPr>
          <w:footerReference r:id="rId6" w:type="default"/>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eastAsia="宋体" w:cs="Times New Roman"/>
          <w:color w:val="auto"/>
          <w:sz w:val="21"/>
          <w:szCs w:val="21"/>
          <w:highlight w:val="none"/>
          <w:lang w:val="en-US" w:eastAsia="zh-CN"/>
        </w:rPr>
        <w:t>附图</w:t>
      </w: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厂区四周图</w:t>
      </w:r>
    </w:p>
    <w:p w14:paraId="4F722F3F">
      <w:pPr>
        <w:jc w:val="center"/>
        <w:rPr>
          <w:rStyle w:val="139"/>
          <w:rFonts w:hint="eastAsia" w:ascii="Times New Roman" w:hAnsi="Times New Roman" w:eastAsia="宋体" w:cs="Times New Roman"/>
          <w:sz w:val="21"/>
          <w:szCs w:val="21"/>
          <w:lang w:val="en-US" w:eastAsia="zh-CN"/>
        </w:rPr>
      </w:pPr>
      <w:r>
        <w:rPr>
          <w:color w:val="auto"/>
          <w:sz w:val="21"/>
        </w:rPr>
        <mc:AlternateContent>
          <mc:Choice Requires="wps">
            <w:drawing>
              <wp:anchor distT="0" distB="0" distL="114300" distR="114300" simplePos="0" relativeHeight="251692032" behindDoc="0" locked="0" layoutInCell="1" allowOverlap="1">
                <wp:simplePos x="0" y="0"/>
                <wp:positionH relativeFrom="column">
                  <wp:posOffset>6516370</wp:posOffset>
                </wp:positionH>
                <wp:positionV relativeFrom="paragraph">
                  <wp:posOffset>2048510</wp:posOffset>
                </wp:positionV>
                <wp:extent cx="76200" cy="76200"/>
                <wp:effectExtent l="12700" t="12700" r="25400" b="25400"/>
                <wp:wrapNone/>
                <wp:docPr id="81" name="矩形 81"/>
                <wp:cNvGraphicFramePr/>
                <a:graphic xmlns:a="http://schemas.openxmlformats.org/drawingml/2006/main">
                  <a:graphicData uri="http://schemas.microsoft.com/office/word/2010/wordprocessingShape">
                    <wps:wsp>
                      <wps:cNvSpPr/>
                      <wps:spPr>
                        <a:xfrm flipH="1">
                          <a:off x="0" y="0"/>
                          <a:ext cx="76200" cy="76200"/>
                        </a:xfrm>
                        <a:prstGeom prst="rect">
                          <a:avLst/>
                        </a:prstGeom>
                        <a:solidFill>
                          <a:srgbClr val="00B050"/>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x;margin-left:513.1pt;margin-top:161.3pt;height:6pt;width:6pt;z-index:251692032;v-text-anchor:middle;mso-width-relative:page;mso-height-relative:page;" fillcolor="#00B050" filled="t" stroked="t" coordsize="21600,21600" o:gfxdata="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61ppT9sAAAANAQAADwAAAAAAAAABACAAAAAiAAAAZHJzL2Rvd25yZXYueG1sUEsBAhQA&#10;FAAAAAgAh07iQB9SOtxhAgAA5gQAAA4AAAAAAAAAAQAgAAAAKgEAAGRycy9lMm9Eb2MueG1sUEsF&#10;BgAAAAAGAAYAWQEAAP0FAAAAAA==&#10;">
                <v:fill on="t" focussize="0,0"/>
                <v:stroke weight="2pt" color="#00B050 [2404]" joinstyle="round"/>
                <v:imagedata o:title=""/>
                <o:lock v:ext="edit" aspectratio="f"/>
              </v:rect>
            </w:pict>
          </mc:Fallback>
        </mc:AlternateContent>
      </w:r>
      <w:r>
        <w:rPr>
          <w:rStyle w:val="139"/>
          <w:rFonts w:hint="default" w:ascii="Times New Roman" w:hAnsi="Times New Roman" w:eastAsia="宋体" w:cs="Times New Roman"/>
          <w:sz w:val="21"/>
          <w:szCs w:val="21"/>
          <w:lang w:val="en-US" w:eastAsia="zh-CN"/>
        </w:rPr>
        <mc:AlternateContent>
          <mc:Choice Requires="wps">
            <w:drawing>
              <wp:anchor distT="0" distB="0" distL="114300" distR="114300" simplePos="0" relativeHeight="251682816" behindDoc="0" locked="0" layoutInCell="1" allowOverlap="1">
                <wp:simplePos x="0" y="0"/>
                <wp:positionH relativeFrom="column">
                  <wp:posOffset>7382510</wp:posOffset>
                </wp:positionH>
                <wp:positionV relativeFrom="paragraph">
                  <wp:posOffset>4409440</wp:posOffset>
                </wp:positionV>
                <wp:extent cx="124460" cy="114300"/>
                <wp:effectExtent l="6350" t="6350" r="21590" b="12700"/>
                <wp:wrapNone/>
                <wp:docPr id="94" name="椭圆 94"/>
                <wp:cNvGraphicFramePr/>
                <a:graphic xmlns:a="http://schemas.openxmlformats.org/drawingml/2006/main">
                  <a:graphicData uri="http://schemas.microsoft.com/office/word/2010/wordprocessingShape">
                    <wps:wsp>
                      <wps:cNvSpPr/>
                      <wps:spPr>
                        <a:xfrm>
                          <a:off x="0" y="0"/>
                          <a:ext cx="124460" cy="1143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81.3pt;margin-top:347.2pt;height:9pt;width:9.8pt;z-index:251682816;v-text-anchor:middle;mso-width-relative:page;mso-height-relative:page;" filled="f" stroked="t" coordsize="21600,21600" o:gfxdata="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ZS7j+2AAAAA0BAAAPAAAAAAAAAAEAIAAAACIAAABkcnMvZG93&#10;bnJldi54bWxQSwECFAAUAAAACACHTuJAk0v6I3ICAADdBAAADgAAAAAAAAABACAAAAAnAQAAZHJz&#10;L2Uyb0RvYy54bWxQSwUGAAAAAAYABgBZAQAACwYAAAAA&#10;">
                <v:fill on="f" focussize="0,0"/>
                <v:stroke weight="1pt" color="#FF0000" miterlimit="8" joinstyle="miter"/>
                <v:imagedata o:title=""/>
                <o:lock v:ext="edit" aspectratio="f"/>
              </v:shape>
            </w:pict>
          </mc:Fallback>
        </mc:AlternateContent>
      </w:r>
      <w:r>
        <w:rPr>
          <w:rStyle w:val="139"/>
          <w:rFonts w:hint="default" w:ascii="Times New Roman" w:hAnsi="Times New Roman" w:eastAsia="宋体" w:cs="Times New Roman"/>
          <w:sz w:val="21"/>
          <w:szCs w:val="21"/>
          <w:lang w:val="en-US" w:eastAsia="zh-CN"/>
        </w:rPr>
        <mc:AlternateContent>
          <mc:Choice Requires="wps">
            <w:drawing>
              <wp:anchor distT="0" distB="0" distL="114300" distR="114300" simplePos="0" relativeHeight="251683840" behindDoc="0" locked="0" layoutInCell="1" allowOverlap="1">
                <wp:simplePos x="0" y="0"/>
                <wp:positionH relativeFrom="column">
                  <wp:posOffset>7374255</wp:posOffset>
                </wp:positionH>
                <wp:positionV relativeFrom="paragraph">
                  <wp:posOffset>4676775</wp:posOffset>
                </wp:positionV>
                <wp:extent cx="120650" cy="90170"/>
                <wp:effectExtent l="6350" t="6350" r="6350" b="17780"/>
                <wp:wrapNone/>
                <wp:docPr id="95" name="矩形 95"/>
                <wp:cNvGraphicFramePr/>
                <a:graphic xmlns:a="http://schemas.openxmlformats.org/drawingml/2006/main">
                  <a:graphicData uri="http://schemas.microsoft.com/office/word/2010/wordprocessingShape">
                    <wps:wsp>
                      <wps:cNvSpPr/>
                      <wps:spPr>
                        <a:xfrm>
                          <a:off x="0" y="0"/>
                          <a:ext cx="120650" cy="90170"/>
                        </a:xfrm>
                        <a:prstGeom prst="rect">
                          <a:avLst/>
                        </a:prstGeom>
                        <a:ln w="12700">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0.65pt;margin-top:368.25pt;height:7.1pt;width:9.5pt;z-index:251683840;v-text-anchor:middle;mso-width-relative:page;mso-height-relative:page;" filled="f" stroked="t" coordsize="21600,21600" o:gfxdata="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Ey&#10;xprYAAAADQEAAA8AAAAAAAAAAQAgAAAAIgAAAGRycy9kb3ducmV2LnhtbFBLAQIUABQAAAAIAIdO&#10;4kCUyRzsXAIAALQEAAAOAAAAAAAAAAEAIAAAACcBAABkcnMvZTJvRG9jLnhtbFBLBQYAAAAABgAG&#10;AFkBAAD1BQAAAAA=&#10;">
                <v:fill on="f" focussize="0,0"/>
                <v:stroke weight="1pt" color="#FF0000 [3204]" joinstyle="round"/>
                <v:imagedata o:title=""/>
                <o:lock v:ext="edit" aspectratio="f"/>
              </v:rect>
            </w:pict>
          </mc:Fallback>
        </mc:AlternateContent>
      </w:r>
      <w:r>
        <w:rPr>
          <w:rStyle w:val="139"/>
          <w:rFonts w:hint="default" w:ascii="Times New Roman" w:hAnsi="Times New Roman" w:eastAsia="宋体" w:cs="Times New Roman"/>
          <w:sz w:val="21"/>
          <w:szCs w:val="21"/>
          <w:lang w:val="en-US" w:eastAsia="zh-CN"/>
        </w:rPr>
        <mc:AlternateContent>
          <mc:Choice Requires="wps">
            <w:drawing>
              <wp:anchor distT="0" distB="0" distL="114300" distR="114300" simplePos="0" relativeHeight="251684864" behindDoc="0" locked="0" layoutInCell="1" allowOverlap="1">
                <wp:simplePos x="0" y="0"/>
                <wp:positionH relativeFrom="column">
                  <wp:posOffset>7364730</wp:posOffset>
                </wp:positionH>
                <wp:positionV relativeFrom="paragraph">
                  <wp:posOffset>4925060</wp:posOffset>
                </wp:positionV>
                <wp:extent cx="113030" cy="100965"/>
                <wp:effectExtent l="12700" t="12700" r="26670" b="19685"/>
                <wp:wrapNone/>
                <wp:docPr id="96" name="矩形 96"/>
                <wp:cNvGraphicFramePr/>
                <a:graphic xmlns:a="http://schemas.openxmlformats.org/drawingml/2006/main">
                  <a:graphicData uri="http://schemas.microsoft.com/office/word/2010/wordprocessingShape">
                    <wps:wsp>
                      <wps:cNvSpPr/>
                      <wps:spPr>
                        <a:xfrm>
                          <a:off x="0" y="0"/>
                          <a:ext cx="113030" cy="100965"/>
                        </a:xfrm>
                        <a:prstGeom prst="rect">
                          <a:avLst/>
                        </a:prstGeom>
                        <a:solidFill>
                          <a:srgbClr val="00B050"/>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9.9pt;margin-top:387.8pt;height:7.95pt;width:8.9pt;z-index:251684864;v-text-anchor:middle;mso-width-relative:page;mso-height-relative:page;" fillcolor="#00B050" filled="t" stroked="t" coordsize="21600,21600" o:gfxdata="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JNFuTaAAAADQEAAA8AAAAAAAAAAQAgAAAAIgAAAGRycy9kb3ducmV2LnhtbFBLAQIUABQA&#10;AAAIAIdO4kAx/5TXYAIAAN4EAAAOAAAAAAAAAAEAIAAAACkBAABkcnMvZTJvRG9jLnhtbFBLBQYA&#10;AAAABgAGAFkBAAD7BQAAAAA=&#10;">
                <v:fill on="t" focussize="0,0"/>
                <v:stroke weight="2pt" color="#00B050 [2404]" joinstyle="round"/>
                <v:imagedata o:title=""/>
                <o:lock v:ext="edit" aspectratio="f"/>
              </v:rect>
            </w:pict>
          </mc:Fallback>
        </mc:AlternateContent>
      </w:r>
      <w:r>
        <w:rPr>
          <w:rStyle w:val="139"/>
          <w:rFonts w:hint="default" w:ascii="Times New Roman" w:hAnsi="Times New Roman" w:eastAsia="宋体" w:cs="Times New Roman"/>
          <w:sz w:val="21"/>
          <w:szCs w:val="21"/>
          <w:lang w:val="en-US" w:eastAsia="zh-CN"/>
        </w:rPr>
        <mc:AlternateContent>
          <mc:Choice Requires="wps">
            <w:drawing>
              <wp:anchor distT="0" distB="0" distL="114300" distR="114300" simplePos="0" relativeHeight="251666432" behindDoc="0" locked="0" layoutInCell="1" allowOverlap="1">
                <wp:simplePos x="0" y="0"/>
                <wp:positionH relativeFrom="column">
                  <wp:posOffset>7191375</wp:posOffset>
                </wp:positionH>
                <wp:positionV relativeFrom="paragraph">
                  <wp:posOffset>4055110</wp:posOffset>
                </wp:positionV>
                <wp:extent cx="1160780" cy="1098550"/>
                <wp:effectExtent l="4445" t="5080" r="15875" b="20320"/>
                <wp:wrapNone/>
                <wp:docPr id="6" name="文本框 6"/>
                <wp:cNvGraphicFramePr/>
                <a:graphic xmlns:a="http://schemas.openxmlformats.org/drawingml/2006/main">
                  <a:graphicData uri="http://schemas.microsoft.com/office/word/2010/wordprocessingShape">
                    <wps:wsp>
                      <wps:cNvSpPr txBox="1"/>
                      <wps:spPr>
                        <a:xfrm>
                          <a:off x="0" y="0"/>
                          <a:ext cx="1160780" cy="10985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844EBBB">
                            <w:pPr>
                              <w:keepNext w:val="0"/>
                              <w:keepLines w:val="0"/>
                              <w:pageBreakBefore w:val="0"/>
                              <w:kinsoku/>
                              <w:wordWrap/>
                              <w:overflowPunct/>
                              <w:topLinePunct w:val="0"/>
                              <w:bidi w:val="0"/>
                              <w:adjustRightInd/>
                              <w:snapToGrid w:val="0"/>
                              <w:spacing w:line="360" w:lineRule="auto"/>
                              <w:ind w:right="0"/>
                              <w:jc w:val="center"/>
                              <w:textAlignment w:val="auto"/>
                              <w:rPr>
                                <w:rFonts w:hint="eastAsia"/>
                                <w:b/>
                                <w:bCs/>
                                <w:sz w:val="21"/>
                                <w:szCs w:val="21"/>
                                <w:lang w:eastAsia="zh-CN"/>
                              </w:rPr>
                            </w:pPr>
                            <w:r>
                              <w:rPr>
                                <w:rFonts w:hint="eastAsia"/>
                                <w:b/>
                                <w:bCs/>
                                <w:sz w:val="21"/>
                                <w:szCs w:val="21"/>
                                <w:lang w:eastAsia="zh-CN"/>
                              </w:rPr>
                              <w:t>图例</w:t>
                            </w:r>
                          </w:p>
                          <w:p w14:paraId="4192C47A">
                            <w:pPr>
                              <w:keepNext w:val="0"/>
                              <w:keepLines w:val="0"/>
                              <w:pageBreakBefore w:val="0"/>
                              <w:kinsoku/>
                              <w:wordWrap/>
                              <w:overflowPunct/>
                              <w:topLinePunct w:val="0"/>
                              <w:bidi w:val="0"/>
                              <w:adjustRightInd/>
                              <w:snapToGrid w:val="0"/>
                              <w:spacing w:line="360" w:lineRule="auto"/>
                              <w:ind w:right="0" w:firstLine="420" w:firstLineChars="200"/>
                              <w:jc w:val="both"/>
                              <w:textAlignment w:val="auto"/>
                              <w:rPr>
                                <w:rFonts w:hint="eastAsia"/>
                                <w:sz w:val="21"/>
                                <w:szCs w:val="21"/>
                                <w:lang w:val="en-US" w:eastAsia="zh-CN"/>
                              </w:rPr>
                            </w:pPr>
                            <w:r>
                              <w:rPr>
                                <w:rFonts w:hint="eastAsia"/>
                                <w:sz w:val="21"/>
                                <w:szCs w:val="21"/>
                                <w:lang w:val="en-US" w:eastAsia="zh-CN"/>
                              </w:rPr>
                              <w:t>烟囱</w:t>
                            </w:r>
                          </w:p>
                          <w:p w14:paraId="0CCB41C1">
                            <w:pPr>
                              <w:pStyle w:val="2"/>
                              <w:keepNext w:val="0"/>
                              <w:keepLines w:val="0"/>
                              <w:pageBreakBefore w:val="0"/>
                              <w:kinsoku/>
                              <w:wordWrap/>
                              <w:overflowPunct/>
                              <w:topLinePunct w:val="0"/>
                              <w:bidi w:val="0"/>
                              <w:adjustRightInd/>
                              <w:snapToGrid w:val="0"/>
                              <w:spacing w:before="0" w:after="0" w:line="360" w:lineRule="auto"/>
                              <w:ind w:right="0" w:firstLine="420" w:firstLineChars="200"/>
                              <w:textAlignment w:val="auto"/>
                              <w:rPr>
                                <w:rFonts w:hint="eastAsia"/>
                                <w:sz w:val="21"/>
                                <w:szCs w:val="21"/>
                                <w:lang w:val="en-US" w:eastAsia="zh-CN"/>
                              </w:rPr>
                            </w:pPr>
                            <w:r>
                              <w:rPr>
                                <w:rFonts w:hint="eastAsia"/>
                                <w:sz w:val="21"/>
                                <w:szCs w:val="21"/>
                                <w:lang w:val="en-US" w:eastAsia="zh-CN"/>
                              </w:rPr>
                              <w:t>除尘器</w:t>
                            </w:r>
                          </w:p>
                          <w:p w14:paraId="5E176080">
                            <w:pPr>
                              <w:pStyle w:val="3"/>
                              <w:keepNext w:val="0"/>
                              <w:keepLines w:val="0"/>
                              <w:pageBreakBefore w:val="0"/>
                              <w:kinsoku/>
                              <w:wordWrap/>
                              <w:overflowPunct/>
                              <w:topLinePunct w:val="0"/>
                              <w:bidi w:val="0"/>
                              <w:adjustRightInd/>
                              <w:snapToGrid w:val="0"/>
                              <w:spacing w:line="360" w:lineRule="auto"/>
                              <w:ind w:right="0" w:firstLine="420" w:firstLineChars="200"/>
                              <w:textAlignment w:val="auto"/>
                              <w:rPr>
                                <w:rFonts w:hint="default"/>
                                <w:sz w:val="21"/>
                                <w:szCs w:val="21"/>
                                <w:lang w:val="en-US" w:eastAsia="zh-CN"/>
                              </w:rPr>
                            </w:pPr>
                            <w:r>
                              <w:rPr>
                                <w:rFonts w:hint="eastAsia"/>
                                <w:sz w:val="21"/>
                                <w:szCs w:val="21"/>
                                <w:lang w:val="en-US" w:eastAsia="zh-CN"/>
                              </w:rPr>
                              <w:t>危废贮存点</w:t>
                            </w:r>
                          </w:p>
                          <w:p w14:paraId="4E430A58">
                            <w:pPr>
                              <w:jc w:val="center"/>
                              <w:rPr>
                                <w:rFonts w:hint="eastAsia"/>
                                <w:lang w:eastAsia="zh-CN"/>
                              </w:rPr>
                            </w:pPr>
                          </w:p>
                        </w:txbxContent>
                      </wps:txbx>
                      <wps:bodyPr upright="1"/>
                    </wps:wsp>
                  </a:graphicData>
                </a:graphic>
              </wp:anchor>
            </w:drawing>
          </mc:Choice>
          <mc:Fallback>
            <w:pict>
              <v:shape id="_x0000_s1026" o:spid="_x0000_s1026" o:spt="202" type="#_x0000_t202" style="position:absolute;left:0pt;margin-left:566.25pt;margin-top:319.3pt;height:86.5pt;width:91.4pt;z-index:251666432;mso-width-relative:page;mso-height-relative:page;" fillcolor="#FFFFFF" filled="t" stroked="t" coordsize="21600,21600" o:gfxdata="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1aCqLaAAAADQEAAA8AAAAAAAAAAQAg&#10;AAAAIgAAAGRycy9kb3ducmV2LnhtbFBLAQIUABQAAAAIAIdO4kCVp0h0DAIAADcEAAAOAAAAAAAA&#10;AAEAIAAAACkBAABkcnMvZTJvRG9jLnhtbFBLBQYAAAAABgAGAFkBAACnBQAAAAA=&#10;">
                <v:fill on="t" focussize="0,0"/>
                <v:stroke color="#000000" joinstyle="miter"/>
                <v:imagedata o:title=""/>
                <o:lock v:ext="edit" aspectratio="f"/>
                <v:textbox>
                  <w:txbxContent>
                    <w:p w14:paraId="4844EBBB">
                      <w:pPr>
                        <w:keepNext w:val="0"/>
                        <w:keepLines w:val="0"/>
                        <w:pageBreakBefore w:val="0"/>
                        <w:kinsoku/>
                        <w:wordWrap/>
                        <w:overflowPunct/>
                        <w:topLinePunct w:val="0"/>
                        <w:bidi w:val="0"/>
                        <w:adjustRightInd/>
                        <w:snapToGrid w:val="0"/>
                        <w:spacing w:line="360" w:lineRule="auto"/>
                        <w:ind w:right="0"/>
                        <w:jc w:val="center"/>
                        <w:textAlignment w:val="auto"/>
                        <w:rPr>
                          <w:rFonts w:hint="eastAsia"/>
                          <w:b/>
                          <w:bCs/>
                          <w:sz w:val="21"/>
                          <w:szCs w:val="21"/>
                          <w:lang w:eastAsia="zh-CN"/>
                        </w:rPr>
                      </w:pPr>
                      <w:r>
                        <w:rPr>
                          <w:rFonts w:hint="eastAsia"/>
                          <w:b/>
                          <w:bCs/>
                          <w:sz w:val="21"/>
                          <w:szCs w:val="21"/>
                          <w:lang w:eastAsia="zh-CN"/>
                        </w:rPr>
                        <w:t>图例</w:t>
                      </w:r>
                    </w:p>
                    <w:p w14:paraId="4192C47A">
                      <w:pPr>
                        <w:keepNext w:val="0"/>
                        <w:keepLines w:val="0"/>
                        <w:pageBreakBefore w:val="0"/>
                        <w:kinsoku/>
                        <w:wordWrap/>
                        <w:overflowPunct/>
                        <w:topLinePunct w:val="0"/>
                        <w:bidi w:val="0"/>
                        <w:adjustRightInd/>
                        <w:snapToGrid w:val="0"/>
                        <w:spacing w:line="360" w:lineRule="auto"/>
                        <w:ind w:right="0" w:firstLine="420" w:firstLineChars="200"/>
                        <w:jc w:val="both"/>
                        <w:textAlignment w:val="auto"/>
                        <w:rPr>
                          <w:rFonts w:hint="eastAsia"/>
                          <w:sz w:val="21"/>
                          <w:szCs w:val="21"/>
                          <w:lang w:val="en-US" w:eastAsia="zh-CN"/>
                        </w:rPr>
                      </w:pPr>
                      <w:r>
                        <w:rPr>
                          <w:rFonts w:hint="eastAsia"/>
                          <w:sz w:val="21"/>
                          <w:szCs w:val="21"/>
                          <w:lang w:val="en-US" w:eastAsia="zh-CN"/>
                        </w:rPr>
                        <w:t>烟囱</w:t>
                      </w:r>
                    </w:p>
                    <w:p w14:paraId="0CCB41C1">
                      <w:pPr>
                        <w:pStyle w:val="2"/>
                        <w:keepNext w:val="0"/>
                        <w:keepLines w:val="0"/>
                        <w:pageBreakBefore w:val="0"/>
                        <w:kinsoku/>
                        <w:wordWrap/>
                        <w:overflowPunct/>
                        <w:topLinePunct w:val="0"/>
                        <w:bidi w:val="0"/>
                        <w:adjustRightInd/>
                        <w:snapToGrid w:val="0"/>
                        <w:spacing w:before="0" w:after="0" w:line="360" w:lineRule="auto"/>
                        <w:ind w:right="0" w:firstLine="420" w:firstLineChars="200"/>
                        <w:textAlignment w:val="auto"/>
                        <w:rPr>
                          <w:rFonts w:hint="eastAsia"/>
                          <w:sz w:val="21"/>
                          <w:szCs w:val="21"/>
                          <w:lang w:val="en-US" w:eastAsia="zh-CN"/>
                        </w:rPr>
                      </w:pPr>
                      <w:r>
                        <w:rPr>
                          <w:rFonts w:hint="eastAsia"/>
                          <w:sz w:val="21"/>
                          <w:szCs w:val="21"/>
                          <w:lang w:val="en-US" w:eastAsia="zh-CN"/>
                        </w:rPr>
                        <w:t>除尘器</w:t>
                      </w:r>
                    </w:p>
                    <w:p w14:paraId="5E176080">
                      <w:pPr>
                        <w:pStyle w:val="3"/>
                        <w:keepNext w:val="0"/>
                        <w:keepLines w:val="0"/>
                        <w:pageBreakBefore w:val="0"/>
                        <w:kinsoku/>
                        <w:wordWrap/>
                        <w:overflowPunct/>
                        <w:topLinePunct w:val="0"/>
                        <w:bidi w:val="0"/>
                        <w:adjustRightInd/>
                        <w:snapToGrid w:val="0"/>
                        <w:spacing w:line="360" w:lineRule="auto"/>
                        <w:ind w:right="0" w:firstLine="420" w:firstLineChars="200"/>
                        <w:textAlignment w:val="auto"/>
                        <w:rPr>
                          <w:rFonts w:hint="default"/>
                          <w:sz w:val="21"/>
                          <w:szCs w:val="21"/>
                          <w:lang w:val="en-US" w:eastAsia="zh-CN"/>
                        </w:rPr>
                      </w:pPr>
                      <w:r>
                        <w:rPr>
                          <w:rFonts w:hint="eastAsia"/>
                          <w:sz w:val="21"/>
                          <w:szCs w:val="21"/>
                          <w:lang w:val="en-US" w:eastAsia="zh-CN"/>
                        </w:rPr>
                        <w:t>危废贮存点</w:t>
                      </w:r>
                    </w:p>
                    <w:p w14:paraId="4E430A58">
                      <w:pPr>
                        <w:jc w:val="center"/>
                        <w:rPr>
                          <w:rFonts w:hint="eastAsia"/>
                          <w:lang w:eastAsia="zh-CN"/>
                        </w:rPr>
                      </w:pPr>
                    </w:p>
                  </w:txbxContent>
                </v:textbox>
              </v:shape>
            </w:pict>
          </mc:Fallback>
        </mc:AlternateContent>
      </w:r>
      <w:r>
        <w:rPr>
          <w:color w:val="auto"/>
        </w:rPr>
        <w:drawing>
          <wp:anchor distT="0" distB="0" distL="114300" distR="114300" simplePos="0" relativeHeight="251665408" behindDoc="0" locked="0" layoutInCell="1" allowOverlap="1">
            <wp:simplePos x="0" y="0"/>
            <wp:positionH relativeFrom="column">
              <wp:posOffset>7385685</wp:posOffset>
            </wp:positionH>
            <wp:positionV relativeFrom="paragraph">
              <wp:posOffset>33020</wp:posOffset>
            </wp:positionV>
            <wp:extent cx="904240" cy="838200"/>
            <wp:effectExtent l="0" t="0" r="10160" b="0"/>
            <wp:wrapNone/>
            <wp:docPr id="4" name="图片 2" descr="鸡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鸡西风玫瑰"/>
                    <pic:cNvPicPr>
                      <a:picLocks noChangeAspect="1"/>
                    </pic:cNvPicPr>
                  </pic:nvPicPr>
                  <pic:blipFill>
                    <a:blip r:embed="rId73"/>
                    <a:stretch>
                      <a:fillRect/>
                    </a:stretch>
                  </pic:blipFill>
                  <pic:spPr>
                    <a:xfrm>
                      <a:off x="0" y="0"/>
                      <a:ext cx="904240" cy="838200"/>
                    </a:xfrm>
                    <a:prstGeom prst="rect">
                      <a:avLst/>
                    </a:prstGeom>
                    <a:noFill/>
                    <a:ln>
                      <a:noFill/>
                    </a:ln>
                  </pic:spPr>
                </pic:pic>
              </a:graphicData>
            </a:graphic>
          </wp:anchor>
        </w:drawing>
      </w:r>
      <w:r>
        <w:rPr>
          <w:rStyle w:val="139"/>
          <w:rFonts w:hint="eastAsia" w:ascii="Times New Roman" w:hAnsi="Times New Roman" w:eastAsia="宋体" w:cs="Times New Roman"/>
          <w:sz w:val="21"/>
          <w:szCs w:val="21"/>
          <w:lang w:val="en-US" w:eastAsia="zh-CN"/>
        </w:rPr>
        <w:drawing>
          <wp:inline distT="0" distB="0" distL="114300" distR="114300">
            <wp:extent cx="7577455" cy="5088890"/>
            <wp:effectExtent l="0" t="0" r="4445" b="16510"/>
            <wp:docPr id="71" name="图片 71" descr="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平面图"/>
                    <pic:cNvPicPr>
                      <a:picLocks noChangeAspect="1"/>
                    </pic:cNvPicPr>
                  </pic:nvPicPr>
                  <pic:blipFill>
                    <a:blip r:embed="rId81"/>
                    <a:stretch>
                      <a:fillRect/>
                    </a:stretch>
                  </pic:blipFill>
                  <pic:spPr>
                    <a:xfrm>
                      <a:off x="0" y="0"/>
                      <a:ext cx="7577455" cy="5088890"/>
                    </a:xfrm>
                    <a:prstGeom prst="rect">
                      <a:avLst/>
                    </a:prstGeom>
                  </pic:spPr>
                </pic:pic>
              </a:graphicData>
            </a:graphic>
          </wp:inline>
        </w:drawing>
      </w:r>
    </w:p>
    <w:p w14:paraId="6F673127">
      <w:pPr>
        <w:jc w:val="center"/>
        <w:rPr>
          <w:rFonts w:hint="eastAsia" w:eastAsia="宋体" w:cs="Times New Roman"/>
          <w:color w:val="auto"/>
          <w:sz w:val="21"/>
          <w:szCs w:val="21"/>
          <w:highlight w:val="none"/>
          <w:lang w:val="en-US" w:eastAsia="zh-CN"/>
        </w:rPr>
      </w:pPr>
      <w:r>
        <w:rPr>
          <w:rStyle w:val="139"/>
          <w:rFonts w:hint="default" w:ascii="Times New Roman" w:hAnsi="Times New Roman" w:eastAsia="宋体" w:cs="Times New Roman"/>
          <w:sz w:val="21"/>
          <w:szCs w:val="21"/>
          <w:lang w:val="en-US" w:eastAsia="zh-CN"/>
        </w:rPr>
        <mc:AlternateContent>
          <mc:Choice Requires="wps">
            <w:drawing>
              <wp:anchor distT="0" distB="0" distL="114300" distR="114300" simplePos="0" relativeHeight="251667456" behindDoc="0" locked="0" layoutInCell="1" allowOverlap="1">
                <wp:simplePos x="0" y="0"/>
                <wp:positionH relativeFrom="column">
                  <wp:posOffset>528320</wp:posOffset>
                </wp:positionH>
                <wp:positionV relativeFrom="paragraph">
                  <wp:posOffset>4094480</wp:posOffset>
                </wp:positionV>
                <wp:extent cx="828675" cy="685800"/>
                <wp:effectExtent l="4445" t="4445" r="5080" b="14605"/>
                <wp:wrapNone/>
                <wp:docPr id="113" name="文本框 113"/>
                <wp:cNvGraphicFramePr/>
                <a:graphic xmlns:a="http://schemas.openxmlformats.org/drawingml/2006/main">
                  <a:graphicData uri="http://schemas.microsoft.com/office/word/2010/wordprocessingShape">
                    <wps:wsp>
                      <wps:cNvSpPr txBox="1"/>
                      <wps:spPr>
                        <a:xfrm>
                          <a:off x="0" y="0"/>
                          <a:ext cx="828675" cy="68580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4A923C90"/>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pt;margin-top:322.4pt;height:54pt;width:65.25pt;z-index:251667456;mso-width-relative:page;mso-height-relative:page;" fillcolor="#FFFFFF [3201]" filled="t" stroked="t" coordsize="21600,21600" o:gfxdata="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7TwpnZAAAA&#10;CgEAAA8AAAAAAAAAAQAgAAAAIgAAAGRycy9kb3ducmV2LnhtbFBLAQIUABQAAAAIAIdO4kDD/be5&#10;VQIAALsEAAAOAAAAAAAAAAEAIAAAACgBAABkcnMvZTJvRG9jLnhtbFBLBQYAAAAABgAGAFkBAADv&#10;BQAAAAA=&#10;">
                <v:fill on="t" focussize="0,0"/>
                <v:stroke weight="0.5pt" color="#FFFFFF [3212]" joinstyle="round"/>
                <v:imagedata o:title=""/>
                <o:lock v:ext="edit" aspectratio="f"/>
                <v:textbox>
                  <w:txbxContent>
                    <w:p w14:paraId="4A923C90"/>
                  </w:txbxContent>
                </v:textbox>
              </v:shape>
            </w:pict>
          </mc:Fallback>
        </mc:AlternateContent>
      </w:r>
      <w:r>
        <w:rPr>
          <w:rStyle w:val="139"/>
          <w:rFonts w:hint="default" w:ascii="Times New Roman" w:hAnsi="Times New Roman" w:eastAsia="宋体" w:cs="Times New Roman"/>
          <w:sz w:val="21"/>
          <w:szCs w:val="21"/>
          <w:lang w:val="en-US" w:eastAsia="zh-CN"/>
        </w:rPr>
        <w:t>附图5厂区平面布置图</w:t>
      </w:r>
    </w:p>
    <w:p w14:paraId="40577CA2">
      <w:pPr>
        <w:jc w:val="center"/>
      </w:pPr>
      <w:r>
        <w:drawing>
          <wp:inline distT="0" distB="0" distL="114300" distR="114300">
            <wp:extent cx="7448550" cy="4333875"/>
            <wp:effectExtent l="0" t="0" r="0" b="9525"/>
            <wp:docPr id="1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pic:cNvPicPr>
                      <a:picLocks noChangeAspect="1"/>
                    </pic:cNvPicPr>
                  </pic:nvPicPr>
                  <pic:blipFill>
                    <a:blip r:embed="rId82"/>
                    <a:stretch>
                      <a:fillRect/>
                    </a:stretch>
                  </pic:blipFill>
                  <pic:spPr>
                    <a:xfrm>
                      <a:off x="0" y="0"/>
                      <a:ext cx="7448550" cy="4333875"/>
                    </a:xfrm>
                    <a:prstGeom prst="rect">
                      <a:avLst/>
                    </a:prstGeom>
                    <a:noFill/>
                    <a:ln>
                      <a:noFill/>
                    </a:ln>
                  </pic:spPr>
                </pic:pic>
              </a:graphicData>
            </a:graphic>
          </wp:inline>
        </w:drawing>
      </w:r>
    </w:p>
    <w:p w14:paraId="2923F8F7">
      <w:pPr>
        <w:pStyle w:val="5"/>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mc:AlternateContent>
          <mc:Choice Requires="wps">
            <w:drawing>
              <wp:anchor distT="0" distB="0" distL="114300" distR="114300" simplePos="0" relativeHeight="251695104" behindDoc="0" locked="0" layoutInCell="1" allowOverlap="1">
                <wp:simplePos x="0" y="0"/>
                <wp:positionH relativeFrom="column">
                  <wp:posOffset>528320</wp:posOffset>
                </wp:positionH>
                <wp:positionV relativeFrom="paragraph">
                  <wp:posOffset>4094480</wp:posOffset>
                </wp:positionV>
                <wp:extent cx="828675" cy="685800"/>
                <wp:effectExtent l="4445" t="4445" r="5080" b="14605"/>
                <wp:wrapNone/>
                <wp:docPr id="109" name="文本框 109"/>
                <wp:cNvGraphicFramePr/>
                <a:graphic xmlns:a="http://schemas.openxmlformats.org/drawingml/2006/main">
                  <a:graphicData uri="http://schemas.microsoft.com/office/word/2010/wordprocessingShape">
                    <wps:wsp>
                      <wps:cNvSpPr txBox="1"/>
                      <wps:spPr>
                        <a:xfrm>
                          <a:off x="0" y="0"/>
                          <a:ext cx="828675" cy="685800"/>
                        </a:xfrm>
                        <a:prstGeom prst="rect">
                          <a:avLst/>
                        </a:prstGeom>
                        <a:solidFill>
                          <a:schemeClr val="lt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5A7F9A4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pt;margin-top:322.4pt;height:54pt;width:65.25pt;z-index:251695104;mso-width-relative:page;mso-height-relative:page;" fillcolor="#FFFFFF [3201]" filled="t" stroked="t" coordsize="21600,21600" o:gfxdata="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7TwpnZAAAA&#10;CgEAAA8AAAAAAAAAAQAgAAAAIgAAAGRycy9kb3ducmV2LnhtbFBLAQIUABQAAAAIAIdO4kApfFCa&#10;VQIAALsEAAAOAAAAAAAAAAEAIAAAACgBAABkcnMvZTJvRG9jLnhtbFBLBQYAAAAABgAGAFkBAADv&#10;BQAAAAA=&#10;">
                <v:fill on="t" focussize="0,0"/>
                <v:stroke weight="0.5pt" color="#FFFFFF [3212]" joinstyle="round"/>
                <v:imagedata o:title=""/>
                <o:lock v:ext="edit" aspectratio="f"/>
                <v:textbox>
                  <w:txbxContent>
                    <w:p w14:paraId="5A7F9A47"/>
                  </w:txbxContent>
                </v:textbox>
              </v:shape>
            </w:pict>
          </mc:Fallback>
        </mc:AlternateContent>
      </w:r>
      <w:r>
        <w:rPr>
          <w:rFonts w:hint="default" w:ascii="Times New Roman" w:hAnsi="Times New Roman" w:eastAsia="宋体" w:cs="Times New Roman"/>
          <w:sz w:val="21"/>
          <w:szCs w:val="21"/>
          <w:lang w:val="en-US" w:eastAsia="zh-CN"/>
        </w:rPr>
        <w:t>附图6危险废物贮存点布置图</w:t>
      </w:r>
    </w:p>
    <w:sectPr>
      <w:pgSz w:w="16781" w:h="11849" w:orient="landscape"/>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0"/>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行楷">
    <w:panose1 w:val="02010800040101010101"/>
    <w:charset w:val="86"/>
    <w:family w:val="auto"/>
    <w:pitch w:val="default"/>
    <w:sig w:usb0="00000001" w:usb1="080F0000" w:usb2="00000000" w:usb3="00000000" w:csb0="00040000" w:csb1="00000000"/>
  </w:font>
  <w:font w:name="Cambria">
    <w:panose1 w:val="02040503050406030204"/>
    <w:charset w:val="00"/>
    <w:family w:val="auto"/>
    <w:pitch w:val="default"/>
    <w:sig w:usb0="E00006FF" w:usb1="420024FF" w:usb2="02000000" w:usb3="00000000" w:csb0="2000019F" w:csb1="00000000"/>
  </w:font>
  <w:font w:name="Arial Unicode MS">
    <w:altName w:val="宋体"/>
    <w:panose1 w:val="020B0604020202020204"/>
    <w:charset w:val="86"/>
    <w:family w:val="auto"/>
    <w:pitch w:val="default"/>
    <w:sig w:usb0="00000000" w:usb1="00000000" w:usb2="0000003F" w:usb3="00000000" w:csb0="603F01FF" w:csb1="FFFF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new times roma">
    <w:altName w:val="Times New Roman"/>
    <w:panose1 w:val="00000000000000000000"/>
    <w:charset w:val="00"/>
    <w:family w:val="auto"/>
    <w:pitch w:val="default"/>
    <w:sig w:usb0="00000000" w:usb1="00000000" w:usb2="00000000"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Times New Roman Regular">
    <w:altName w:val="Times New Roman"/>
    <w:panose1 w:val="02020503050405090304"/>
    <w:charset w:val="00"/>
    <w:family w:val="auto"/>
    <w:pitch w:val="default"/>
    <w:sig w:usb0="00000000" w:usb1="00000000" w:usb2="00000001" w:usb3="00000000" w:csb0="400001BF" w:csb1="DFF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EFD71F">
    <w:pPr>
      <w:pStyle w:val="20"/>
      <w:tabs>
        <w:tab w:val="center" w:pos="4121"/>
        <w:tab w:val="clear" w:pos="4153"/>
      </w:tabs>
      <w:ind w:right="360" w:firstLine="360"/>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4C7E0A">
    <w:pPr>
      <w:pStyle w:val="20"/>
      <w:tabs>
        <w:tab w:val="center" w:pos="4121"/>
        <w:tab w:val="clear" w:pos="4153"/>
      </w:tabs>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076E9A">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p w14:paraId="0F076E9A">
                    <w:pPr>
                      <w:pStyle w:val="20"/>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7A51ED">
    <w:pPr>
      <w:pStyle w:val="20"/>
      <w:tabs>
        <w:tab w:val="center" w:pos="4121"/>
        <w:tab w:val="clear" w:pos="4153"/>
      </w:tabs>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894C43">
                          <w:pPr>
                            <w:pStyle w:val="20"/>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76894C43">
                    <w:pPr>
                      <w:pStyle w:val="20"/>
                    </w:pPr>
                    <w:r>
                      <w:fldChar w:fldCharType="begin"/>
                    </w:r>
                    <w:r>
                      <w:instrText xml:space="preserve"> PAGE  \* MERGEFORMAT </w:instrText>
                    </w:r>
                    <w:r>
                      <w:fldChar w:fldCharType="separate"/>
                    </w:r>
                    <w:r>
                      <w:t>28</w:t>
                    </w:r>
                    <w:r>
                      <w:fldChar w:fldCharType="end"/>
                    </w:r>
                  </w:p>
                </w:txbxContent>
              </v:textbox>
            </v:shape>
          </w:pict>
        </mc:Fallback>
      </mc:AlternateContent>
    </w:r>
    <w:r>
      <w:rPr>
        <w:rFonts w:hint="eastAsi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5E92C5">
    <w:pPr>
      <w:pStyle w:val="20"/>
      <w:tabs>
        <w:tab w:val="center" w:pos="4121"/>
        <w:tab w:val="clear" w:pos="4153"/>
        <w:tab w:val="clear" w:pos="8306"/>
      </w:tabs>
      <w:ind w:right="360"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E48BD4">
                          <w:pPr>
                            <w:pStyle w:val="20"/>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14:paraId="5CE48BD4">
                    <w:pPr>
                      <w:pStyle w:val="20"/>
                    </w:pPr>
                    <w:r>
                      <w:fldChar w:fldCharType="begin"/>
                    </w:r>
                    <w:r>
                      <w:instrText xml:space="preserve"> PAGE  \* MERGEFORMAT </w:instrText>
                    </w:r>
                    <w:r>
                      <w:fldChar w:fldCharType="separate"/>
                    </w:r>
                    <w:r>
                      <w:t>93</w:t>
                    </w:r>
                    <w:r>
                      <w:fldChar w:fldCharType="end"/>
                    </w:r>
                  </w:p>
                </w:txbxContent>
              </v:textbox>
            </v:shape>
          </w:pict>
        </mc:Fallback>
      </mc:AlternateContent>
    </w:r>
    <w:r>
      <w:rPr>
        <w:rFonts w:hint="eastAsia"/>
      </w:rPr>
      <w:tab/>
    </w:r>
    <w:r>
      <w:rPr>
        <w:rFonts w:hint="eastAsia"/>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F8ED4F"/>
    <w:multiLevelType w:val="singleLevel"/>
    <w:tmpl w:val="A2F8ED4F"/>
    <w:lvl w:ilvl="0" w:tentative="0">
      <w:start w:val="2"/>
      <w:numFmt w:val="decimal"/>
      <w:pStyle w:val="137"/>
      <w:suff w:val="nothing"/>
      <w:lvlText w:val="（%1）"/>
      <w:lvlJc w:val="left"/>
    </w:lvl>
  </w:abstractNum>
  <w:abstractNum w:abstractNumId="1">
    <w:nsid w:val="14861248"/>
    <w:multiLevelType w:val="multilevel"/>
    <w:tmpl w:val="14861248"/>
    <w:lvl w:ilvl="0" w:tentative="0">
      <w:start w:val="1"/>
      <w:numFmt w:val="decimal"/>
      <w:lvlText w:val="%1"/>
      <w:lvlJc w:val="left"/>
      <w:pPr>
        <w:ind w:left="432" w:hanging="432"/>
      </w:pPr>
      <w:rPr>
        <w:rFonts w:hint="eastAsia"/>
      </w:rPr>
    </w:lvl>
    <w:lvl w:ilvl="1" w:tentative="0">
      <w:start w:val="1"/>
      <w:numFmt w:val="decimal"/>
      <w:lvlText w:val="%1.%2"/>
      <w:lvlJc w:val="left"/>
      <w:pPr>
        <w:ind w:left="576" w:hanging="576"/>
      </w:pPr>
      <w:rPr>
        <w:rFonts w:hint="eastAsia"/>
      </w:rPr>
    </w:lvl>
    <w:lvl w:ilvl="2" w:tentative="0">
      <w:start w:val="1"/>
      <w:numFmt w:val="decimal"/>
      <w:pStyle w:val="7"/>
      <w:suff w:val="nothing"/>
      <w:lvlText w:val="%1.%2.%3"/>
      <w:lvlJc w:val="left"/>
      <w:pPr>
        <w:ind w:left="3261" w:hanging="851"/>
      </w:pPr>
    </w:lvl>
    <w:lvl w:ilvl="3" w:tentative="0">
      <w:start w:val="1"/>
      <w:numFmt w:val="decimal"/>
      <w:pStyle w:val="8"/>
      <w:suff w:val="nothing"/>
      <w:lvlText w:val="%1.%2.%3.%4"/>
      <w:lvlJc w:val="left"/>
      <w:pPr>
        <w:ind w:left="3415" w:hanging="864"/>
      </w:p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2">
    <w:nsid w:val="47C032C3"/>
    <w:multiLevelType w:val="singleLevel"/>
    <w:tmpl w:val="47C032C3"/>
    <w:lvl w:ilvl="0" w:tentative="0">
      <w:start w:val="1"/>
      <w:numFmt w:val="decimal"/>
      <w:suff w:val="nothing"/>
      <w:lvlText w:val="%1、"/>
      <w:lvlJc w:val="left"/>
    </w:lvl>
  </w:abstractNum>
  <w:abstractNum w:abstractNumId="3">
    <w:nsid w:val="4FFD0C1F"/>
    <w:multiLevelType w:val="singleLevel"/>
    <w:tmpl w:val="4FFD0C1F"/>
    <w:lvl w:ilvl="0" w:tentative="0">
      <w:start w:val="1"/>
      <w:numFmt w:val="chineseCounting"/>
      <w:suff w:val="nothing"/>
      <w:lvlText w:val="%1、"/>
      <w:lvlJc w:val="left"/>
      <w:rPr>
        <w:rFonts w:hint="eastAsia"/>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210"/>
  <w:drawingGridVerticalSpacing w:val="158"/>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A3ZDEzYTcyZWRiOGYyNzJkZjRjYTAzZDg0ODNmY2UifQ=="/>
  </w:docVars>
  <w:rsids>
    <w:rsidRoot w:val="00172A27"/>
    <w:rsid w:val="00001CED"/>
    <w:rsid w:val="00001E67"/>
    <w:rsid w:val="00003CD8"/>
    <w:rsid w:val="00014965"/>
    <w:rsid w:val="0001523A"/>
    <w:rsid w:val="00016ECB"/>
    <w:rsid w:val="000269F6"/>
    <w:rsid w:val="00031939"/>
    <w:rsid w:val="00032D25"/>
    <w:rsid w:val="0005219D"/>
    <w:rsid w:val="0005568F"/>
    <w:rsid w:val="00060C6A"/>
    <w:rsid w:val="0006153D"/>
    <w:rsid w:val="00061B1F"/>
    <w:rsid w:val="000664DB"/>
    <w:rsid w:val="00066EBC"/>
    <w:rsid w:val="000701C4"/>
    <w:rsid w:val="0007127D"/>
    <w:rsid w:val="00071AE5"/>
    <w:rsid w:val="00074783"/>
    <w:rsid w:val="000763E4"/>
    <w:rsid w:val="00076D34"/>
    <w:rsid w:val="000801E0"/>
    <w:rsid w:val="00082A29"/>
    <w:rsid w:val="0008331D"/>
    <w:rsid w:val="00083C18"/>
    <w:rsid w:val="00092899"/>
    <w:rsid w:val="00097F13"/>
    <w:rsid w:val="000A002F"/>
    <w:rsid w:val="000A178E"/>
    <w:rsid w:val="000A557E"/>
    <w:rsid w:val="000B058F"/>
    <w:rsid w:val="000B44D3"/>
    <w:rsid w:val="000B693F"/>
    <w:rsid w:val="000C09AC"/>
    <w:rsid w:val="000C0A63"/>
    <w:rsid w:val="000C437E"/>
    <w:rsid w:val="000E5F16"/>
    <w:rsid w:val="000F4452"/>
    <w:rsid w:val="000F6DA1"/>
    <w:rsid w:val="000F6F68"/>
    <w:rsid w:val="000F701B"/>
    <w:rsid w:val="001056A0"/>
    <w:rsid w:val="00115279"/>
    <w:rsid w:val="00117459"/>
    <w:rsid w:val="0011749A"/>
    <w:rsid w:val="00127A68"/>
    <w:rsid w:val="00140B13"/>
    <w:rsid w:val="00141B68"/>
    <w:rsid w:val="001466DA"/>
    <w:rsid w:val="00154DE1"/>
    <w:rsid w:val="00155B40"/>
    <w:rsid w:val="00157435"/>
    <w:rsid w:val="00163EEA"/>
    <w:rsid w:val="001662F5"/>
    <w:rsid w:val="00167A07"/>
    <w:rsid w:val="0017046A"/>
    <w:rsid w:val="001704A3"/>
    <w:rsid w:val="00172E78"/>
    <w:rsid w:val="0017504D"/>
    <w:rsid w:val="00177422"/>
    <w:rsid w:val="00184F10"/>
    <w:rsid w:val="00185546"/>
    <w:rsid w:val="00186BF0"/>
    <w:rsid w:val="0019146B"/>
    <w:rsid w:val="00193414"/>
    <w:rsid w:val="00194398"/>
    <w:rsid w:val="001A64C4"/>
    <w:rsid w:val="001A7D2A"/>
    <w:rsid w:val="001B574C"/>
    <w:rsid w:val="001C0AF9"/>
    <w:rsid w:val="001C155A"/>
    <w:rsid w:val="001C48C0"/>
    <w:rsid w:val="001C66E0"/>
    <w:rsid w:val="001D1BE5"/>
    <w:rsid w:val="001D6726"/>
    <w:rsid w:val="001E600B"/>
    <w:rsid w:val="001F3347"/>
    <w:rsid w:val="001F4440"/>
    <w:rsid w:val="001F69E4"/>
    <w:rsid w:val="00206A65"/>
    <w:rsid w:val="00210D6B"/>
    <w:rsid w:val="00212D31"/>
    <w:rsid w:val="002130C7"/>
    <w:rsid w:val="00217428"/>
    <w:rsid w:val="002218A8"/>
    <w:rsid w:val="0022306D"/>
    <w:rsid w:val="00226574"/>
    <w:rsid w:val="002278EC"/>
    <w:rsid w:val="002357C7"/>
    <w:rsid w:val="002367C4"/>
    <w:rsid w:val="0025679E"/>
    <w:rsid w:val="00260C68"/>
    <w:rsid w:val="002648B0"/>
    <w:rsid w:val="00275271"/>
    <w:rsid w:val="0027535E"/>
    <w:rsid w:val="0027562F"/>
    <w:rsid w:val="00275AA6"/>
    <w:rsid w:val="002807D5"/>
    <w:rsid w:val="00282CCD"/>
    <w:rsid w:val="002A168C"/>
    <w:rsid w:val="002A2C48"/>
    <w:rsid w:val="002A3EED"/>
    <w:rsid w:val="002A4A39"/>
    <w:rsid w:val="002A5A17"/>
    <w:rsid w:val="002A6425"/>
    <w:rsid w:val="002B49E2"/>
    <w:rsid w:val="002B6923"/>
    <w:rsid w:val="002B7B00"/>
    <w:rsid w:val="002B7C44"/>
    <w:rsid w:val="002C1388"/>
    <w:rsid w:val="002C3C6A"/>
    <w:rsid w:val="002D42DB"/>
    <w:rsid w:val="002E1F3A"/>
    <w:rsid w:val="002E28C7"/>
    <w:rsid w:val="002E298A"/>
    <w:rsid w:val="002F02A4"/>
    <w:rsid w:val="002F272B"/>
    <w:rsid w:val="002F7C6D"/>
    <w:rsid w:val="003027E4"/>
    <w:rsid w:val="0030332C"/>
    <w:rsid w:val="00303F39"/>
    <w:rsid w:val="00312296"/>
    <w:rsid w:val="0031340E"/>
    <w:rsid w:val="00316464"/>
    <w:rsid w:val="0032073A"/>
    <w:rsid w:val="00321D8E"/>
    <w:rsid w:val="00334996"/>
    <w:rsid w:val="00335D51"/>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D6656"/>
    <w:rsid w:val="003E665D"/>
    <w:rsid w:val="003E7681"/>
    <w:rsid w:val="003F0809"/>
    <w:rsid w:val="003F611C"/>
    <w:rsid w:val="003F6A92"/>
    <w:rsid w:val="003F755C"/>
    <w:rsid w:val="00406F01"/>
    <w:rsid w:val="00411B36"/>
    <w:rsid w:val="00411CA3"/>
    <w:rsid w:val="004121D7"/>
    <w:rsid w:val="00416D50"/>
    <w:rsid w:val="00417772"/>
    <w:rsid w:val="00420E6A"/>
    <w:rsid w:val="00430200"/>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D6899"/>
    <w:rsid w:val="004E43BF"/>
    <w:rsid w:val="004E5B30"/>
    <w:rsid w:val="004E7D88"/>
    <w:rsid w:val="004F0779"/>
    <w:rsid w:val="004F1230"/>
    <w:rsid w:val="004F173F"/>
    <w:rsid w:val="004F177C"/>
    <w:rsid w:val="004F2DCE"/>
    <w:rsid w:val="005039CB"/>
    <w:rsid w:val="0050558F"/>
    <w:rsid w:val="005057E0"/>
    <w:rsid w:val="00506286"/>
    <w:rsid w:val="00510813"/>
    <w:rsid w:val="00511DE0"/>
    <w:rsid w:val="00515C5E"/>
    <w:rsid w:val="00517F02"/>
    <w:rsid w:val="005221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C088A"/>
    <w:rsid w:val="005D0369"/>
    <w:rsid w:val="005D4603"/>
    <w:rsid w:val="005D53FE"/>
    <w:rsid w:val="005D7A0F"/>
    <w:rsid w:val="005E0438"/>
    <w:rsid w:val="005E1791"/>
    <w:rsid w:val="005E24E7"/>
    <w:rsid w:val="005E2CE6"/>
    <w:rsid w:val="005E6324"/>
    <w:rsid w:val="005F228B"/>
    <w:rsid w:val="005F29CD"/>
    <w:rsid w:val="005F4DFB"/>
    <w:rsid w:val="005F6CC0"/>
    <w:rsid w:val="00603E5B"/>
    <w:rsid w:val="00604BC8"/>
    <w:rsid w:val="00615B4C"/>
    <w:rsid w:val="00615B5D"/>
    <w:rsid w:val="0062146F"/>
    <w:rsid w:val="00627E6B"/>
    <w:rsid w:val="006343AF"/>
    <w:rsid w:val="0063634A"/>
    <w:rsid w:val="0064250D"/>
    <w:rsid w:val="006535EB"/>
    <w:rsid w:val="00663016"/>
    <w:rsid w:val="00674605"/>
    <w:rsid w:val="006748B8"/>
    <w:rsid w:val="0068535B"/>
    <w:rsid w:val="0068736E"/>
    <w:rsid w:val="0069290A"/>
    <w:rsid w:val="00694990"/>
    <w:rsid w:val="00697032"/>
    <w:rsid w:val="006975AC"/>
    <w:rsid w:val="006A15FB"/>
    <w:rsid w:val="006A72BF"/>
    <w:rsid w:val="006B332A"/>
    <w:rsid w:val="006B33BD"/>
    <w:rsid w:val="006B6D1F"/>
    <w:rsid w:val="006C3F75"/>
    <w:rsid w:val="006D170E"/>
    <w:rsid w:val="006E06AF"/>
    <w:rsid w:val="006F1789"/>
    <w:rsid w:val="00706C5D"/>
    <w:rsid w:val="007118E6"/>
    <w:rsid w:val="007225C9"/>
    <w:rsid w:val="00733E26"/>
    <w:rsid w:val="00735CD7"/>
    <w:rsid w:val="00754034"/>
    <w:rsid w:val="00754BF1"/>
    <w:rsid w:val="00755A30"/>
    <w:rsid w:val="00755DF0"/>
    <w:rsid w:val="00755E1C"/>
    <w:rsid w:val="00756556"/>
    <w:rsid w:val="0076132B"/>
    <w:rsid w:val="007623AE"/>
    <w:rsid w:val="00770B19"/>
    <w:rsid w:val="00774FA0"/>
    <w:rsid w:val="00776620"/>
    <w:rsid w:val="00777B6D"/>
    <w:rsid w:val="0078143C"/>
    <w:rsid w:val="00784855"/>
    <w:rsid w:val="00784F39"/>
    <w:rsid w:val="0078545C"/>
    <w:rsid w:val="0078768E"/>
    <w:rsid w:val="007906C4"/>
    <w:rsid w:val="007940EA"/>
    <w:rsid w:val="007967E8"/>
    <w:rsid w:val="007A165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795"/>
    <w:rsid w:val="00814FFB"/>
    <w:rsid w:val="00820568"/>
    <w:rsid w:val="00831A80"/>
    <w:rsid w:val="008332C8"/>
    <w:rsid w:val="00833743"/>
    <w:rsid w:val="008340A4"/>
    <w:rsid w:val="00836799"/>
    <w:rsid w:val="00837028"/>
    <w:rsid w:val="00837131"/>
    <w:rsid w:val="00843E1B"/>
    <w:rsid w:val="00845F57"/>
    <w:rsid w:val="008521E0"/>
    <w:rsid w:val="008525B0"/>
    <w:rsid w:val="00852A28"/>
    <w:rsid w:val="00867CBC"/>
    <w:rsid w:val="00876C30"/>
    <w:rsid w:val="00877017"/>
    <w:rsid w:val="008773C0"/>
    <w:rsid w:val="00880364"/>
    <w:rsid w:val="00886C4C"/>
    <w:rsid w:val="0088711C"/>
    <w:rsid w:val="0089189B"/>
    <w:rsid w:val="00892ECF"/>
    <w:rsid w:val="00892F06"/>
    <w:rsid w:val="00894285"/>
    <w:rsid w:val="008A40AE"/>
    <w:rsid w:val="008A4E19"/>
    <w:rsid w:val="008A67C5"/>
    <w:rsid w:val="008B1170"/>
    <w:rsid w:val="008B22E1"/>
    <w:rsid w:val="008B3C78"/>
    <w:rsid w:val="008B4AE9"/>
    <w:rsid w:val="008C30AD"/>
    <w:rsid w:val="008C6C96"/>
    <w:rsid w:val="008D068E"/>
    <w:rsid w:val="008D0F7A"/>
    <w:rsid w:val="008D313A"/>
    <w:rsid w:val="008D63BE"/>
    <w:rsid w:val="008E0CFF"/>
    <w:rsid w:val="008E53EE"/>
    <w:rsid w:val="008E5D6B"/>
    <w:rsid w:val="008E689B"/>
    <w:rsid w:val="008E76F0"/>
    <w:rsid w:val="008F15FE"/>
    <w:rsid w:val="008F2A94"/>
    <w:rsid w:val="008F5187"/>
    <w:rsid w:val="008F6EB2"/>
    <w:rsid w:val="008F709C"/>
    <w:rsid w:val="00900FC3"/>
    <w:rsid w:val="0090312B"/>
    <w:rsid w:val="00904961"/>
    <w:rsid w:val="0091736D"/>
    <w:rsid w:val="009269A2"/>
    <w:rsid w:val="00931001"/>
    <w:rsid w:val="00931863"/>
    <w:rsid w:val="00933524"/>
    <w:rsid w:val="00936276"/>
    <w:rsid w:val="0094278D"/>
    <w:rsid w:val="00951FEE"/>
    <w:rsid w:val="0095308A"/>
    <w:rsid w:val="00953D9C"/>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0FA4"/>
    <w:rsid w:val="009A72C7"/>
    <w:rsid w:val="009B0897"/>
    <w:rsid w:val="009D0852"/>
    <w:rsid w:val="009D1FBF"/>
    <w:rsid w:val="009D3880"/>
    <w:rsid w:val="009E399C"/>
    <w:rsid w:val="009E43C1"/>
    <w:rsid w:val="009E7E95"/>
    <w:rsid w:val="009F116F"/>
    <w:rsid w:val="009F329E"/>
    <w:rsid w:val="009F5089"/>
    <w:rsid w:val="009F7ED3"/>
    <w:rsid w:val="00A010BF"/>
    <w:rsid w:val="00A03607"/>
    <w:rsid w:val="00A047FF"/>
    <w:rsid w:val="00A04FEF"/>
    <w:rsid w:val="00A122CD"/>
    <w:rsid w:val="00A12A32"/>
    <w:rsid w:val="00A14248"/>
    <w:rsid w:val="00A14947"/>
    <w:rsid w:val="00A1745D"/>
    <w:rsid w:val="00A23DC5"/>
    <w:rsid w:val="00A34028"/>
    <w:rsid w:val="00A35568"/>
    <w:rsid w:val="00A37056"/>
    <w:rsid w:val="00A40483"/>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97848"/>
    <w:rsid w:val="00AA2C17"/>
    <w:rsid w:val="00AA3CEC"/>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1118"/>
    <w:rsid w:val="00B24F30"/>
    <w:rsid w:val="00B31ABF"/>
    <w:rsid w:val="00B32474"/>
    <w:rsid w:val="00B335AE"/>
    <w:rsid w:val="00B37CE1"/>
    <w:rsid w:val="00B40ACF"/>
    <w:rsid w:val="00B46918"/>
    <w:rsid w:val="00B46BAA"/>
    <w:rsid w:val="00B503C6"/>
    <w:rsid w:val="00B50B5F"/>
    <w:rsid w:val="00B54128"/>
    <w:rsid w:val="00B55826"/>
    <w:rsid w:val="00B60426"/>
    <w:rsid w:val="00B622DD"/>
    <w:rsid w:val="00B63522"/>
    <w:rsid w:val="00B76F1D"/>
    <w:rsid w:val="00B92A19"/>
    <w:rsid w:val="00B93F2F"/>
    <w:rsid w:val="00B9544C"/>
    <w:rsid w:val="00B95CDD"/>
    <w:rsid w:val="00BA29E9"/>
    <w:rsid w:val="00BB3618"/>
    <w:rsid w:val="00BC0C9E"/>
    <w:rsid w:val="00BC32DC"/>
    <w:rsid w:val="00BC57CD"/>
    <w:rsid w:val="00BD1B51"/>
    <w:rsid w:val="00BD47F6"/>
    <w:rsid w:val="00BE312D"/>
    <w:rsid w:val="00BE3FCA"/>
    <w:rsid w:val="00BF720C"/>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B6CDC"/>
    <w:rsid w:val="00CC6181"/>
    <w:rsid w:val="00CD2BCD"/>
    <w:rsid w:val="00CD36AA"/>
    <w:rsid w:val="00CD3791"/>
    <w:rsid w:val="00CD65B0"/>
    <w:rsid w:val="00CD79DA"/>
    <w:rsid w:val="00CE02CD"/>
    <w:rsid w:val="00CE10E9"/>
    <w:rsid w:val="00CF3752"/>
    <w:rsid w:val="00CF535D"/>
    <w:rsid w:val="00D0072E"/>
    <w:rsid w:val="00D12B9C"/>
    <w:rsid w:val="00D15727"/>
    <w:rsid w:val="00D16332"/>
    <w:rsid w:val="00D24972"/>
    <w:rsid w:val="00D2515E"/>
    <w:rsid w:val="00D308ED"/>
    <w:rsid w:val="00D40D69"/>
    <w:rsid w:val="00D51461"/>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E0A62"/>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A6F52"/>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4F67"/>
    <w:rsid w:val="00F465A7"/>
    <w:rsid w:val="00F50B7C"/>
    <w:rsid w:val="00F5202D"/>
    <w:rsid w:val="00F52A8D"/>
    <w:rsid w:val="00F52CF6"/>
    <w:rsid w:val="00F54496"/>
    <w:rsid w:val="00F61097"/>
    <w:rsid w:val="00F74345"/>
    <w:rsid w:val="00F74441"/>
    <w:rsid w:val="00F77F30"/>
    <w:rsid w:val="00F82589"/>
    <w:rsid w:val="00F82B19"/>
    <w:rsid w:val="00F90AA7"/>
    <w:rsid w:val="00F9212D"/>
    <w:rsid w:val="00FA301A"/>
    <w:rsid w:val="00FA406A"/>
    <w:rsid w:val="00FA5CB6"/>
    <w:rsid w:val="00FC3E1B"/>
    <w:rsid w:val="00FC66AC"/>
    <w:rsid w:val="00FD18F4"/>
    <w:rsid w:val="00FD74B4"/>
    <w:rsid w:val="00FF6FCE"/>
    <w:rsid w:val="00FF7518"/>
    <w:rsid w:val="00FF7FD8"/>
    <w:rsid w:val="01010593"/>
    <w:rsid w:val="01017684"/>
    <w:rsid w:val="01020556"/>
    <w:rsid w:val="010351AA"/>
    <w:rsid w:val="010A6538"/>
    <w:rsid w:val="01134188"/>
    <w:rsid w:val="01161381"/>
    <w:rsid w:val="01192C1F"/>
    <w:rsid w:val="011A24F4"/>
    <w:rsid w:val="011B6997"/>
    <w:rsid w:val="011C62C9"/>
    <w:rsid w:val="01211AD4"/>
    <w:rsid w:val="012D0479"/>
    <w:rsid w:val="012F41F1"/>
    <w:rsid w:val="01323CE1"/>
    <w:rsid w:val="01415CD2"/>
    <w:rsid w:val="014468F6"/>
    <w:rsid w:val="01483505"/>
    <w:rsid w:val="014852B3"/>
    <w:rsid w:val="014F219D"/>
    <w:rsid w:val="014F4893"/>
    <w:rsid w:val="01505F15"/>
    <w:rsid w:val="0151367A"/>
    <w:rsid w:val="01527EDF"/>
    <w:rsid w:val="015E6884"/>
    <w:rsid w:val="01610122"/>
    <w:rsid w:val="016539DF"/>
    <w:rsid w:val="01697764"/>
    <w:rsid w:val="016D6AC7"/>
    <w:rsid w:val="0176597C"/>
    <w:rsid w:val="017C6910"/>
    <w:rsid w:val="017D31AE"/>
    <w:rsid w:val="01804A4C"/>
    <w:rsid w:val="018362EB"/>
    <w:rsid w:val="018B32D0"/>
    <w:rsid w:val="01910A08"/>
    <w:rsid w:val="019422A6"/>
    <w:rsid w:val="0194674A"/>
    <w:rsid w:val="0196601E"/>
    <w:rsid w:val="019B3634"/>
    <w:rsid w:val="019C0823"/>
    <w:rsid w:val="019F1F35"/>
    <w:rsid w:val="01A3073B"/>
    <w:rsid w:val="01A56261"/>
    <w:rsid w:val="01A717A9"/>
    <w:rsid w:val="01AD5116"/>
    <w:rsid w:val="01B110AA"/>
    <w:rsid w:val="01B30A50"/>
    <w:rsid w:val="01B34E22"/>
    <w:rsid w:val="01B464A4"/>
    <w:rsid w:val="01B666C0"/>
    <w:rsid w:val="01BA61B0"/>
    <w:rsid w:val="01C2082B"/>
    <w:rsid w:val="01C44B91"/>
    <w:rsid w:val="01C7267B"/>
    <w:rsid w:val="01C901A1"/>
    <w:rsid w:val="01CE57B8"/>
    <w:rsid w:val="01D30B9A"/>
    <w:rsid w:val="01D31020"/>
    <w:rsid w:val="01D35E86"/>
    <w:rsid w:val="01D37272"/>
    <w:rsid w:val="01D46B46"/>
    <w:rsid w:val="01D6466C"/>
    <w:rsid w:val="01D803E5"/>
    <w:rsid w:val="01E07299"/>
    <w:rsid w:val="01E62463"/>
    <w:rsid w:val="01E764AF"/>
    <w:rsid w:val="01E9759B"/>
    <w:rsid w:val="01EA0118"/>
    <w:rsid w:val="01EC0334"/>
    <w:rsid w:val="01ED7C29"/>
    <w:rsid w:val="01EF3980"/>
    <w:rsid w:val="01F42D45"/>
    <w:rsid w:val="01FB40D3"/>
    <w:rsid w:val="020411DA"/>
    <w:rsid w:val="02070CCA"/>
    <w:rsid w:val="02077A8A"/>
    <w:rsid w:val="020D4CA4"/>
    <w:rsid w:val="020F7B7E"/>
    <w:rsid w:val="02117D9A"/>
    <w:rsid w:val="0213766F"/>
    <w:rsid w:val="02145195"/>
    <w:rsid w:val="02145238"/>
    <w:rsid w:val="021740F7"/>
    <w:rsid w:val="021A6C4F"/>
    <w:rsid w:val="021E7DCE"/>
    <w:rsid w:val="02217FDE"/>
    <w:rsid w:val="022655F4"/>
    <w:rsid w:val="02290C40"/>
    <w:rsid w:val="02291B07"/>
    <w:rsid w:val="022C24DE"/>
    <w:rsid w:val="022E26FA"/>
    <w:rsid w:val="023A5B99"/>
    <w:rsid w:val="023B0973"/>
    <w:rsid w:val="023B1CD9"/>
    <w:rsid w:val="02441F1E"/>
    <w:rsid w:val="02447828"/>
    <w:rsid w:val="024B6E08"/>
    <w:rsid w:val="025657AD"/>
    <w:rsid w:val="025739FF"/>
    <w:rsid w:val="02581525"/>
    <w:rsid w:val="02595DB9"/>
    <w:rsid w:val="025A704C"/>
    <w:rsid w:val="02693733"/>
    <w:rsid w:val="026976F5"/>
    <w:rsid w:val="026C4FD1"/>
    <w:rsid w:val="026E0D49"/>
    <w:rsid w:val="026E2029"/>
    <w:rsid w:val="027125E7"/>
    <w:rsid w:val="02753FD3"/>
    <w:rsid w:val="02756840"/>
    <w:rsid w:val="02783976"/>
    <w:rsid w:val="027A76EE"/>
    <w:rsid w:val="027C5214"/>
    <w:rsid w:val="027E18B7"/>
    <w:rsid w:val="02816E42"/>
    <w:rsid w:val="02832A46"/>
    <w:rsid w:val="028440C8"/>
    <w:rsid w:val="02936A01"/>
    <w:rsid w:val="0295277A"/>
    <w:rsid w:val="029C3B08"/>
    <w:rsid w:val="029E562B"/>
    <w:rsid w:val="02A14633"/>
    <w:rsid w:val="02A40196"/>
    <w:rsid w:val="02A76009"/>
    <w:rsid w:val="02A97FD3"/>
    <w:rsid w:val="02AB3D4B"/>
    <w:rsid w:val="02B50726"/>
    <w:rsid w:val="02B56978"/>
    <w:rsid w:val="02B6369A"/>
    <w:rsid w:val="02C40969"/>
    <w:rsid w:val="02C60B85"/>
    <w:rsid w:val="02C941D1"/>
    <w:rsid w:val="02CE4CF7"/>
    <w:rsid w:val="02D54924"/>
    <w:rsid w:val="02D908B8"/>
    <w:rsid w:val="02DB63CA"/>
    <w:rsid w:val="02E2723F"/>
    <w:rsid w:val="02E31493"/>
    <w:rsid w:val="02E42DB9"/>
    <w:rsid w:val="02E74049"/>
    <w:rsid w:val="02E80AFB"/>
    <w:rsid w:val="02EC0712"/>
    <w:rsid w:val="02EF1E8A"/>
    <w:rsid w:val="02F54FC6"/>
    <w:rsid w:val="02F76F90"/>
    <w:rsid w:val="02FD4D40"/>
    <w:rsid w:val="02FE031F"/>
    <w:rsid w:val="0301396B"/>
    <w:rsid w:val="03031491"/>
    <w:rsid w:val="030D0562"/>
    <w:rsid w:val="03165668"/>
    <w:rsid w:val="0317318F"/>
    <w:rsid w:val="031C2553"/>
    <w:rsid w:val="031F5251"/>
    <w:rsid w:val="03206072"/>
    <w:rsid w:val="03217B69"/>
    <w:rsid w:val="03253AFD"/>
    <w:rsid w:val="032558AB"/>
    <w:rsid w:val="03265180"/>
    <w:rsid w:val="032A1114"/>
    <w:rsid w:val="032C4E8C"/>
    <w:rsid w:val="032D4760"/>
    <w:rsid w:val="032F5C6D"/>
    <w:rsid w:val="03367AB9"/>
    <w:rsid w:val="033710B6"/>
    <w:rsid w:val="03391357"/>
    <w:rsid w:val="03393105"/>
    <w:rsid w:val="033A0C2B"/>
    <w:rsid w:val="033A62E9"/>
    <w:rsid w:val="033C40A2"/>
    <w:rsid w:val="033E071B"/>
    <w:rsid w:val="033E4BBF"/>
    <w:rsid w:val="034321D6"/>
    <w:rsid w:val="03455F4E"/>
    <w:rsid w:val="034A70C0"/>
    <w:rsid w:val="034E72B8"/>
    <w:rsid w:val="035148F2"/>
    <w:rsid w:val="03546191"/>
    <w:rsid w:val="03547F3F"/>
    <w:rsid w:val="035717DD"/>
    <w:rsid w:val="036B7087"/>
    <w:rsid w:val="037212ED"/>
    <w:rsid w:val="03726617"/>
    <w:rsid w:val="0374413D"/>
    <w:rsid w:val="0385634A"/>
    <w:rsid w:val="038A3960"/>
    <w:rsid w:val="038C592B"/>
    <w:rsid w:val="038D3451"/>
    <w:rsid w:val="038D4A2D"/>
    <w:rsid w:val="03927D69"/>
    <w:rsid w:val="039B3DC0"/>
    <w:rsid w:val="039B791C"/>
    <w:rsid w:val="039C407F"/>
    <w:rsid w:val="039C5442"/>
    <w:rsid w:val="03A013D6"/>
    <w:rsid w:val="03A2514E"/>
    <w:rsid w:val="03A72764"/>
    <w:rsid w:val="03B31109"/>
    <w:rsid w:val="03B804CE"/>
    <w:rsid w:val="03B978B9"/>
    <w:rsid w:val="03BB7FBE"/>
    <w:rsid w:val="03C245F7"/>
    <w:rsid w:val="03C42CC6"/>
    <w:rsid w:val="03C9309C"/>
    <w:rsid w:val="03CA6453"/>
    <w:rsid w:val="03CC265C"/>
    <w:rsid w:val="03CD1261"/>
    <w:rsid w:val="03CD1A9F"/>
    <w:rsid w:val="03D41080"/>
    <w:rsid w:val="03D472D2"/>
    <w:rsid w:val="03DF1EFE"/>
    <w:rsid w:val="03DF6A02"/>
    <w:rsid w:val="03E017D2"/>
    <w:rsid w:val="03E54254"/>
    <w:rsid w:val="03E56DE9"/>
    <w:rsid w:val="03E80687"/>
    <w:rsid w:val="03EA43FF"/>
    <w:rsid w:val="03EE0393"/>
    <w:rsid w:val="03EF4CA9"/>
    <w:rsid w:val="03EF5EB9"/>
    <w:rsid w:val="03F56037"/>
    <w:rsid w:val="03F62DA4"/>
    <w:rsid w:val="03FD4132"/>
    <w:rsid w:val="03FE341B"/>
    <w:rsid w:val="03FE4B5C"/>
    <w:rsid w:val="04001FDF"/>
    <w:rsid w:val="040556DD"/>
    <w:rsid w:val="040A4AA1"/>
    <w:rsid w:val="040D5F94"/>
    <w:rsid w:val="040E27E3"/>
    <w:rsid w:val="040E4592"/>
    <w:rsid w:val="04133956"/>
    <w:rsid w:val="041651F4"/>
    <w:rsid w:val="041E22FB"/>
    <w:rsid w:val="04253689"/>
    <w:rsid w:val="04254581"/>
    <w:rsid w:val="042C4A18"/>
    <w:rsid w:val="042E24FA"/>
    <w:rsid w:val="042E253E"/>
    <w:rsid w:val="043A5387"/>
    <w:rsid w:val="043B2EAD"/>
    <w:rsid w:val="043B510F"/>
    <w:rsid w:val="043D09D3"/>
    <w:rsid w:val="043D29C9"/>
    <w:rsid w:val="04553F6E"/>
    <w:rsid w:val="0455536E"/>
    <w:rsid w:val="045B70AB"/>
    <w:rsid w:val="045F2DCA"/>
    <w:rsid w:val="045F6B9B"/>
    <w:rsid w:val="046441B2"/>
    <w:rsid w:val="04673CA2"/>
    <w:rsid w:val="046828E1"/>
    <w:rsid w:val="046B3BE8"/>
    <w:rsid w:val="046C0D5B"/>
    <w:rsid w:val="047343F5"/>
    <w:rsid w:val="04762137"/>
    <w:rsid w:val="04777A0C"/>
    <w:rsid w:val="047C599F"/>
    <w:rsid w:val="04812FB5"/>
    <w:rsid w:val="048B5BE2"/>
    <w:rsid w:val="048D3235"/>
    <w:rsid w:val="048E56D2"/>
    <w:rsid w:val="04912D27"/>
    <w:rsid w:val="0495080F"/>
    <w:rsid w:val="04966335"/>
    <w:rsid w:val="04974587"/>
    <w:rsid w:val="049802FF"/>
    <w:rsid w:val="04984EBD"/>
    <w:rsid w:val="049C1B9D"/>
    <w:rsid w:val="04A3117E"/>
    <w:rsid w:val="04A57341"/>
    <w:rsid w:val="04AC5B58"/>
    <w:rsid w:val="04AE18D1"/>
    <w:rsid w:val="04B30C95"/>
    <w:rsid w:val="04B36EE7"/>
    <w:rsid w:val="04B54A0D"/>
    <w:rsid w:val="04B70785"/>
    <w:rsid w:val="04B80AA3"/>
    <w:rsid w:val="04BF1806"/>
    <w:rsid w:val="04BF763A"/>
    <w:rsid w:val="04C2712A"/>
    <w:rsid w:val="04D255BF"/>
    <w:rsid w:val="04D330E5"/>
    <w:rsid w:val="04DB409D"/>
    <w:rsid w:val="04DC643E"/>
    <w:rsid w:val="04DF250D"/>
    <w:rsid w:val="04E31402"/>
    <w:rsid w:val="04E35A1E"/>
    <w:rsid w:val="04EB042F"/>
    <w:rsid w:val="04ED41A7"/>
    <w:rsid w:val="04F01EE9"/>
    <w:rsid w:val="04F75026"/>
    <w:rsid w:val="04FA6B11"/>
    <w:rsid w:val="04FE4606"/>
    <w:rsid w:val="04FF3EDA"/>
    <w:rsid w:val="05015EA4"/>
    <w:rsid w:val="05017C52"/>
    <w:rsid w:val="05045994"/>
    <w:rsid w:val="05047743"/>
    <w:rsid w:val="050B287F"/>
    <w:rsid w:val="05107E95"/>
    <w:rsid w:val="051A0D14"/>
    <w:rsid w:val="051C683A"/>
    <w:rsid w:val="051E6A56"/>
    <w:rsid w:val="051E7732"/>
    <w:rsid w:val="052027CE"/>
    <w:rsid w:val="05235E1B"/>
    <w:rsid w:val="052954F7"/>
    <w:rsid w:val="052B4CCF"/>
    <w:rsid w:val="052D0A47"/>
    <w:rsid w:val="052D1694"/>
    <w:rsid w:val="052D4EEB"/>
    <w:rsid w:val="05322502"/>
    <w:rsid w:val="0532605E"/>
    <w:rsid w:val="053718C6"/>
    <w:rsid w:val="053C0C8A"/>
    <w:rsid w:val="053E5AFA"/>
    <w:rsid w:val="05404C1F"/>
    <w:rsid w:val="05412745"/>
    <w:rsid w:val="05412FEB"/>
    <w:rsid w:val="05453FE3"/>
    <w:rsid w:val="05464CD5"/>
    <w:rsid w:val="0547556E"/>
    <w:rsid w:val="0548762F"/>
    <w:rsid w:val="054F58B7"/>
    <w:rsid w:val="05557F9E"/>
    <w:rsid w:val="05561E22"/>
    <w:rsid w:val="05575AC4"/>
    <w:rsid w:val="055C18F5"/>
    <w:rsid w:val="055D7941"/>
    <w:rsid w:val="055E7FA4"/>
    <w:rsid w:val="05614B95"/>
    <w:rsid w:val="056401E1"/>
    <w:rsid w:val="05685F23"/>
    <w:rsid w:val="056B77C2"/>
    <w:rsid w:val="056D3E42"/>
    <w:rsid w:val="056F72DE"/>
    <w:rsid w:val="05742AC8"/>
    <w:rsid w:val="05793C8D"/>
    <w:rsid w:val="057C377D"/>
    <w:rsid w:val="05852BDA"/>
    <w:rsid w:val="058663AA"/>
    <w:rsid w:val="058873D6"/>
    <w:rsid w:val="058979DF"/>
    <w:rsid w:val="058B29E1"/>
    <w:rsid w:val="058B4EAD"/>
    <w:rsid w:val="0591547A"/>
    <w:rsid w:val="05917228"/>
    <w:rsid w:val="05940AC6"/>
    <w:rsid w:val="05942874"/>
    <w:rsid w:val="0596483F"/>
    <w:rsid w:val="059A541F"/>
    <w:rsid w:val="059E36F3"/>
    <w:rsid w:val="05A50F26"/>
    <w:rsid w:val="05AB5C72"/>
    <w:rsid w:val="05AC4062"/>
    <w:rsid w:val="05B13426"/>
    <w:rsid w:val="05BB6053"/>
    <w:rsid w:val="05C55124"/>
    <w:rsid w:val="05C57BB2"/>
    <w:rsid w:val="05C84C14"/>
    <w:rsid w:val="05CA0CA4"/>
    <w:rsid w:val="05CF7D50"/>
    <w:rsid w:val="05D15877"/>
    <w:rsid w:val="05D2339D"/>
    <w:rsid w:val="05D90BCF"/>
    <w:rsid w:val="05D9472B"/>
    <w:rsid w:val="05ED01D7"/>
    <w:rsid w:val="05EE2510"/>
    <w:rsid w:val="05EE467B"/>
    <w:rsid w:val="05F52F17"/>
    <w:rsid w:val="05F862B3"/>
    <w:rsid w:val="05F902FF"/>
    <w:rsid w:val="05F9301F"/>
    <w:rsid w:val="05FD48BE"/>
    <w:rsid w:val="060256D1"/>
    <w:rsid w:val="06057FE3"/>
    <w:rsid w:val="06106C35"/>
    <w:rsid w:val="06127C3D"/>
    <w:rsid w:val="06155DE8"/>
    <w:rsid w:val="0616597F"/>
    <w:rsid w:val="0616772D"/>
    <w:rsid w:val="06174FC9"/>
    <w:rsid w:val="061834A6"/>
    <w:rsid w:val="061A40F4"/>
    <w:rsid w:val="06233BF8"/>
    <w:rsid w:val="062956B3"/>
    <w:rsid w:val="062A5536"/>
    <w:rsid w:val="062C51A3"/>
    <w:rsid w:val="062E0F1B"/>
    <w:rsid w:val="062E2CC9"/>
    <w:rsid w:val="062F6A41"/>
    <w:rsid w:val="06305B70"/>
    <w:rsid w:val="063400E4"/>
    <w:rsid w:val="06352F05"/>
    <w:rsid w:val="0637015B"/>
    <w:rsid w:val="063858F6"/>
    <w:rsid w:val="063B53E6"/>
    <w:rsid w:val="063D115E"/>
    <w:rsid w:val="063E7D85"/>
    <w:rsid w:val="064047AA"/>
    <w:rsid w:val="064222D0"/>
    <w:rsid w:val="06471FDD"/>
    <w:rsid w:val="06472967"/>
    <w:rsid w:val="06475E2A"/>
    <w:rsid w:val="064C13A1"/>
    <w:rsid w:val="064F454E"/>
    <w:rsid w:val="06514C09"/>
    <w:rsid w:val="06523C1B"/>
    <w:rsid w:val="06530982"/>
    <w:rsid w:val="06563FCE"/>
    <w:rsid w:val="06587D46"/>
    <w:rsid w:val="0659586C"/>
    <w:rsid w:val="065B7836"/>
    <w:rsid w:val="06604169"/>
    <w:rsid w:val="066606B5"/>
    <w:rsid w:val="06693D01"/>
    <w:rsid w:val="066C559F"/>
    <w:rsid w:val="067B57E2"/>
    <w:rsid w:val="067D77AC"/>
    <w:rsid w:val="0680104B"/>
    <w:rsid w:val="06823015"/>
    <w:rsid w:val="06826B71"/>
    <w:rsid w:val="068B1EC9"/>
    <w:rsid w:val="068D62C8"/>
    <w:rsid w:val="068E3768"/>
    <w:rsid w:val="06954AF6"/>
    <w:rsid w:val="069D1BFD"/>
    <w:rsid w:val="069D39AB"/>
    <w:rsid w:val="069D7E4F"/>
    <w:rsid w:val="069E1EDD"/>
    <w:rsid w:val="069F5975"/>
    <w:rsid w:val="06A27213"/>
    <w:rsid w:val="06A42F8B"/>
    <w:rsid w:val="06A44D39"/>
    <w:rsid w:val="06A66D03"/>
    <w:rsid w:val="06BB0913"/>
    <w:rsid w:val="06BB2083"/>
    <w:rsid w:val="06BC02D5"/>
    <w:rsid w:val="06C07699"/>
    <w:rsid w:val="06C12665"/>
    <w:rsid w:val="06C158EB"/>
    <w:rsid w:val="06C62F02"/>
    <w:rsid w:val="06C6670B"/>
    <w:rsid w:val="06C76C7A"/>
    <w:rsid w:val="06C9323D"/>
    <w:rsid w:val="06CB64FF"/>
    <w:rsid w:val="06CC4290"/>
    <w:rsid w:val="06CD24E2"/>
    <w:rsid w:val="06D179D1"/>
    <w:rsid w:val="06D53145"/>
    <w:rsid w:val="06DE46EF"/>
    <w:rsid w:val="06E15F8D"/>
    <w:rsid w:val="06E415DA"/>
    <w:rsid w:val="06F04422"/>
    <w:rsid w:val="06F21D26"/>
    <w:rsid w:val="06F23CF7"/>
    <w:rsid w:val="06F7755F"/>
    <w:rsid w:val="06F832D7"/>
    <w:rsid w:val="06FC6923"/>
    <w:rsid w:val="070677A2"/>
    <w:rsid w:val="0708176C"/>
    <w:rsid w:val="070875E0"/>
    <w:rsid w:val="070F2026"/>
    <w:rsid w:val="07100621"/>
    <w:rsid w:val="071023CF"/>
    <w:rsid w:val="07110BA2"/>
    <w:rsid w:val="071A324D"/>
    <w:rsid w:val="071E2D3E"/>
    <w:rsid w:val="07293586"/>
    <w:rsid w:val="07295285"/>
    <w:rsid w:val="072D2F81"/>
    <w:rsid w:val="072D508B"/>
    <w:rsid w:val="072F22BE"/>
    <w:rsid w:val="07306DA6"/>
    <w:rsid w:val="07322345"/>
    <w:rsid w:val="073360BD"/>
    <w:rsid w:val="073443D1"/>
    <w:rsid w:val="073562D9"/>
    <w:rsid w:val="0737795B"/>
    <w:rsid w:val="073A569E"/>
    <w:rsid w:val="073B6467"/>
    <w:rsid w:val="073E518E"/>
    <w:rsid w:val="074107DA"/>
    <w:rsid w:val="07462294"/>
    <w:rsid w:val="07464042"/>
    <w:rsid w:val="07481B68"/>
    <w:rsid w:val="07483BF5"/>
    <w:rsid w:val="074C0E53"/>
    <w:rsid w:val="074E2EF7"/>
    <w:rsid w:val="07500A1D"/>
    <w:rsid w:val="07515272"/>
    <w:rsid w:val="07524795"/>
    <w:rsid w:val="07526D7F"/>
    <w:rsid w:val="075A189C"/>
    <w:rsid w:val="075A7AEE"/>
    <w:rsid w:val="075C7F8E"/>
    <w:rsid w:val="0765096C"/>
    <w:rsid w:val="076B2ECD"/>
    <w:rsid w:val="076D5A73"/>
    <w:rsid w:val="076F6FBB"/>
    <w:rsid w:val="077639A5"/>
    <w:rsid w:val="07770C56"/>
    <w:rsid w:val="07797F74"/>
    <w:rsid w:val="077C1812"/>
    <w:rsid w:val="07812C00"/>
    <w:rsid w:val="07844B53"/>
    <w:rsid w:val="07866B35"/>
    <w:rsid w:val="07893F2F"/>
    <w:rsid w:val="078B5EF9"/>
    <w:rsid w:val="07943F08"/>
    <w:rsid w:val="0794648D"/>
    <w:rsid w:val="07960AD9"/>
    <w:rsid w:val="07A23A55"/>
    <w:rsid w:val="07A56FBB"/>
    <w:rsid w:val="07A64AE1"/>
    <w:rsid w:val="07A66D5A"/>
    <w:rsid w:val="07A73637"/>
    <w:rsid w:val="07A84FDE"/>
    <w:rsid w:val="07AA0EFE"/>
    <w:rsid w:val="07AB20F7"/>
    <w:rsid w:val="07AC5A1F"/>
    <w:rsid w:val="07AF4ECA"/>
    <w:rsid w:val="07B0158F"/>
    <w:rsid w:val="07B01DD8"/>
    <w:rsid w:val="07B12231"/>
    <w:rsid w:val="07B13BB2"/>
    <w:rsid w:val="07B216D8"/>
    <w:rsid w:val="07B23486"/>
    <w:rsid w:val="07B90CB8"/>
    <w:rsid w:val="07B92A66"/>
    <w:rsid w:val="07B96BED"/>
    <w:rsid w:val="07C136C9"/>
    <w:rsid w:val="07C80EFB"/>
    <w:rsid w:val="07CB629E"/>
    <w:rsid w:val="07CC09EB"/>
    <w:rsid w:val="07CD4764"/>
    <w:rsid w:val="07D26499"/>
    <w:rsid w:val="07D442F0"/>
    <w:rsid w:val="07D7113E"/>
    <w:rsid w:val="07D931AC"/>
    <w:rsid w:val="07D94EB6"/>
    <w:rsid w:val="07D96C64"/>
    <w:rsid w:val="07DD10FF"/>
    <w:rsid w:val="07DD49A7"/>
    <w:rsid w:val="07DE071F"/>
    <w:rsid w:val="07DF4305"/>
    <w:rsid w:val="07E76222"/>
    <w:rsid w:val="07E8334B"/>
    <w:rsid w:val="07E86EA8"/>
    <w:rsid w:val="07ED2710"/>
    <w:rsid w:val="07F13FAE"/>
    <w:rsid w:val="07F27D26"/>
    <w:rsid w:val="07F43A9E"/>
    <w:rsid w:val="07F92E63"/>
    <w:rsid w:val="0802003B"/>
    <w:rsid w:val="08031F33"/>
    <w:rsid w:val="08033CE1"/>
    <w:rsid w:val="080811D8"/>
    <w:rsid w:val="080C528C"/>
    <w:rsid w:val="080F2686"/>
    <w:rsid w:val="08111A6D"/>
    <w:rsid w:val="08114650"/>
    <w:rsid w:val="08123F24"/>
    <w:rsid w:val="081C4DA3"/>
    <w:rsid w:val="081D4626"/>
    <w:rsid w:val="08226344"/>
    <w:rsid w:val="08255A35"/>
    <w:rsid w:val="08262F95"/>
    <w:rsid w:val="08273E74"/>
    <w:rsid w:val="082A5712"/>
    <w:rsid w:val="08316AA1"/>
    <w:rsid w:val="083818D9"/>
    <w:rsid w:val="08387E2F"/>
    <w:rsid w:val="083E2F6B"/>
    <w:rsid w:val="083E4D1A"/>
    <w:rsid w:val="08426486"/>
    <w:rsid w:val="084661C6"/>
    <w:rsid w:val="08470072"/>
    <w:rsid w:val="084A5DB4"/>
    <w:rsid w:val="084F0A5C"/>
    <w:rsid w:val="084F4E8A"/>
    <w:rsid w:val="085409E1"/>
    <w:rsid w:val="0854453D"/>
    <w:rsid w:val="085D4452"/>
    <w:rsid w:val="086230FE"/>
    <w:rsid w:val="08697415"/>
    <w:rsid w:val="086A3D60"/>
    <w:rsid w:val="086B7B56"/>
    <w:rsid w:val="086D316B"/>
    <w:rsid w:val="086F380C"/>
    <w:rsid w:val="087109F5"/>
    <w:rsid w:val="087A4C54"/>
    <w:rsid w:val="088210AA"/>
    <w:rsid w:val="08850A8D"/>
    <w:rsid w:val="08862D93"/>
    <w:rsid w:val="08872B64"/>
    <w:rsid w:val="08874912"/>
    <w:rsid w:val="08894C98"/>
    <w:rsid w:val="088968DD"/>
    <w:rsid w:val="08923091"/>
    <w:rsid w:val="0898267C"/>
    <w:rsid w:val="08997879"/>
    <w:rsid w:val="08A2174C"/>
    <w:rsid w:val="08A54D99"/>
    <w:rsid w:val="08A92ADB"/>
    <w:rsid w:val="08AC299F"/>
    <w:rsid w:val="08B03E69"/>
    <w:rsid w:val="08B111EB"/>
    <w:rsid w:val="08B576D2"/>
    <w:rsid w:val="08B651F8"/>
    <w:rsid w:val="08BD0334"/>
    <w:rsid w:val="08C05347"/>
    <w:rsid w:val="08C6543B"/>
    <w:rsid w:val="08C91AB8"/>
    <w:rsid w:val="08CA34D3"/>
    <w:rsid w:val="08CE2541"/>
    <w:rsid w:val="08CE42EF"/>
    <w:rsid w:val="08CF1E16"/>
    <w:rsid w:val="08D14FA8"/>
    <w:rsid w:val="08D538D0"/>
    <w:rsid w:val="08D63276"/>
    <w:rsid w:val="08D72F06"/>
    <w:rsid w:val="08DB6A0C"/>
    <w:rsid w:val="08DF474E"/>
    <w:rsid w:val="08E104C7"/>
    <w:rsid w:val="08E92932"/>
    <w:rsid w:val="08F301FA"/>
    <w:rsid w:val="08F53CDB"/>
    <w:rsid w:val="08FF094D"/>
    <w:rsid w:val="090158E3"/>
    <w:rsid w:val="090221EB"/>
    <w:rsid w:val="09023F99"/>
    <w:rsid w:val="090C4E18"/>
    <w:rsid w:val="0913264A"/>
    <w:rsid w:val="09153C1F"/>
    <w:rsid w:val="091567F4"/>
    <w:rsid w:val="09197523"/>
    <w:rsid w:val="091C06C1"/>
    <w:rsid w:val="092217DD"/>
    <w:rsid w:val="09240154"/>
    <w:rsid w:val="09265BCD"/>
    <w:rsid w:val="092B7C9F"/>
    <w:rsid w:val="09300B06"/>
    <w:rsid w:val="09300E18"/>
    <w:rsid w:val="09307AB0"/>
    <w:rsid w:val="093525C0"/>
    <w:rsid w:val="09363922"/>
    <w:rsid w:val="09371E95"/>
    <w:rsid w:val="093A7294"/>
    <w:rsid w:val="093F343F"/>
    <w:rsid w:val="09401129"/>
    <w:rsid w:val="09414AC1"/>
    <w:rsid w:val="09442803"/>
    <w:rsid w:val="094648A7"/>
    <w:rsid w:val="094B5940"/>
    <w:rsid w:val="094D5D1D"/>
    <w:rsid w:val="095011A8"/>
    <w:rsid w:val="09510A7C"/>
    <w:rsid w:val="095742E5"/>
    <w:rsid w:val="095C7B4D"/>
    <w:rsid w:val="095E38C5"/>
    <w:rsid w:val="09615163"/>
    <w:rsid w:val="09652EA6"/>
    <w:rsid w:val="0969226A"/>
    <w:rsid w:val="09694018"/>
    <w:rsid w:val="096D3B08"/>
    <w:rsid w:val="09714C67"/>
    <w:rsid w:val="097A7FD3"/>
    <w:rsid w:val="097D53D0"/>
    <w:rsid w:val="098350DA"/>
    <w:rsid w:val="0984611E"/>
    <w:rsid w:val="098470A4"/>
    <w:rsid w:val="09886B94"/>
    <w:rsid w:val="098B0432"/>
    <w:rsid w:val="098B21E0"/>
    <w:rsid w:val="098C5B93"/>
    <w:rsid w:val="098E3A7F"/>
    <w:rsid w:val="098F7F23"/>
    <w:rsid w:val="099168C1"/>
    <w:rsid w:val="099217C1"/>
    <w:rsid w:val="09926E4D"/>
    <w:rsid w:val="099346C1"/>
    <w:rsid w:val="099948FD"/>
    <w:rsid w:val="099A2423"/>
    <w:rsid w:val="099A310A"/>
    <w:rsid w:val="099C43EE"/>
    <w:rsid w:val="099E0166"/>
    <w:rsid w:val="099F7A3A"/>
    <w:rsid w:val="09A137B2"/>
    <w:rsid w:val="09A17C56"/>
    <w:rsid w:val="09A35B15"/>
    <w:rsid w:val="09AA1703"/>
    <w:rsid w:val="09AE7545"/>
    <w:rsid w:val="09B41737"/>
    <w:rsid w:val="09BB6819"/>
    <w:rsid w:val="09BE1A52"/>
    <w:rsid w:val="09BE4364"/>
    <w:rsid w:val="09C0187F"/>
    <w:rsid w:val="09C120A6"/>
    <w:rsid w:val="09C53944"/>
    <w:rsid w:val="09C6146A"/>
    <w:rsid w:val="09C65D3C"/>
    <w:rsid w:val="09C851E3"/>
    <w:rsid w:val="09C94AB7"/>
    <w:rsid w:val="09D121EF"/>
    <w:rsid w:val="09D122E9"/>
    <w:rsid w:val="09D65B51"/>
    <w:rsid w:val="09DA6CC4"/>
    <w:rsid w:val="09DB3C13"/>
    <w:rsid w:val="09DE2882"/>
    <w:rsid w:val="09DF68E3"/>
    <w:rsid w:val="09E0077E"/>
    <w:rsid w:val="09E35B78"/>
    <w:rsid w:val="09E518F1"/>
    <w:rsid w:val="09E60BF4"/>
    <w:rsid w:val="09E75B73"/>
    <w:rsid w:val="09EA33AB"/>
    <w:rsid w:val="09EB0ED1"/>
    <w:rsid w:val="09EB65C7"/>
    <w:rsid w:val="09F77876"/>
    <w:rsid w:val="09FC4E8C"/>
    <w:rsid w:val="09FF584F"/>
    <w:rsid w:val="0A026946"/>
    <w:rsid w:val="0A083831"/>
    <w:rsid w:val="0A0A75A9"/>
    <w:rsid w:val="0A0B50CF"/>
    <w:rsid w:val="0A173A74"/>
    <w:rsid w:val="0A1755E4"/>
    <w:rsid w:val="0A197211"/>
    <w:rsid w:val="0A1B7FBE"/>
    <w:rsid w:val="0A1C108A"/>
    <w:rsid w:val="0A1E3055"/>
    <w:rsid w:val="0A287A2F"/>
    <w:rsid w:val="0A2C39C3"/>
    <w:rsid w:val="0A392EC5"/>
    <w:rsid w:val="0A3D5178"/>
    <w:rsid w:val="0A40121D"/>
    <w:rsid w:val="0A430D0D"/>
    <w:rsid w:val="0A4707FD"/>
    <w:rsid w:val="0A4D1921"/>
    <w:rsid w:val="0A560A40"/>
    <w:rsid w:val="0A56459C"/>
    <w:rsid w:val="0A5847B8"/>
    <w:rsid w:val="0A595E3B"/>
    <w:rsid w:val="0A621193"/>
    <w:rsid w:val="0A634F0B"/>
    <w:rsid w:val="0A650C83"/>
    <w:rsid w:val="0A682522"/>
    <w:rsid w:val="0A6B77AC"/>
    <w:rsid w:val="0A6C2012"/>
    <w:rsid w:val="0A6D18E6"/>
    <w:rsid w:val="0A6D7B38"/>
    <w:rsid w:val="0A742C74"/>
    <w:rsid w:val="0A762E91"/>
    <w:rsid w:val="0A7964DD"/>
    <w:rsid w:val="0A7C2668"/>
    <w:rsid w:val="0A801619"/>
    <w:rsid w:val="0A80786B"/>
    <w:rsid w:val="0A8530D4"/>
    <w:rsid w:val="0A8A2498"/>
    <w:rsid w:val="0A8E01DA"/>
    <w:rsid w:val="0A8F3F52"/>
    <w:rsid w:val="0A8F5D00"/>
    <w:rsid w:val="0A960E3D"/>
    <w:rsid w:val="0A981059"/>
    <w:rsid w:val="0A9B6453"/>
    <w:rsid w:val="0AA03A6A"/>
    <w:rsid w:val="0AA413E9"/>
    <w:rsid w:val="0AA51080"/>
    <w:rsid w:val="0AA6225D"/>
    <w:rsid w:val="0AAB0D8C"/>
    <w:rsid w:val="0ABB4D47"/>
    <w:rsid w:val="0ABD286D"/>
    <w:rsid w:val="0AC05DC1"/>
    <w:rsid w:val="0AC86757"/>
    <w:rsid w:val="0ACB4F8A"/>
    <w:rsid w:val="0ACB6BE6"/>
    <w:rsid w:val="0ACD14A9"/>
    <w:rsid w:val="0ACE05D7"/>
    <w:rsid w:val="0AD028F9"/>
    <w:rsid w:val="0AD33E3F"/>
    <w:rsid w:val="0AD630BE"/>
    <w:rsid w:val="0AD96F7B"/>
    <w:rsid w:val="0ADB0F46"/>
    <w:rsid w:val="0ADD081A"/>
    <w:rsid w:val="0ADE5D3C"/>
    <w:rsid w:val="0AE41BA8"/>
    <w:rsid w:val="0AE53B72"/>
    <w:rsid w:val="0AE71698"/>
    <w:rsid w:val="0AEB5587"/>
    <w:rsid w:val="0AEC6CAF"/>
    <w:rsid w:val="0AF02C43"/>
    <w:rsid w:val="0AF049F1"/>
    <w:rsid w:val="0AF40E28"/>
    <w:rsid w:val="0AFA13CC"/>
    <w:rsid w:val="0AFA761E"/>
    <w:rsid w:val="0B01749D"/>
    <w:rsid w:val="0B024724"/>
    <w:rsid w:val="0B0267D1"/>
    <w:rsid w:val="0B04049C"/>
    <w:rsid w:val="0B04224A"/>
    <w:rsid w:val="0B043FF8"/>
    <w:rsid w:val="0B0C7351"/>
    <w:rsid w:val="0B116715"/>
    <w:rsid w:val="0B1306DF"/>
    <w:rsid w:val="0B136931"/>
    <w:rsid w:val="0B187AA4"/>
    <w:rsid w:val="0B1D330C"/>
    <w:rsid w:val="0B2430EF"/>
    <w:rsid w:val="0B24469B"/>
    <w:rsid w:val="0B2510BA"/>
    <w:rsid w:val="0B2621C1"/>
    <w:rsid w:val="0B27418B"/>
    <w:rsid w:val="0B2C354F"/>
    <w:rsid w:val="0B316DB7"/>
    <w:rsid w:val="0B424B21"/>
    <w:rsid w:val="0B464611"/>
    <w:rsid w:val="0B48567B"/>
    <w:rsid w:val="0B494101"/>
    <w:rsid w:val="0B584344"/>
    <w:rsid w:val="0B5A3A72"/>
    <w:rsid w:val="0B5D195B"/>
    <w:rsid w:val="0B5F1B77"/>
    <w:rsid w:val="0B5F56D3"/>
    <w:rsid w:val="0B626F71"/>
    <w:rsid w:val="0B646908"/>
    <w:rsid w:val="0B696551"/>
    <w:rsid w:val="0B6E3B68"/>
    <w:rsid w:val="0B723658"/>
    <w:rsid w:val="0B73117E"/>
    <w:rsid w:val="0B745622"/>
    <w:rsid w:val="0B7A4555"/>
    <w:rsid w:val="0B84338B"/>
    <w:rsid w:val="0B84410E"/>
    <w:rsid w:val="0B870F82"/>
    <w:rsid w:val="0B974E6D"/>
    <w:rsid w:val="0B9A495D"/>
    <w:rsid w:val="0B9F6417"/>
    <w:rsid w:val="0BA43585"/>
    <w:rsid w:val="0BA47589"/>
    <w:rsid w:val="0BA74B97"/>
    <w:rsid w:val="0BAD4690"/>
    <w:rsid w:val="0BB21CA6"/>
    <w:rsid w:val="0BB94E6C"/>
    <w:rsid w:val="0BBF6171"/>
    <w:rsid w:val="0BC1013B"/>
    <w:rsid w:val="0BC55E7E"/>
    <w:rsid w:val="0BC8311D"/>
    <w:rsid w:val="0BD27BF6"/>
    <w:rsid w:val="0BD3667B"/>
    <w:rsid w:val="0BD460C1"/>
    <w:rsid w:val="0BD7795F"/>
    <w:rsid w:val="0BD845F9"/>
    <w:rsid w:val="0BD94AAC"/>
    <w:rsid w:val="0BD95485"/>
    <w:rsid w:val="0BDA11FD"/>
    <w:rsid w:val="0BDC31C7"/>
    <w:rsid w:val="0BE1258C"/>
    <w:rsid w:val="0BE67BA2"/>
    <w:rsid w:val="0BE856C8"/>
    <w:rsid w:val="0BF422BF"/>
    <w:rsid w:val="0BF978D5"/>
    <w:rsid w:val="0BFA364D"/>
    <w:rsid w:val="0C085D6A"/>
    <w:rsid w:val="0C0B5372"/>
    <w:rsid w:val="0C0B7609"/>
    <w:rsid w:val="0C107BA8"/>
    <w:rsid w:val="0C1110C3"/>
    <w:rsid w:val="0C14470F"/>
    <w:rsid w:val="0C1464BD"/>
    <w:rsid w:val="0C186B5B"/>
    <w:rsid w:val="0C193AD3"/>
    <w:rsid w:val="0C1A784C"/>
    <w:rsid w:val="0C1B3CF0"/>
    <w:rsid w:val="0C1E0947"/>
    <w:rsid w:val="0C1E558E"/>
    <w:rsid w:val="0C216E2C"/>
    <w:rsid w:val="0C2174C0"/>
    <w:rsid w:val="0C2529C5"/>
    <w:rsid w:val="0C260CA9"/>
    <w:rsid w:val="0C261DCE"/>
    <w:rsid w:val="0C2661F0"/>
    <w:rsid w:val="0C280B07"/>
    <w:rsid w:val="0C2A5CE1"/>
    <w:rsid w:val="0C300E1D"/>
    <w:rsid w:val="0C324046"/>
    <w:rsid w:val="0C344DB1"/>
    <w:rsid w:val="0C350265"/>
    <w:rsid w:val="0C357A56"/>
    <w:rsid w:val="0C3628D7"/>
    <w:rsid w:val="0C364685"/>
    <w:rsid w:val="0C3B0317"/>
    <w:rsid w:val="0C4274CE"/>
    <w:rsid w:val="0C4D19CF"/>
    <w:rsid w:val="0C4F369E"/>
    <w:rsid w:val="0C4F3999"/>
    <w:rsid w:val="0C517711"/>
    <w:rsid w:val="0C523489"/>
    <w:rsid w:val="0C55370B"/>
    <w:rsid w:val="0C57776C"/>
    <w:rsid w:val="0C5B40EC"/>
    <w:rsid w:val="0C62191E"/>
    <w:rsid w:val="0C645AF4"/>
    <w:rsid w:val="0C662A91"/>
    <w:rsid w:val="0C6A07D3"/>
    <w:rsid w:val="0C6A432F"/>
    <w:rsid w:val="0C6D3E1F"/>
    <w:rsid w:val="0C6F1945"/>
    <w:rsid w:val="0C716BA6"/>
    <w:rsid w:val="0C721436"/>
    <w:rsid w:val="0C735804"/>
    <w:rsid w:val="0C7B02EA"/>
    <w:rsid w:val="0C7B653C"/>
    <w:rsid w:val="0C7D22B4"/>
    <w:rsid w:val="0C7E65A6"/>
    <w:rsid w:val="0C825DB1"/>
    <w:rsid w:val="0C886EAB"/>
    <w:rsid w:val="0C8A2C23"/>
    <w:rsid w:val="0C8A49D1"/>
    <w:rsid w:val="0C8C63AB"/>
    <w:rsid w:val="0C8D626F"/>
    <w:rsid w:val="0C9615C8"/>
    <w:rsid w:val="0C965124"/>
    <w:rsid w:val="0C9910B8"/>
    <w:rsid w:val="0C9E00D7"/>
    <w:rsid w:val="0C9E02D7"/>
    <w:rsid w:val="0C9E047D"/>
    <w:rsid w:val="0CA35A93"/>
    <w:rsid w:val="0CA43CE5"/>
    <w:rsid w:val="0CA44632"/>
    <w:rsid w:val="0CAB4505"/>
    <w:rsid w:val="0CAD06C0"/>
    <w:rsid w:val="0CAF4438"/>
    <w:rsid w:val="0CB101B0"/>
    <w:rsid w:val="0CB11F59"/>
    <w:rsid w:val="0CB437FC"/>
    <w:rsid w:val="0CB67574"/>
    <w:rsid w:val="0CBB102F"/>
    <w:rsid w:val="0CBB4B8B"/>
    <w:rsid w:val="0CBD4DA7"/>
    <w:rsid w:val="0CC223BD"/>
    <w:rsid w:val="0CC779D3"/>
    <w:rsid w:val="0CCA3020"/>
    <w:rsid w:val="0CD914B5"/>
    <w:rsid w:val="0CDA2FAD"/>
    <w:rsid w:val="0CDD2D53"/>
    <w:rsid w:val="0CDD48B1"/>
    <w:rsid w:val="0CE40585"/>
    <w:rsid w:val="0CE42333"/>
    <w:rsid w:val="0CE642FD"/>
    <w:rsid w:val="0CE73BD2"/>
    <w:rsid w:val="0CE75980"/>
    <w:rsid w:val="0CEB1914"/>
    <w:rsid w:val="0CEC743A"/>
    <w:rsid w:val="0CEE6D0E"/>
    <w:rsid w:val="0CF06F2A"/>
    <w:rsid w:val="0CFB142B"/>
    <w:rsid w:val="0CFD3DAC"/>
    <w:rsid w:val="0CFF716D"/>
    <w:rsid w:val="0D020A0B"/>
    <w:rsid w:val="0D026C5D"/>
    <w:rsid w:val="0D054058"/>
    <w:rsid w:val="0D081CA7"/>
    <w:rsid w:val="0D0A78C0"/>
    <w:rsid w:val="0D0C2411"/>
    <w:rsid w:val="0D0C3638"/>
    <w:rsid w:val="0D0D0C68"/>
    <w:rsid w:val="0D0E73B0"/>
    <w:rsid w:val="0D0F4ED6"/>
    <w:rsid w:val="0D136775"/>
    <w:rsid w:val="0D15073F"/>
    <w:rsid w:val="0D197576"/>
    <w:rsid w:val="0D1A101C"/>
    <w:rsid w:val="0D1A3FA7"/>
    <w:rsid w:val="0D1B19F6"/>
    <w:rsid w:val="0D1C7D1F"/>
    <w:rsid w:val="0D1F336B"/>
    <w:rsid w:val="0D26294C"/>
    <w:rsid w:val="0D2941EA"/>
    <w:rsid w:val="0D2A3ABE"/>
    <w:rsid w:val="0D2A599A"/>
    <w:rsid w:val="0D2C5A88"/>
    <w:rsid w:val="0D336E17"/>
    <w:rsid w:val="0D34161D"/>
    <w:rsid w:val="0D352B8F"/>
    <w:rsid w:val="0D35493D"/>
    <w:rsid w:val="0D3859A2"/>
    <w:rsid w:val="0D3D123F"/>
    <w:rsid w:val="0D3D37F2"/>
    <w:rsid w:val="0D3F3A0E"/>
    <w:rsid w:val="0D3F57BC"/>
    <w:rsid w:val="0D4032E2"/>
    <w:rsid w:val="0D411050"/>
    <w:rsid w:val="0D4263E3"/>
    <w:rsid w:val="0D4903E8"/>
    <w:rsid w:val="0D4A1E5A"/>
    <w:rsid w:val="0D4D75F3"/>
    <w:rsid w:val="0D554FDF"/>
    <w:rsid w:val="0D55637F"/>
    <w:rsid w:val="0D6214AA"/>
    <w:rsid w:val="0D63594E"/>
    <w:rsid w:val="0D646FD0"/>
    <w:rsid w:val="0D660F9A"/>
    <w:rsid w:val="0D6B4803"/>
    <w:rsid w:val="0D6D6BDD"/>
    <w:rsid w:val="0D701E19"/>
    <w:rsid w:val="0D71793F"/>
    <w:rsid w:val="0D73168E"/>
    <w:rsid w:val="0D731909"/>
    <w:rsid w:val="0D735465"/>
    <w:rsid w:val="0D7511DD"/>
    <w:rsid w:val="0D7A67F4"/>
    <w:rsid w:val="0D7C3B01"/>
    <w:rsid w:val="0D892919"/>
    <w:rsid w:val="0D892EDB"/>
    <w:rsid w:val="0D894C75"/>
    <w:rsid w:val="0D8E7657"/>
    <w:rsid w:val="0D904269"/>
    <w:rsid w:val="0D93340D"/>
    <w:rsid w:val="0D9773A6"/>
    <w:rsid w:val="0D9B708A"/>
    <w:rsid w:val="0D9C49BC"/>
    <w:rsid w:val="0DA05C1B"/>
    <w:rsid w:val="0DA10224"/>
    <w:rsid w:val="0DAC2BE0"/>
    <w:rsid w:val="0DAD6BC9"/>
    <w:rsid w:val="0DB00467"/>
    <w:rsid w:val="0DB42355"/>
    <w:rsid w:val="0DB462BF"/>
    <w:rsid w:val="0DB51118"/>
    <w:rsid w:val="0DBA3094"/>
    <w:rsid w:val="0DBA7538"/>
    <w:rsid w:val="0DBD2424"/>
    <w:rsid w:val="0DC03503"/>
    <w:rsid w:val="0DC108C7"/>
    <w:rsid w:val="0DC3421D"/>
    <w:rsid w:val="0DC45CC1"/>
    <w:rsid w:val="0DC53105"/>
    <w:rsid w:val="0DC932D7"/>
    <w:rsid w:val="0DC9777B"/>
    <w:rsid w:val="0DCB34F3"/>
    <w:rsid w:val="0DCD445C"/>
    <w:rsid w:val="0DD028B8"/>
    <w:rsid w:val="0DD26630"/>
    <w:rsid w:val="0DD34156"/>
    <w:rsid w:val="0DD423A8"/>
    <w:rsid w:val="0DD479F5"/>
    <w:rsid w:val="0DD56120"/>
    <w:rsid w:val="0DD73C46"/>
    <w:rsid w:val="0DD8176C"/>
    <w:rsid w:val="0DDC057E"/>
    <w:rsid w:val="0DE72AC0"/>
    <w:rsid w:val="0DEE2D3E"/>
    <w:rsid w:val="0DF06AB6"/>
    <w:rsid w:val="0DF447F8"/>
    <w:rsid w:val="0DF465A6"/>
    <w:rsid w:val="0DFC36AD"/>
    <w:rsid w:val="0DFC545B"/>
    <w:rsid w:val="0DFD5C6B"/>
    <w:rsid w:val="0E0662D9"/>
    <w:rsid w:val="0E0B5706"/>
    <w:rsid w:val="0E0D7668"/>
    <w:rsid w:val="0E100F06"/>
    <w:rsid w:val="0E110D06"/>
    <w:rsid w:val="0E1C78AB"/>
    <w:rsid w:val="0E214EC1"/>
    <w:rsid w:val="0E2873B4"/>
    <w:rsid w:val="0E2D7D0A"/>
    <w:rsid w:val="0E301273"/>
    <w:rsid w:val="0E303356"/>
    <w:rsid w:val="0E3177FA"/>
    <w:rsid w:val="0E320723"/>
    <w:rsid w:val="0E364E11"/>
    <w:rsid w:val="0E3746E5"/>
    <w:rsid w:val="0E3A0F99"/>
    <w:rsid w:val="0E3A5F83"/>
    <w:rsid w:val="0E3C04AA"/>
    <w:rsid w:val="0E4376A8"/>
    <w:rsid w:val="0E460DCC"/>
    <w:rsid w:val="0E48359D"/>
    <w:rsid w:val="0E4D215A"/>
    <w:rsid w:val="0E4E52E2"/>
    <w:rsid w:val="0E4F1A2E"/>
    <w:rsid w:val="0E552DBD"/>
    <w:rsid w:val="0E574D87"/>
    <w:rsid w:val="0E6179B4"/>
    <w:rsid w:val="0E715E49"/>
    <w:rsid w:val="0E72510F"/>
    <w:rsid w:val="0E76520D"/>
    <w:rsid w:val="0E790B75"/>
    <w:rsid w:val="0E7B2823"/>
    <w:rsid w:val="0E7B6CC7"/>
    <w:rsid w:val="0E7C47EE"/>
    <w:rsid w:val="0E8042DE"/>
    <w:rsid w:val="0E811E04"/>
    <w:rsid w:val="0E8518F4"/>
    <w:rsid w:val="0E8A515C"/>
    <w:rsid w:val="0E8F4521"/>
    <w:rsid w:val="0E903DF5"/>
    <w:rsid w:val="0E905A81"/>
    <w:rsid w:val="0E912047"/>
    <w:rsid w:val="0E927B6D"/>
    <w:rsid w:val="0E9733D5"/>
    <w:rsid w:val="0E9D17C6"/>
    <w:rsid w:val="0E9E29B6"/>
    <w:rsid w:val="0E9E6512"/>
    <w:rsid w:val="0EA004DC"/>
    <w:rsid w:val="0EA2342F"/>
    <w:rsid w:val="0EA37FCC"/>
    <w:rsid w:val="0EAB6D9A"/>
    <w:rsid w:val="0EC56195"/>
    <w:rsid w:val="0EC71F0D"/>
    <w:rsid w:val="0EC85224"/>
    <w:rsid w:val="0ECA07E3"/>
    <w:rsid w:val="0ECB1C73"/>
    <w:rsid w:val="0ECC12D1"/>
    <w:rsid w:val="0ECD1453"/>
    <w:rsid w:val="0ECF0DC1"/>
    <w:rsid w:val="0ED168E7"/>
    <w:rsid w:val="0EDB59B8"/>
    <w:rsid w:val="0EDF1579"/>
    <w:rsid w:val="0EE52393"/>
    <w:rsid w:val="0EE526EA"/>
    <w:rsid w:val="0EE7120F"/>
    <w:rsid w:val="0EE859DF"/>
    <w:rsid w:val="0EE91E83"/>
    <w:rsid w:val="0EEE56EB"/>
    <w:rsid w:val="0EF10D38"/>
    <w:rsid w:val="0EF600FC"/>
    <w:rsid w:val="0EF80E8F"/>
    <w:rsid w:val="0EFC21E2"/>
    <w:rsid w:val="0F022F45"/>
    <w:rsid w:val="0F046CBD"/>
    <w:rsid w:val="0F0F67BD"/>
    <w:rsid w:val="0F111837"/>
    <w:rsid w:val="0F113188"/>
    <w:rsid w:val="0F13775A"/>
    <w:rsid w:val="0F1A028E"/>
    <w:rsid w:val="0F205C7F"/>
    <w:rsid w:val="0F215791"/>
    <w:rsid w:val="0F28662E"/>
    <w:rsid w:val="0F2B249C"/>
    <w:rsid w:val="0F2E09A0"/>
    <w:rsid w:val="0F317386"/>
    <w:rsid w:val="0F3375A2"/>
    <w:rsid w:val="0F346E76"/>
    <w:rsid w:val="0F390A43"/>
    <w:rsid w:val="0F3C025F"/>
    <w:rsid w:val="0F3D21CF"/>
    <w:rsid w:val="0F3E6EA4"/>
    <w:rsid w:val="0F3F5FF6"/>
    <w:rsid w:val="0F3F7CF5"/>
    <w:rsid w:val="0F452E31"/>
    <w:rsid w:val="0F4672D5"/>
    <w:rsid w:val="0F580DB7"/>
    <w:rsid w:val="0F620288"/>
    <w:rsid w:val="0F6634D4"/>
    <w:rsid w:val="0F670FFA"/>
    <w:rsid w:val="0F676B13"/>
    <w:rsid w:val="0F713C26"/>
    <w:rsid w:val="0F7200CA"/>
    <w:rsid w:val="0F732BD1"/>
    <w:rsid w:val="0F7C2CF7"/>
    <w:rsid w:val="0F7D25CB"/>
    <w:rsid w:val="0F7F6343"/>
    <w:rsid w:val="0F8676D2"/>
    <w:rsid w:val="0F87169C"/>
    <w:rsid w:val="0F8B4CE8"/>
    <w:rsid w:val="0F932BA2"/>
    <w:rsid w:val="0F9928EF"/>
    <w:rsid w:val="0F9A050E"/>
    <w:rsid w:val="0F9A112B"/>
    <w:rsid w:val="0FA07BF0"/>
    <w:rsid w:val="0FA1275E"/>
    <w:rsid w:val="0FAB0EE6"/>
    <w:rsid w:val="0FAD1102"/>
    <w:rsid w:val="0FAE692A"/>
    <w:rsid w:val="0FAF2E3E"/>
    <w:rsid w:val="0FAF4135"/>
    <w:rsid w:val="0FB01208"/>
    <w:rsid w:val="0FB51D65"/>
    <w:rsid w:val="0FB56209"/>
    <w:rsid w:val="0FB57FB7"/>
    <w:rsid w:val="0FBC1346"/>
    <w:rsid w:val="0FBD6E6C"/>
    <w:rsid w:val="0FC54AD9"/>
    <w:rsid w:val="0FD04DF1"/>
    <w:rsid w:val="0FD22917"/>
    <w:rsid w:val="0FDF3286"/>
    <w:rsid w:val="0FE8038D"/>
    <w:rsid w:val="0FED59A3"/>
    <w:rsid w:val="0FED7687"/>
    <w:rsid w:val="0FF02D9D"/>
    <w:rsid w:val="0FF1044E"/>
    <w:rsid w:val="0FF65E06"/>
    <w:rsid w:val="0FF7237E"/>
    <w:rsid w:val="0FFA00C0"/>
    <w:rsid w:val="10022AD1"/>
    <w:rsid w:val="10044A9B"/>
    <w:rsid w:val="10086339"/>
    <w:rsid w:val="100910F7"/>
    <w:rsid w:val="100920B1"/>
    <w:rsid w:val="10093E5F"/>
    <w:rsid w:val="100D1BA1"/>
    <w:rsid w:val="100F5919"/>
    <w:rsid w:val="101051ED"/>
    <w:rsid w:val="10153D18"/>
    <w:rsid w:val="10172A20"/>
    <w:rsid w:val="10202516"/>
    <w:rsid w:val="10251AC8"/>
    <w:rsid w:val="10294501"/>
    <w:rsid w:val="103274FC"/>
    <w:rsid w:val="103435D2"/>
    <w:rsid w:val="103449ED"/>
    <w:rsid w:val="1034712E"/>
    <w:rsid w:val="10352EA6"/>
    <w:rsid w:val="10360127"/>
    <w:rsid w:val="1037079D"/>
    <w:rsid w:val="103A58B2"/>
    <w:rsid w:val="104355C3"/>
    <w:rsid w:val="104A4BA3"/>
    <w:rsid w:val="104A6951"/>
    <w:rsid w:val="10507CE0"/>
    <w:rsid w:val="10525131"/>
    <w:rsid w:val="10532F3B"/>
    <w:rsid w:val="105968CE"/>
    <w:rsid w:val="105A46BB"/>
    <w:rsid w:val="1066305F"/>
    <w:rsid w:val="106B4B1A"/>
    <w:rsid w:val="106D2F64"/>
    <w:rsid w:val="106F0166"/>
    <w:rsid w:val="10720430"/>
    <w:rsid w:val="107734BE"/>
    <w:rsid w:val="10790FE5"/>
    <w:rsid w:val="10795489"/>
    <w:rsid w:val="107D1AA2"/>
    <w:rsid w:val="107E2A9F"/>
    <w:rsid w:val="107E65FB"/>
    <w:rsid w:val="10853E2D"/>
    <w:rsid w:val="10856F1B"/>
    <w:rsid w:val="10863144"/>
    <w:rsid w:val="108B0D18"/>
    <w:rsid w:val="108F6861"/>
    <w:rsid w:val="109113A8"/>
    <w:rsid w:val="10933A8A"/>
    <w:rsid w:val="10944070"/>
    <w:rsid w:val="10945E1E"/>
    <w:rsid w:val="10991559"/>
    <w:rsid w:val="109C5456"/>
    <w:rsid w:val="109E16F7"/>
    <w:rsid w:val="10A5002C"/>
    <w:rsid w:val="10A832F4"/>
    <w:rsid w:val="10A83678"/>
    <w:rsid w:val="10AA3894"/>
    <w:rsid w:val="10AD0C8E"/>
    <w:rsid w:val="10AD6EE0"/>
    <w:rsid w:val="10AF1D60"/>
    <w:rsid w:val="10B05EDD"/>
    <w:rsid w:val="10B4201D"/>
    <w:rsid w:val="10B63710"/>
    <w:rsid w:val="10BA1AAE"/>
    <w:rsid w:val="10BB33AB"/>
    <w:rsid w:val="10BC7123"/>
    <w:rsid w:val="10C1473A"/>
    <w:rsid w:val="10C77FA2"/>
    <w:rsid w:val="10CA2AD6"/>
    <w:rsid w:val="10CA5CE4"/>
    <w:rsid w:val="10CD30DE"/>
    <w:rsid w:val="10CF355A"/>
    <w:rsid w:val="10D10E21"/>
    <w:rsid w:val="10D752FB"/>
    <w:rsid w:val="10D821AF"/>
    <w:rsid w:val="10D8227B"/>
    <w:rsid w:val="10D95F27"/>
    <w:rsid w:val="10DB1C9F"/>
    <w:rsid w:val="10E072B6"/>
    <w:rsid w:val="10E16B8A"/>
    <w:rsid w:val="10E675D1"/>
    <w:rsid w:val="10E70644"/>
    <w:rsid w:val="10E87C94"/>
    <w:rsid w:val="10EA5A3E"/>
    <w:rsid w:val="10ED3781"/>
    <w:rsid w:val="10EE1F98"/>
    <w:rsid w:val="10EF574B"/>
    <w:rsid w:val="10F5444F"/>
    <w:rsid w:val="10F863AD"/>
    <w:rsid w:val="10FB33EF"/>
    <w:rsid w:val="10FC5772"/>
    <w:rsid w:val="10FE14EA"/>
    <w:rsid w:val="10FF6CE8"/>
    <w:rsid w:val="11005262"/>
    <w:rsid w:val="11056D1C"/>
    <w:rsid w:val="110C3C07"/>
    <w:rsid w:val="11143B39"/>
    <w:rsid w:val="111451B1"/>
    <w:rsid w:val="111C2F7A"/>
    <w:rsid w:val="111D4066"/>
    <w:rsid w:val="1126606F"/>
    <w:rsid w:val="112C24FB"/>
    <w:rsid w:val="112C6057"/>
    <w:rsid w:val="112E1DCF"/>
    <w:rsid w:val="113008C4"/>
    <w:rsid w:val="113013DE"/>
    <w:rsid w:val="11447845"/>
    <w:rsid w:val="114E421F"/>
    <w:rsid w:val="115770D7"/>
    <w:rsid w:val="115929AD"/>
    <w:rsid w:val="115D4462"/>
    <w:rsid w:val="115F2023"/>
    <w:rsid w:val="115F6467"/>
    <w:rsid w:val="11660972"/>
    <w:rsid w:val="11673533"/>
    <w:rsid w:val="116A6B7F"/>
    <w:rsid w:val="116E6670"/>
    <w:rsid w:val="11717F0E"/>
    <w:rsid w:val="117618C6"/>
    <w:rsid w:val="1178129C"/>
    <w:rsid w:val="117A5014"/>
    <w:rsid w:val="117D68B3"/>
    <w:rsid w:val="117E185E"/>
    <w:rsid w:val="117F6ACF"/>
    <w:rsid w:val="11811732"/>
    <w:rsid w:val="118A6CA0"/>
    <w:rsid w:val="118E0AC0"/>
    <w:rsid w:val="119C5AA8"/>
    <w:rsid w:val="11A05CA3"/>
    <w:rsid w:val="11A16A45"/>
    <w:rsid w:val="11A2456B"/>
    <w:rsid w:val="11A32AB7"/>
    <w:rsid w:val="11AA2F63"/>
    <w:rsid w:val="11B04EDA"/>
    <w:rsid w:val="11B232FE"/>
    <w:rsid w:val="11C049F1"/>
    <w:rsid w:val="11C269BB"/>
    <w:rsid w:val="11C450E6"/>
    <w:rsid w:val="11C54C7E"/>
    <w:rsid w:val="11C73FD2"/>
    <w:rsid w:val="11C75D80"/>
    <w:rsid w:val="11CC15E8"/>
    <w:rsid w:val="11CE710E"/>
    <w:rsid w:val="11CE752D"/>
    <w:rsid w:val="11D010D8"/>
    <w:rsid w:val="11D02E86"/>
    <w:rsid w:val="11D230A2"/>
    <w:rsid w:val="11D373CE"/>
    <w:rsid w:val="11D62156"/>
    <w:rsid w:val="11D72467"/>
    <w:rsid w:val="11D84431"/>
    <w:rsid w:val="11DD37F5"/>
    <w:rsid w:val="11DF30C9"/>
    <w:rsid w:val="11E44B84"/>
    <w:rsid w:val="11E46AD9"/>
    <w:rsid w:val="11E9219A"/>
    <w:rsid w:val="11EB0C04"/>
    <w:rsid w:val="11EE77B0"/>
    <w:rsid w:val="11F0177A"/>
    <w:rsid w:val="11F47FFB"/>
    <w:rsid w:val="11F72B09"/>
    <w:rsid w:val="11F76665"/>
    <w:rsid w:val="11FA6155"/>
    <w:rsid w:val="11FC1ECD"/>
    <w:rsid w:val="11FC3E71"/>
    <w:rsid w:val="11FE3312"/>
    <w:rsid w:val="12042B30"/>
    <w:rsid w:val="12072620"/>
    <w:rsid w:val="120D40DA"/>
    <w:rsid w:val="12152F8F"/>
    <w:rsid w:val="121865DB"/>
    <w:rsid w:val="121A67F7"/>
    <w:rsid w:val="121C431D"/>
    <w:rsid w:val="121C60CC"/>
    <w:rsid w:val="121E5D7B"/>
    <w:rsid w:val="121E62E8"/>
    <w:rsid w:val="121F796A"/>
    <w:rsid w:val="12266F4A"/>
    <w:rsid w:val="122B06C2"/>
    <w:rsid w:val="122D7F4C"/>
    <w:rsid w:val="122E5DFF"/>
    <w:rsid w:val="12327017"/>
    <w:rsid w:val="1232769D"/>
    <w:rsid w:val="12331667"/>
    <w:rsid w:val="12373093"/>
    <w:rsid w:val="123738A9"/>
    <w:rsid w:val="12380A2C"/>
    <w:rsid w:val="12394ECF"/>
    <w:rsid w:val="1240313D"/>
    <w:rsid w:val="12445622"/>
    <w:rsid w:val="12463148"/>
    <w:rsid w:val="124B4C03"/>
    <w:rsid w:val="124D2729"/>
    <w:rsid w:val="12502B21"/>
    <w:rsid w:val="12575478"/>
    <w:rsid w:val="125A6BF4"/>
    <w:rsid w:val="125A7AA6"/>
    <w:rsid w:val="125D0492"/>
    <w:rsid w:val="12635AA8"/>
    <w:rsid w:val="126A321F"/>
    <w:rsid w:val="126D2DCB"/>
    <w:rsid w:val="126D6927"/>
    <w:rsid w:val="127001C5"/>
    <w:rsid w:val="127140EA"/>
    <w:rsid w:val="12744159"/>
    <w:rsid w:val="127759F8"/>
    <w:rsid w:val="12791770"/>
    <w:rsid w:val="127A1044"/>
    <w:rsid w:val="127B49BD"/>
    <w:rsid w:val="127C6B6A"/>
    <w:rsid w:val="127E6D86"/>
    <w:rsid w:val="127F48AC"/>
    <w:rsid w:val="12810624"/>
    <w:rsid w:val="12844F29"/>
    <w:rsid w:val="12863E8D"/>
    <w:rsid w:val="128679E9"/>
    <w:rsid w:val="1289734F"/>
    <w:rsid w:val="128B3251"/>
    <w:rsid w:val="12994E87"/>
    <w:rsid w:val="129E4D32"/>
    <w:rsid w:val="129F0AAB"/>
    <w:rsid w:val="129F5B09"/>
    <w:rsid w:val="12A143E4"/>
    <w:rsid w:val="12A40CC7"/>
    <w:rsid w:val="12A604AE"/>
    <w:rsid w:val="12AB56A1"/>
    <w:rsid w:val="12AD1419"/>
    <w:rsid w:val="12AE3240"/>
    <w:rsid w:val="12B04A66"/>
    <w:rsid w:val="12B5308E"/>
    <w:rsid w:val="12B91B6C"/>
    <w:rsid w:val="12BA0BFC"/>
    <w:rsid w:val="12BA4BDF"/>
    <w:rsid w:val="12C05E31"/>
    <w:rsid w:val="12C30D5F"/>
    <w:rsid w:val="12C50511"/>
    <w:rsid w:val="12C81DAF"/>
    <w:rsid w:val="12D138EB"/>
    <w:rsid w:val="12D44BF8"/>
    <w:rsid w:val="12DB7D35"/>
    <w:rsid w:val="12DC179C"/>
    <w:rsid w:val="12DD1CFF"/>
    <w:rsid w:val="12E267A6"/>
    <w:rsid w:val="12E3308D"/>
    <w:rsid w:val="12E34E3B"/>
    <w:rsid w:val="12E7492B"/>
    <w:rsid w:val="12EA61CA"/>
    <w:rsid w:val="12EB3CF0"/>
    <w:rsid w:val="12ED7A68"/>
    <w:rsid w:val="12F2507E"/>
    <w:rsid w:val="12F36DB2"/>
    <w:rsid w:val="12F40DF6"/>
    <w:rsid w:val="12F6691D"/>
    <w:rsid w:val="12F708E7"/>
    <w:rsid w:val="130152C1"/>
    <w:rsid w:val="130354DD"/>
    <w:rsid w:val="13071CE4"/>
    <w:rsid w:val="13076D7C"/>
    <w:rsid w:val="13097217"/>
    <w:rsid w:val="130A23C8"/>
    <w:rsid w:val="130C25E4"/>
    <w:rsid w:val="130C4392"/>
    <w:rsid w:val="130C5FE0"/>
    <w:rsid w:val="130F79DE"/>
    <w:rsid w:val="131119A8"/>
    <w:rsid w:val="13117BFA"/>
    <w:rsid w:val="13141499"/>
    <w:rsid w:val="13167EFC"/>
    <w:rsid w:val="13171F28"/>
    <w:rsid w:val="13182D37"/>
    <w:rsid w:val="131836D1"/>
    <w:rsid w:val="1319260B"/>
    <w:rsid w:val="13196AAF"/>
    <w:rsid w:val="131C5101"/>
    <w:rsid w:val="13201BEB"/>
    <w:rsid w:val="13223BB5"/>
    <w:rsid w:val="13225964"/>
    <w:rsid w:val="132536A6"/>
    <w:rsid w:val="13272F7A"/>
    <w:rsid w:val="13294F44"/>
    <w:rsid w:val="132C233E"/>
    <w:rsid w:val="13370CE3"/>
    <w:rsid w:val="133D279D"/>
    <w:rsid w:val="133D3E1D"/>
    <w:rsid w:val="133E6515"/>
    <w:rsid w:val="13460082"/>
    <w:rsid w:val="1347745C"/>
    <w:rsid w:val="13495C7E"/>
    <w:rsid w:val="134A310C"/>
    <w:rsid w:val="134E49AB"/>
    <w:rsid w:val="134F427F"/>
    <w:rsid w:val="135D4BEE"/>
    <w:rsid w:val="13620456"/>
    <w:rsid w:val="13637D2A"/>
    <w:rsid w:val="136917E4"/>
    <w:rsid w:val="13702B73"/>
    <w:rsid w:val="13722A67"/>
    <w:rsid w:val="137361BF"/>
    <w:rsid w:val="13743CE5"/>
    <w:rsid w:val="1377358E"/>
    <w:rsid w:val="13781A27"/>
    <w:rsid w:val="137B0136"/>
    <w:rsid w:val="137B5074"/>
    <w:rsid w:val="137D34C8"/>
    <w:rsid w:val="13857CA0"/>
    <w:rsid w:val="13871C6A"/>
    <w:rsid w:val="13893C35"/>
    <w:rsid w:val="138C102F"/>
    <w:rsid w:val="138C54D3"/>
    <w:rsid w:val="13914897"/>
    <w:rsid w:val="139254CE"/>
    <w:rsid w:val="13951726"/>
    <w:rsid w:val="139D188B"/>
    <w:rsid w:val="13A66F92"/>
    <w:rsid w:val="13A7230D"/>
    <w:rsid w:val="13AE369B"/>
    <w:rsid w:val="13B14F39"/>
    <w:rsid w:val="13B32A60"/>
    <w:rsid w:val="13B660AC"/>
    <w:rsid w:val="13BD38DE"/>
    <w:rsid w:val="13C133CE"/>
    <w:rsid w:val="13C1400A"/>
    <w:rsid w:val="13C277AD"/>
    <w:rsid w:val="13C30AFC"/>
    <w:rsid w:val="13CC58CF"/>
    <w:rsid w:val="13CE4568"/>
    <w:rsid w:val="13CE7DBD"/>
    <w:rsid w:val="13E16F11"/>
    <w:rsid w:val="13E250F3"/>
    <w:rsid w:val="13E64BE3"/>
    <w:rsid w:val="13EB137C"/>
    <w:rsid w:val="13F05A62"/>
    <w:rsid w:val="13FA243C"/>
    <w:rsid w:val="13FA68E0"/>
    <w:rsid w:val="13FB6FA3"/>
    <w:rsid w:val="13FF7A53"/>
    <w:rsid w:val="14076907"/>
    <w:rsid w:val="14103A0E"/>
    <w:rsid w:val="14186D67"/>
    <w:rsid w:val="14197487"/>
    <w:rsid w:val="141C6857"/>
    <w:rsid w:val="141E70C5"/>
    <w:rsid w:val="14213FC1"/>
    <w:rsid w:val="14215C1B"/>
    <w:rsid w:val="14221EEF"/>
    <w:rsid w:val="14261483"/>
    <w:rsid w:val="14270D58"/>
    <w:rsid w:val="14295324"/>
    <w:rsid w:val="142D2812"/>
    <w:rsid w:val="142E5135"/>
    <w:rsid w:val="142E658A"/>
    <w:rsid w:val="14305E5E"/>
    <w:rsid w:val="1432607A"/>
    <w:rsid w:val="143771ED"/>
    <w:rsid w:val="14396509"/>
    <w:rsid w:val="143E4A1F"/>
    <w:rsid w:val="143F3336"/>
    <w:rsid w:val="143F60A1"/>
    <w:rsid w:val="1441006B"/>
    <w:rsid w:val="1447165C"/>
    <w:rsid w:val="1448144A"/>
    <w:rsid w:val="144B0EEA"/>
    <w:rsid w:val="144B713C"/>
    <w:rsid w:val="145002AE"/>
    <w:rsid w:val="14515DD5"/>
    <w:rsid w:val="14575AE1"/>
    <w:rsid w:val="14592FC7"/>
    <w:rsid w:val="145A737F"/>
    <w:rsid w:val="145C4EA5"/>
    <w:rsid w:val="145E6E6F"/>
    <w:rsid w:val="14611454"/>
    <w:rsid w:val="14612B95"/>
    <w:rsid w:val="14643D5A"/>
    <w:rsid w:val="14691370"/>
    <w:rsid w:val="146C1B76"/>
    <w:rsid w:val="146D0E60"/>
    <w:rsid w:val="146E4BD8"/>
    <w:rsid w:val="146E5199"/>
    <w:rsid w:val="147026FF"/>
    <w:rsid w:val="14733F9D"/>
    <w:rsid w:val="14756348"/>
    <w:rsid w:val="147815B3"/>
    <w:rsid w:val="14795A57"/>
    <w:rsid w:val="147E16A4"/>
    <w:rsid w:val="14860174"/>
    <w:rsid w:val="14885C9A"/>
    <w:rsid w:val="148A7C64"/>
    <w:rsid w:val="148C7CBF"/>
    <w:rsid w:val="148F0807"/>
    <w:rsid w:val="14902DA1"/>
    <w:rsid w:val="149503B7"/>
    <w:rsid w:val="14952165"/>
    <w:rsid w:val="14A16D5C"/>
    <w:rsid w:val="14A25CD1"/>
    <w:rsid w:val="14A300D8"/>
    <w:rsid w:val="14A36EC5"/>
    <w:rsid w:val="14A40884"/>
    <w:rsid w:val="14A960ED"/>
    <w:rsid w:val="14AC7FAB"/>
    <w:rsid w:val="14AD5701"/>
    <w:rsid w:val="14B06F9F"/>
    <w:rsid w:val="14B24AC5"/>
    <w:rsid w:val="14B44D5D"/>
    <w:rsid w:val="14B91001"/>
    <w:rsid w:val="14BA1BCC"/>
    <w:rsid w:val="14C1721D"/>
    <w:rsid w:val="14C60571"/>
    <w:rsid w:val="14C667C2"/>
    <w:rsid w:val="14C842E9"/>
    <w:rsid w:val="14C91E0F"/>
    <w:rsid w:val="14D05CA0"/>
    <w:rsid w:val="14D47131"/>
    <w:rsid w:val="14D709D0"/>
    <w:rsid w:val="14D94748"/>
    <w:rsid w:val="14DC7D94"/>
    <w:rsid w:val="14E05AD6"/>
    <w:rsid w:val="14E1184E"/>
    <w:rsid w:val="14E12169"/>
    <w:rsid w:val="14E31122"/>
    <w:rsid w:val="14E8498B"/>
    <w:rsid w:val="14E9477F"/>
    <w:rsid w:val="14ED1FA1"/>
    <w:rsid w:val="14EF1875"/>
    <w:rsid w:val="14EF7AC7"/>
    <w:rsid w:val="14F1476F"/>
    <w:rsid w:val="14F47D6F"/>
    <w:rsid w:val="14F65E5A"/>
    <w:rsid w:val="14F9337C"/>
    <w:rsid w:val="15007F26"/>
    <w:rsid w:val="15054F9B"/>
    <w:rsid w:val="1505553D"/>
    <w:rsid w:val="150712B5"/>
    <w:rsid w:val="15080B89"/>
    <w:rsid w:val="150D619F"/>
    <w:rsid w:val="150F1F18"/>
    <w:rsid w:val="150F3CC6"/>
    <w:rsid w:val="151B539B"/>
    <w:rsid w:val="151C63E2"/>
    <w:rsid w:val="151E215B"/>
    <w:rsid w:val="151FA8DF"/>
    <w:rsid w:val="15202377"/>
    <w:rsid w:val="15205ED3"/>
    <w:rsid w:val="15233B2D"/>
    <w:rsid w:val="1526228F"/>
    <w:rsid w:val="152E2759"/>
    <w:rsid w:val="1537146E"/>
    <w:rsid w:val="153B2D0D"/>
    <w:rsid w:val="15440C78"/>
    <w:rsid w:val="15451DDD"/>
    <w:rsid w:val="154871D8"/>
    <w:rsid w:val="154A11A2"/>
    <w:rsid w:val="154A73F4"/>
    <w:rsid w:val="154C6CC8"/>
    <w:rsid w:val="154D0C92"/>
    <w:rsid w:val="154D2A40"/>
    <w:rsid w:val="154E022A"/>
    <w:rsid w:val="15521101"/>
    <w:rsid w:val="15542020"/>
    <w:rsid w:val="15570834"/>
    <w:rsid w:val="15581B10"/>
    <w:rsid w:val="15595889"/>
    <w:rsid w:val="155C4C28"/>
    <w:rsid w:val="15624F26"/>
    <w:rsid w:val="15634011"/>
    <w:rsid w:val="15695ACC"/>
    <w:rsid w:val="156D5C71"/>
    <w:rsid w:val="15744B16"/>
    <w:rsid w:val="15791A87"/>
    <w:rsid w:val="157D4738"/>
    <w:rsid w:val="15804BC3"/>
    <w:rsid w:val="158741A4"/>
    <w:rsid w:val="15877D00"/>
    <w:rsid w:val="15883A78"/>
    <w:rsid w:val="15897F1C"/>
    <w:rsid w:val="158C17BA"/>
    <w:rsid w:val="158C2634"/>
    <w:rsid w:val="159468C1"/>
    <w:rsid w:val="15A40BEE"/>
    <w:rsid w:val="15A5287C"/>
    <w:rsid w:val="15A779A4"/>
    <w:rsid w:val="15A85EC8"/>
    <w:rsid w:val="15A9236C"/>
    <w:rsid w:val="15AC59B8"/>
    <w:rsid w:val="15AE34DE"/>
    <w:rsid w:val="15BB209F"/>
    <w:rsid w:val="15BD5E17"/>
    <w:rsid w:val="15C72C7C"/>
    <w:rsid w:val="15C90318"/>
    <w:rsid w:val="15CA4090"/>
    <w:rsid w:val="15CB06E2"/>
    <w:rsid w:val="15D33DF0"/>
    <w:rsid w:val="15D76017"/>
    <w:rsid w:val="15DD0268"/>
    <w:rsid w:val="15E05662"/>
    <w:rsid w:val="15E46F00"/>
    <w:rsid w:val="15E769F0"/>
    <w:rsid w:val="15EE7D7F"/>
    <w:rsid w:val="15F66C34"/>
    <w:rsid w:val="15FA2BC8"/>
    <w:rsid w:val="15FA6724"/>
    <w:rsid w:val="15FF1F8C"/>
    <w:rsid w:val="15FF3D3A"/>
    <w:rsid w:val="16027CCE"/>
    <w:rsid w:val="160457F4"/>
    <w:rsid w:val="16077A7C"/>
    <w:rsid w:val="1609105D"/>
    <w:rsid w:val="160A26DF"/>
    <w:rsid w:val="160B0931"/>
    <w:rsid w:val="160B1CC9"/>
    <w:rsid w:val="160E0421"/>
    <w:rsid w:val="160E696E"/>
    <w:rsid w:val="16126189"/>
    <w:rsid w:val="16131283"/>
    <w:rsid w:val="16135A37"/>
    <w:rsid w:val="1615355E"/>
    <w:rsid w:val="16175528"/>
    <w:rsid w:val="161C0D90"/>
    <w:rsid w:val="161C2B3E"/>
    <w:rsid w:val="161F262E"/>
    <w:rsid w:val="162419F3"/>
    <w:rsid w:val="162C6AF9"/>
    <w:rsid w:val="162E2871"/>
    <w:rsid w:val="162F5EEB"/>
    <w:rsid w:val="163757C5"/>
    <w:rsid w:val="16380A5A"/>
    <w:rsid w:val="16386068"/>
    <w:rsid w:val="163F4A7E"/>
    <w:rsid w:val="16411730"/>
    <w:rsid w:val="164707FC"/>
    <w:rsid w:val="1649352F"/>
    <w:rsid w:val="16504596"/>
    <w:rsid w:val="165266F1"/>
    <w:rsid w:val="16531DCD"/>
    <w:rsid w:val="1658169C"/>
    <w:rsid w:val="165A3666"/>
    <w:rsid w:val="165B2F3A"/>
    <w:rsid w:val="165B64DD"/>
    <w:rsid w:val="165C73DE"/>
    <w:rsid w:val="16617428"/>
    <w:rsid w:val="16640041"/>
    <w:rsid w:val="166B7621"/>
    <w:rsid w:val="166D55CB"/>
    <w:rsid w:val="166E0EC0"/>
    <w:rsid w:val="167209B0"/>
    <w:rsid w:val="167364D6"/>
    <w:rsid w:val="16777D74"/>
    <w:rsid w:val="167B7C4B"/>
    <w:rsid w:val="167C44F8"/>
    <w:rsid w:val="16826719"/>
    <w:rsid w:val="168626AD"/>
    <w:rsid w:val="16872A35"/>
    <w:rsid w:val="168B7CC4"/>
    <w:rsid w:val="168D57EA"/>
    <w:rsid w:val="16900E36"/>
    <w:rsid w:val="1694148D"/>
    <w:rsid w:val="1695469E"/>
    <w:rsid w:val="1698541C"/>
    <w:rsid w:val="1699418F"/>
    <w:rsid w:val="169C5A2D"/>
    <w:rsid w:val="169D3553"/>
    <w:rsid w:val="169E79F7"/>
    <w:rsid w:val="169F551D"/>
    <w:rsid w:val="169F72CB"/>
    <w:rsid w:val="16A13043"/>
    <w:rsid w:val="16A36DBB"/>
    <w:rsid w:val="16A81790"/>
    <w:rsid w:val="16AB2114"/>
    <w:rsid w:val="16AB658F"/>
    <w:rsid w:val="16AD19E8"/>
    <w:rsid w:val="16B014D8"/>
    <w:rsid w:val="16B207CA"/>
    <w:rsid w:val="16B9038D"/>
    <w:rsid w:val="16BB3C28"/>
    <w:rsid w:val="16BC5986"/>
    <w:rsid w:val="16C44AD8"/>
    <w:rsid w:val="16C4566D"/>
    <w:rsid w:val="16D276A1"/>
    <w:rsid w:val="16D650DD"/>
    <w:rsid w:val="16D72F09"/>
    <w:rsid w:val="16DA6555"/>
    <w:rsid w:val="16DF3B6C"/>
    <w:rsid w:val="16E82A20"/>
    <w:rsid w:val="16F45869"/>
    <w:rsid w:val="16F46835"/>
    <w:rsid w:val="16F615E1"/>
    <w:rsid w:val="16F92E7F"/>
    <w:rsid w:val="16FB4332"/>
    <w:rsid w:val="17066928"/>
    <w:rsid w:val="17084E91"/>
    <w:rsid w:val="171364CE"/>
    <w:rsid w:val="17171557"/>
    <w:rsid w:val="171A6059"/>
    <w:rsid w:val="171F2C3F"/>
    <w:rsid w:val="172120C7"/>
    <w:rsid w:val="17215F32"/>
    <w:rsid w:val="17221F62"/>
    <w:rsid w:val="172805BA"/>
    <w:rsid w:val="17281893"/>
    <w:rsid w:val="17285513"/>
    <w:rsid w:val="173043C7"/>
    <w:rsid w:val="17312619"/>
    <w:rsid w:val="17312D11"/>
    <w:rsid w:val="17342109"/>
    <w:rsid w:val="1735378C"/>
    <w:rsid w:val="173C34E8"/>
    <w:rsid w:val="1740285C"/>
    <w:rsid w:val="174165D4"/>
    <w:rsid w:val="17465999"/>
    <w:rsid w:val="17471E3D"/>
    <w:rsid w:val="174C7453"/>
    <w:rsid w:val="17525B6D"/>
    <w:rsid w:val="17563E2E"/>
    <w:rsid w:val="175653EE"/>
    <w:rsid w:val="17577BA6"/>
    <w:rsid w:val="175C6F6A"/>
    <w:rsid w:val="17666845"/>
    <w:rsid w:val="176A1687"/>
    <w:rsid w:val="176A78D9"/>
    <w:rsid w:val="176C4AB8"/>
    <w:rsid w:val="176C7FAF"/>
    <w:rsid w:val="176D1177"/>
    <w:rsid w:val="1770386E"/>
    <w:rsid w:val="17714935"/>
    <w:rsid w:val="177235B3"/>
    <w:rsid w:val="17735226"/>
    <w:rsid w:val="177B1AE6"/>
    <w:rsid w:val="177D49C9"/>
    <w:rsid w:val="177D585E"/>
    <w:rsid w:val="17832749"/>
    <w:rsid w:val="17842AD0"/>
    <w:rsid w:val="178564C1"/>
    <w:rsid w:val="1787048B"/>
    <w:rsid w:val="178B7795"/>
    <w:rsid w:val="178D1819"/>
    <w:rsid w:val="178E7A6B"/>
    <w:rsid w:val="178F7340"/>
    <w:rsid w:val="179606CE"/>
    <w:rsid w:val="17994519"/>
    <w:rsid w:val="17994B59"/>
    <w:rsid w:val="179C49C1"/>
    <w:rsid w:val="179E7583"/>
    <w:rsid w:val="17A06CE7"/>
    <w:rsid w:val="17A56B63"/>
    <w:rsid w:val="17A728DB"/>
    <w:rsid w:val="17A75F91"/>
    <w:rsid w:val="17A80401"/>
    <w:rsid w:val="17AA4179"/>
    <w:rsid w:val="17AC1CA0"/>
    <w:rsid w:val="17B15508"/>
    <w:rsid w:val="17B41E54"/>
    <w:rsid w:val="17B631A7"/>
    <w:rsid w:val="17B80644"/>
    <w:rsid w:val="17B91FA2"/>
    <w:rsid w:val="17B9260F"/>
    <w:rsid w:val="17BB3400"/>
    <w:rsid w:val="17C074F9"/>
    <w:rsid w:val="17C52D61"/>
    <w:rsid w:val="17C76AD9"/>
    <w:rsid w:val="17D43BE0"/>
    <w:rsid w:val="17DA4A5F"/>
    <w:rsid w:val="17DE55A1"/>
    <w:rsid w:val="17E21B65"/>
    <w:rsid w:val="17E62FA2"/>
    <w:rsid w:val="17E72CD8"/>
    <w:rsid w:val="17E94CA2"/>
    <w:rsid w:val="17EC6540"/>
    <w:rsid w:val="17EF6030"/>
    <w:rsid w:val="17EF7DDE"/>
    <w:rsid w:val="17F12BE8"/>
    <w:rsid w:val="17F324AA"/>
    <w:rsid w:val="18055854"/>
    <w:rsid w:val="18057602"/>
    <w:rsid w:val="18094A7F"/>
    <w:rsid w:val="18095344"/>
    <w:rsid w:val="180A2E6A"/>
    <w:rsid w:val="180D7C95"/>
    <w:rsid w:val="18100480"/>
    <w:rsid w:val="18117D55"/>
    <w:rsid w:val="18134CAA"/>
    <w:rsid w:val="18147845"/>
    <w:rsid w:val="18165F03"/>
    <w:rsid w:val="182061EA"/>
    <w:rsid w:val="182201B4"/>
    <w:rsid w:val="18226406"/>
    <w:rsid w:val="18295F5F"/>
    <w:rsid w:val="18297794"/>
    <w:rsid w:val="182B6DD0"/>
    <w:rsid w:val="182C4B8E"/>
    <w:rsid w:val="182E0907"/>
    <w:rsid w:val="1833416F"/>
    <w:rsid w:val="18351C95"/>
    <w:rsid w:val="18363C5F"/>
    <w:rsid w:val="183879D7"/>
    <w:rsid w:val="183A60CC"/>
    <w:rsid w:val="183D6D9C"/>
    <w:rsid w:val="183E57A4"/>
    <w:rsid w:val="183F2B14"/>
    <w:rsid w:val="1840063A"/>
    <w:rsid w:val="184243B2"/>
    <w:rsid w:val="18477C1A"/>
    <w:rsid w:val="185540E5"/>
    <w:rsid w:val="18581E27"/>
    <w:rsid w:val="18583BD5"/>
    <w:rsid w:val="1869193F"/>
    <w:rsid w:val="186B56B7"/>
    <w:rsid w:val="186F23AF"/>
    <w:rsid w:val="18714C97"/>
    <w:rsid w:val="187529D9"/>
    <w:rsid w:val="187A1D9E"/>
    <w:rsid w:val="187F1162"/>
    <w:rsid w:val="18826EA4"/>
    <w:rsid w:val="18833979"/>
    <w:rsid w:val="188744BB"/>
    <w:rsid w:val="1888635B"/>
    <w:rsid w:val="18893D8F"/>
    <w:rsid w:val="188B5D59"/>
    <w:rsid w:val="18954E2A"/>
    <w:rsid w:val="18956899"/>
    <w:rsid w:val="18982224"/>
    <w:rsid w:val="18985DE5"/>
    <w:rsid w:val="18A46E1B"/>
    <w:rsid w:val="18AA6B24"/>
    <w:rsid w:val="18AE0D2F"/>
    <w:rsid w:val="18AF5EEB"/>
    <w:rsid w:val="18B0756E"/>
    <w:rsid w:val="18B21538"/>
    <w:rsid w:val="18B90B18"/>
    <w:rsid w:val="18BC23B6"/>
    <w:rsid w:val="18BE7B6B"/>
    <w:rsid w:val="18BF12FA"/>
    <w:rsid w:val="18C13529"/>
    <w:rsid w:val="18C179CD"/>
    <w:rsid w:val="18C63235"/>
    <w:rsid w:val="18C64FE3"/>
    <w:rsid w:val="18C87522"/>
    <w:rsid w:val="18C94AD3"/>
    <w:rsid w:val="18C96881"/>
    <w:rsid w:val="18CD45C3"/>
    <w:rsid w:val="18CE20EA"/>
    <w:rsid w:val="18D07C10"/>
    <w:rsid w:val="18D47700"/>
    <w:rsid w:val="18D72D4C"/>
    <w:rsid w:val="18DD40DB"/>
    <w:rsid w:val="18DE601E"/>
    <w:rsid w:val="18E35B95"/>
    <w:rsid w:val="18E86D07"/>
    <w:rsid w:val="18EB67F8"/>
    <w:rsid w:val="18ED08AB"/>
    <w:rsid w:val="18F179C4"/>
    <w:rsid w:val="18FA6A3B"/>
    <w:rsid w:val="18FC6C57"/>
    <w:rsid w:val="18FE29CF"/>
    <w:rsid w:val="190470B1"/>
    <w:rsid w:val="190873AA"/>
    <w:rsid w:val="19094547"/>
    <w:rsid w:val="190B6E9A"/>
    <w:rsid w:val="19103908"/>
    <w:rsid w:val="1910625E"/>
    <w:rsid w:val="19130CA3"/>
    <w:rsid w:val="19185113"/>
    <w:rsid w:val="191A0E8B"/>
    <w:rsid w:val="191A70DD"/>
    <w:rsid w:val="191C2E55"/>
    <w:rsid w:val="191C59B6"/>
    <w:rsid w:val="192341E3"/>
    <w:rsid w:val="192A37C4"/>
    <w:rsid w:val="192D79FD"/>
    <w:rsid w:val="192F4936"/>
    <w:rsid w:val="193208CA"/>
    <w:rsid w:val="19371A3D"/>
    <w:rsid w:val="193F08F1"/>
    <w:rsid w:val="19404D95"/>
    <w:rsid w:val="1941466A"/>
    <w:rsid w:val="19436634"/>
    <w:rsid w:val="194D74B2"/>
    <w:rsid w:val="194F7E45"/>
    <w:rsid w:val="19520625"/>
    <w:rsid w:val="19550115"/>
    <w:rsid w:val="195645B9"/>
    <w:rsid w:val="19570331"/>
    <w:rsid w:val="19572D68"/>
    <w:rsid w:val="195C1FE7"/>
    <w:rsid w:val="195D6EAA"/>
    <w:rsid w:val="19650358"/>
    <w:rsid w:val="196565AA"/>
    <w:rsid w:val="196842EC"/>
    <w:rsid w:val="1968518A"/>
    <w:rsid w:val="1968609A"/>
    <w:rsid w:val="196A0064"/>
    <w:rsid w:val="196F11D7"/>
    <w:rsid w:val="19713BDF"/>
    <w:rsid w:val="1973708C"/>
    <w:rsid w:val="197762DD"/>
    <w:rsid w:val="19793E03"/>
    <w:rsid w:val="197C1B46"/>
    <w:rsid w:val="197C38F4"/>
    <w:rsid w:val="198253AE"/>
    <w:rsid w:val="19847484"/>
    <w:rsid w:val="198B3B37"/>
    <w:rsid w:val="1990114D"/>
    <w:rsid w:val="199109E2"/>
    <w:rsid w:val="19940C3D"/>
    <w:rsid w:val="19962FCC"/>
    <w:rsid w:val="199E50E5"/>
    <w:rsid w:val="19A05834"/>
    <w:rsid w:val="19A31463"/>
    <w:rsid w:val="19A52E4A"/>
    <w:rsid w:val="19A74E14"/>
    <w:rsid w:val="19AA66B3"/>
    <w:rsid w:val="19AC41D9"/>
    <w:rsid w:val="19AC5F87"/>
    <w:rsid w:val="19AF7825"/>
    <w:rsid w:val="19B22744"/>
    <w:rsid w:val="19B337B9"/>
    <w:rsid w:val="19B65058"/>
    <w:rsid w:val="19BB441C"/>
    <w:rsid w:val="19BD63E6"/>
    <w:rsid w:val="19BD7605"/>
    <w:rsid w:val="19BE5CBA"/>
    <w:rsid w:val="19C01A32"/>
    <w:rsid w:val="19C07C84"/>
    <w:rsid w:val="19C86B39"/>
    <w:rsid w:val="19CF1C75"/>
    <w:rsid w:val="19D35C0A"/>
    <w:rsid w:val="19D63004"/>
    <w:rsid w:val="19D90D46"/>
    <w:rsid w:val="19E03E83"/>
    <w:rsid w:val="19E41BC5"/>
    <w:rsid w:val="19E96351"/>
    <w:rsid w:val="19F25F57"/>
    <w:rsid w:val="19F30585"/>
    <w:rsid w:val="19F31E08"/>
    <w:rsid w:val="19F33BB6"/>
    <w:rsid w:val="19F45B80"/>
    <w:rsid w:val="19FF69FF"/>
    <w:rsid w:val="1A027F67"/>
    <w:rsid w:val="1A0538E9"/>
    <w:rsid w:val="1A057D8D"/>
    <w:rsid w:val="1A085187"/>
    <w:rsid w:val="1A09138C"/>
    <w:rsid w:val="1A0C2EC9"/>
    <w:rsid w:val="1A18361C"/>
    <w:rsid w:val="1A1C66C0"/>
    <w:rsid w:val="1A1F0E4F"/>
    <w:rsid w:val="1A240213"/>
    <w:rsid w:val="1A27385F"/>
    <w:rsid w:val="1A2B77F4"/>
    <w:rsid w:val="1A2D1611"/>
    <w:rsid w:val="1A2E2E40"/>
    <w:rsid w:val="1A2E4BEE"/>
    <w:rsid w:val="1A367F46"/>
    <w:rsid w:val="1A3A7A37"/>
    <w:rsid w:val="1A3F5F9B"/>
    <w:rsid w:val="1A404921"/>
    <w:rsid w:val="1A42393B"/>
    <w:rsid w:val="1A4268EB"/>
    <w:rsid w:val="1A435F0A"/>
    <w:rsid w:val="1A441CBC"/>
    <w:rsid w:val="1A4A57A0"/>
    <w:rsid w:val="1A4B1C44"/>
    <w:rsid w:val="1A4E34E2"/>
    <w:rsid w:val="1A4E4600"/>
    <w:rsid w:val="1A516B2E"/>
    <w:rsid w:val="1A526911"/>
    <w:rsid w:val="1A58610F"/>
    <w:rsid w:val="1A5A4033"/>
    <w:rsid w:val="1A5E6E65"/>
    <w:rsid w:val="1A6745A4"/>
    <w:rsid w:val="1A6751A7"/>
    <w:rsid w:val="1A693E78"/>
    <w:rsid w:val="1A6C1BBA"/>
    <w:rsid w:val="1A6C5716"/>
    <w:rsid w:val="1A7016AA"/>
    <w:rsid w:val="1A7036F0"/>
    <w:rsid w:val="1A75606A"/>
    <w:rsid w:val="1A766595"/>
    <w:rsid w:val="1A780499"/>
    <w:rsid w:val="1A7A42D7"/>
    <w:rsid w:val="1A7A5E19"/>
    <w:rsid w:val="1A7A7E33"/>
    <w:rsid w:val="1A7D2C10"/>
    <w:rsid w:val="1A7D5B75"/>
    <w:rsid w:val="1A7D7923"/>
    <w:rsid w:val="1A7E53C6"/>
    <w:rsid w:val="1A824F3A"/>
    <w:rsid w:val="1A8A7F67"/>
    <w:rsid w:val="1A8E38DF"/>
    <w:rsid w:val="1A8E7D82"/>
    <w:rsid w:val="1A907657"/>
    <w:rsid w:val="1A924679"/>
    <w:rsid w:val="1A9475CB"/>
    <w:rsid w:val="1A9A74A1"/>
    <w:rsid w:val="1A9D2550"/>
    <w:rsid w:val="1A9D4337"/>
    <w:rsid w:val="1A9D6217"/>
    <w:rsid w:val="1A9F5AEC"/>
    <w:rsid w:val="1AA66E7A"/>
    <w:rsid w:val="1AA90718"/>
    <w:rsid w:val="1AAE5D2F"/>
    <w:rsid w:val="1AB05F4B"/>
    <w:rsid w:val="1AB33345"/>
    <w:rsid w:val="1AB610DA"/>
    <w:rsid w:val="1AB833B2"/>
    <w:rsid w:val="1AB86E8B"/>
    <w:rsid w:val="1AB94A4F"/>
    <w:rsid w:val="1ABF08C1"/>
    <w:rsid w:val="1AC60017"/>
    <w:rsid w:val="1AC840ED"/>
    <w:rsid w:val="1AC94917"/>
    <w:rsid w:val="1ACD2659"/>
    <w:rsid w:val="1ACE4623"/>
    <w:rsid w:val="1ADB5522"/>
    <w:rsid w:val="1AE027CB"/>
    <w:rsid w:val="1AE41750"/>
    <w:rsid w:val="1AE6196C"/>
    <w:rsid w:val="1AE856E5"/>
    <w:rsid w:val="1AE94FB9"/>
    <w:rsid w:val="1AEB35C0"/>
    <w:rsid w:val="1AEE7796"/>
    <w:rsid w:val="1AF220BF"/>
    <w:rsid w:val="1AF5395E"/>
    <w:rsid w:val="1AF776D6"/>
    <w:rsid w:val="1AF851FC"/>
    <w:rsid w:val="1AFB27F7"/>
    <w:rsid w:val="1AFF47DC"/>
    <w:rsid w:val="1B010952"/>
    <w:rsid w:val="1B040045"/>
    <w:rsid w:val="1B046F80"/>
    <w:rsid w:val="1B063DBD"/>
    <w:rsid w:val="1B122762"/>
    <w:rsid w:val="1B1C0EEA"/>
    <w:rsid w:val="1B1C1548"/>
    <w:rsid w:val="1B1C713C"/>
    <w:rsid w:val="1B1D7B9C"/>
    <w:rsid w:val="1B1F6C2C"/>
    <w:rsid w:val="1B222279"/>
    <w:rsid w:val="1B2E0C1E"/>
    <w:rsid w:val="1B2F50C2"/>
    <w:rsid w:val="1B324BB2"/>
    <w:rsid w:val="1B3267B5"/>
    <w:rsid w:val="1B3501FE"/>
    <w:rsid w:val="1B3705F1"/>
    <w:rsid w:val="1B395C34"/>
    <w:rsid w:val="1B3E3557"/>
    <w:rsid w:val="1B410951"/>
    <w:rsid w:val="1B4346C9"/>
    <w:rsid w:val="1B461B95"/>
    <w:rsid w:val="1B466DA8"/>
    <w:rsid w:val="1B4A1EFB"/>
    <w:rsid w:val="1B4B1205"/>
    <w:rsid w:val="1B4F12C0"/>
    <w:rsid w:val="1B551BB4"/>
    <w:rsid w:val="1B55264E"/>
    <w:rsid w:val="1B5728FE"/>
    <w:rsid w:val="1B5763C6"/>
    <w:rsid w:val="1B5A1A13"/>
    <w:rsid w:val="1B5E59A7"/>
    <w:rsid w:val="1B610FF3"/>
    <w:rsid w:val="1B617DDC"/>
    <w:rsid w:val="1B642891"/>
    <w:rsid w:val="1B650AE3"/>
    <w:rsid w:val="1B684130"/>
    <w:rsid w:val="1B6B62AA"/>
    <w:rsid w:val="1B6E246A"/>
    <w:rsid w:val="1B776A68"/>
    <w:rsid w:val="1B7A20B5"/>
    <w:rsid w:val="1B8371BB"/>
    <w:rsid w:val="1B8917F2"/>
    <w:rsid w:val="1B8D1DE8"/>
    <w:rsid w:val="1B8E559D"/>
    <w:rsid w:val="1B8F5B60"/>
    <w:rsid w:val="1B917546"/>
    <w:rsid w:val="1B917B2A"/>
    <w:rsid w:val="1B974A15"/>
    <w:rsid w:val="1B9B4505"/>
    <w:rsid w:val="1BA809D0"/>
    <w:rsid w:val="1BAA0CF5"/>
    <w:rsid w:val="1BB2184F"/>
    <w:rsid w:val="1BB249FC"/>
    <w:rsid w:val="1BBB4BA7"/>
    <w:rsid w:val="1BBE1FA1"/>
    <w:rsid w:val="1BC25DC8"/>
    <w:rsid w:val="1BC66BE3"/>
    <w:rsid w:val="1BC752FA"/>
    <w:rsid w:val="1BCA3093"/>
    <w:rsid w:val="1BCD6688"/>
    <w:rsid w:val="1BCF3EC0"/>
    <w:rsid w:val="1BD05CC3"/>
    <w:rsid w:val="1BD25A4D"/>
    <w:rsid w:val="1BDB76AB"/>
    <w:rsid w:val="1BDD4B1E"/>
    <w:rsid w:val="1BDF119A"/>
    <w:rsid w:val="1BE13EE2"/>
    <w:rsid w:val="1BE67209"/>
    <w:rsid w:val="1BEA548C"/>
    <w:rsid w:val="1BF12377"/>
    <w:rsid w:val="1BF9122C"/>
    <w:rsid w:val="1BF9747E"/>
    <w:rsid w:val="1BFE4A94"/>
    <w:rsid w:val="1C032DB0"/>
    <w:rsid w:val="1C177904"/>
    <w:rsid w:val="1C187CE4"/>
    <w:rsid w:val="1C1918CE"/>
    <w:rsid w:val="1C1F5136"/>
    <w:rsid w:val="1C1F6AB3"/>
    <w:rsid w:val="1C204A0A"/>
    <w:rsid w:val="1C2942AF"/>
    <w:rsid w:val="1C297D63"/>
    <w:rsid w:val="1C2C1601"/>
    <w:rsid w:val="1C2E35CB"/>
    <w:rsid w:val="1C2F2E9F"/>
    <w:rsid w:val="1C2F4C4D"/>
    <w:rsid w:val="1C316C17"/>
    <w:rsid w:val="1C3B5CE8"/>
    <w:rsid w:val="1C3D380E"/>
    <w:rsid w:val="1C3D43D1"/>
    <w:rsid w:val="1C3D55BC"/>
    <w:rsid w:val="1C495A9D"/>
    <w:rsid w:val="1C4C57FF"/>
    <w:rsid w:val="1C4E0B38"/>
    <w:rsid w:val="1C4E1577"/>
    <w:rsid w:val="1C4E77C9"/>
    <w:rsid w:val="1C4F3E01"/>
    <w:rsid w:val="1C5341C9"/>
    <w:rsid w:val="1C5D5C5E"/>
    <w:rsid w:val="1C5D7A0C"/>
    <w:rsid w:val="1C5E7925"/>
    <w:rsid w:val="1C5F71C6"/>
    <w:rsid w:val="1C646FED"/>
    <w:rsid w:val="1C6777DD"/>
    <w:rsid w:val="1C69015F"/>
    <w:rsid w:val="1C6A3ED7"/>
    <w:rsid w:val="1C6E1C1A"/>
    <w:rsid w:val="1C7020CB"/>
    <w:rsid w:val="1C704EFA"/>
    <w:rsid w:val="1C712CA5"/>
    <w:rsid w:val="1C735482"/>
    <w:rsid w:val="1C780121"/>
    <w:rsid w:val="1C784846"/>
    <w:rsid w:val="1C821221"/>
    <w:rsid w:val="1C827473"/>
    <w:rsid w:val="1C850DE3"/>
    <w:rsid w:val="1C8615F4"/>
    <w:rsid w:val="1C887FC8"/>
    <w:rsid w:val="1C8E7BC6"/>
    <w:rsid w:val="1C9553F8"/>
    <w:rsid w:val="1C97240B"/>
    <w:rsid w:val="1C9A2A0F"/>
    <w:rsid w:val="1C9B0535"/>
    <w:rsid w:val="1CA13D9D"/>
    <w:rsid w:val="1CA636C0"/>
    <w:rsid w:val="1CA76006"/>
    <w:rsid w:val="1CA94A00"/>
    <w:rsid w:val="1CAC44F0"/>
    <w:rsid w:val="1CB02232"/>
    <w:rsid w:val="1CBA6C0D"/>
    <w:rsid w:val="1CBD66FD"/>
    <w:rsid w:val="1CBF06C7"/>
    <w:rsid w:val="1CC17F9B"/>
    <w:rsid w:val="1CC614DF"/>
    <w:rsid w:val="1CC63804"/>
    <w:rsid w:val="1CC932F4"/>
    <w:rsid w:val="1CCE090A"/>
    <w:rsid w:val="1CCE7662"/>
    <w:rsid w:val="1CD06827"/>
    <w:rsid w:val="1CD11779"/>
    <w:rsid w:val="1CD777BF"/>
    <w:rsid w:val="1CD83537"/>
    <w:rsid w:val="1CDD0B4D"/>
    <w:rsid w:val="1CE27F12"/>
    <w:rsid w:val="1CE56751"/>
    <w:rsid w:val="1CE66C3A"/>
    <w:rsid w:val="1CEE4B08"/>
    <w:rsid w:val="1CF163A7"/>
    <w:rsid w:val="1CF3551E"/>
    <w:rsid w:val="1CF7783C"/>
    <w:rsid w:val="1CFC0FD3"/>
    <w:rsid w:val="1CFC5477"/>
    <w:rsid w:val="1D0221D5"/>
    <w:rsid w:val="1D037E77"/>
    <w:rsid w:val="1D0B5412"/>
    <w:rsid w:val="1D0D1432"/>
    <w:rsid w:val="1D0E51AB"/>
    <w:rsid w:val="1D13631D"/>
    <w:rsid w:val="1D1502E7"/>
    <w:rsid w:val="1D1638A0"/>
    <w:rsid w:val="1D1B1F70"/>
    <w:rsid w:val="1D1E53EE"/>
    <w:rsid w:val="1D1E587E"/>
    <w:rsid w:val="1D230C56"/>
    <w:rsid w:val="1D2422D8"/>
    <w:rsid w:val="1D27172A"/>
    <w:rsid w:val="1D28776C"/>
    <w:rsid w:val="1D2B5F1E"/>
    <w:rsid w:val="1D305121"/>
    <w:rsid w:val="1D320E99"/>
    <w:rsid w:val="1D3369BF"/>
    <w:rsid w:val="1D343C6E"/>
    <w:rsid w:val="1D3764AF"/>
    <w:rsid w:val="1D3C5874"/>
    <w:rsid w:val="1D3F5364"/>
    <w:rsid w:val="1D4110DC"/>
    <w:rsid w:val="1D436C02"/>
    <w:rsid w:val="1D454590"/>
    <w:rsid w:val="1D4604A0"/>
    <w:rsid w:val="1D494FEE"/>
    <w:rsid w:val="1D496BFF"/>
    <w:rsid w:val="1D4B5AB7"/>
    <w:rsid w:val="1D4F1A4B"/>
    <w:rsid w:val="1D50131F"/>
    <w:rsid w:val="1D5030CD"/>
    <w:rsid w:val="1D57445C"/>
    <w:rsid w:val="1D5C4168"/>
    <w:rsid w:val="1D5D57EA"/>
    <w:rsid w:val="1D5F6196"/>
    <w:rsid w:val="1D6132A5"/>
    <w:rsid w:val="1D631052"/>
    <w:rsid w:val="1D686669"/>
    <w:rsid w:val="1D69418F"/>
    <w:rsid w:val="1D701DA4"/>
    <w:rsid w:val="1D757536"/>
    <w:rsid w:val="1D813BCE"/>
    <w:rsid w:val="1D85652A"/>
    <w:rsid w:val="1D8611E5"/>
    <w:rsid w:val="1D866BC1"/>
    <w:rsid w:val="1D8E4E63"/>
    <w:rsid w:val="1D8E56D5"/>
    <w:rsid w:val="1D903E12"/>
    <w:rsid w:val="1D943902"/>
    <w:rsid w:val="1D9E208B"/>
    <w:rsid w:val="1D9E279F"/>
    <w:rsid w:val="1DA376A1"/>
    <w:rsid w:val="1DB2192C"/>
    <w:rsid w:val="1DB541DC"/>
    <w:rsid w:val="1DB814F0"/>
    <w:rsid w:val="1DB96EC4"/>
    <w:rsid w:val="1DBE44DB"/>
    <w:rsid w:val="1DC064A5"/>
    <w:rsid w:val="1DC6338F"/>
    <w:rsid w:val="1DC835AB"/>
    <w:rsid w:val="1DC87107"/>
    <w:rsid w:val="1DCA2E80"/>
    <w:rsid w:val="1DCA3975"/>
    <w:rsid w:val="1DCA7323"/>
    <w:rsid w:val="1DCF66E8"/>
    <w:rsid w:val="1DD0420E"/>
    <w:rsid w:val="1DD26E1C"/>
    <w:rsid w:val="1DD72298"/>
    <w:rsid w:val="1DD737EE"/>
    <w:rsid w:val="1DD7559C"/>
    <w:rsid w:val="1DD849C1"/>
    <w:rsid w:val="1DDB32DF"/>
    <w:rsid w:val="1DDF4DA5"/>
    <w:rsid w:val="1DE005BB"/>
    <w:rsid w:val="1DE2466D"/>
    <w:rsid w:val="1DE76E33"/>
    <w:rsid w:val="1DEA6122"/>
    <w:rsid w:val="1DEB1048"/>
    <w:rsid w:val="1DEC729A"/>
    <w:rsid w:val="1DED6B6E"/>
    <w:rsid w:val="1DEE3DF0"/>
    <w:rsid w:val="1DF234E7"/>
    <w:rsid w:val="1DF47922"/>
    <w:rsid w:val="1DF61EC7"/>
    <w:rsid w:val="1DF63C75"/>
    <w:rsid w:val="1DFC3255"/>
    <w:rsid w:val="1DFE001E"/>
    <w:rsid w:val="1DFE521F"/>
    <w:rsid w:val="1E022BB7"/>
    <w:rsid w:val="1E087E4C"/>
    <w:rsid w:val="1E0F0A85"/>
    <w:rsid w:val="1E1503D5"/>
    <w:rsid w:val="1E1B192D"/>
    <w:rsid w:val="1E1B36DB"/>
    <w:rsid w:val="1E1D7157"/>
    <w:rsid w:val="1E214A6A"/>
    <w:rsid w:val="1E222CBC"/>
    <w:rsid w:val="1E2307E2"/>
    <w:rsid w:val="1E2C3B3A"/>
    <w:rsid w:val="1E320A25"/>
    <w:rsid w:val="1E326C77"/>
    <w:rsid w:val="1E37428D"/>
    <w:rsid w:val="1E3D713A"/>
    <w:rsid w:val="1E3E386E"/>
    <w:rsid w:val="1E400B16"/>
    <w:rsid w:val="1E4A0464"/>
    <w:rsid w:val="1E4C7D38"/>
    <w:rsid w:val="1E5170FD"/>
    <w:rsid w:val="1E521E5C"/>
    <w:rsid w:val="1E560BB7"/>
    <w:rsid w:val="1E5A31BE"/>
    <w:rsid w:val="1E5A7901"/>
    <w:rsid w:val="1E5D655D"/>
    <w:rsid w:val="1E6225FC"/>
    <w:rsid w:val="1E62755C"/>
    <w:rsid w:val="1E690E12"/>
    <w:rsid w:val="1E693DBB"/>
    <w:rsid w:val="1E6A01BF"/>
    <w:rsid w:val="1E6E4153"/>
    <w:rsid w:val="1E6E627A"/>
    <w:rsid w:val="1E71154D"/>
    <w:rsid w:val="1E7159F1"/>
    <w:rsid w:val="1E763007"/>
    <w:rsid w:val="1E780D78"/>
    <w:rsid w:val="1E7A43DA"/>
    <w:rsid w:val="1E7B6870"/>
    <w:rsid w:val="1E803E86"/>
    <w:rsid w:val="1E875215"/>
    <w:rsid w:val="1E881EAE"/>
    <w:rsid w:val="1E8E20FF"/>
    <w:rsid w:val="1E942096"/>
    <w:rsid w:val="1E957931"/>
    <w:rsid w:val="1E960FB4"/>
    <w:rsid w:val="1E967206"/>
    <w:rsid w:val="1E9A6CF6"/>
    <w:rsid w:val="1E9F255E"/>
    <w:rsid w:val="1EA01E32"/>
    <w:rsid w:val="1EA36355"/>
    <w:rsid w:val="1EA47B74"/>
    <w:rsid w:val="1EAE7EC3"/>
    <w:rsid w:val="1EAF2075"/>
    <w:rsid w:val="1EB277FE"/>
    <w:rsid w:val="1EB31B66"/>
    <w:rsid w:val="1EB51D82"/>
    <w:rsid w:val="1EBA2EF4"/>
    <w:rsid w:val="1EBB0A1A"/>
    <w:rsid w:val="1EC22CE6"/>
    <w:rsid w:val="1EC2624D"/>
    <w:rsid w:val="1EC5276A"/>
    <w:rsid w:val="1EC91389"/>
    <w:rsid w:val="1EC93137"/>
    <w:rsid w:val="1ECC0E79"/>
    <w:rsid w:val="1ECE699F"/>
    <w:rsid w:val="1ED02718"/>
    <w:rsid w:val="1ED41ADC"/>
    <w:rsid w:val="1ED65854"/>
    <w:rsid w:val="1EDB10BC"/>
    <w:rsid w:val="1EDD3086"/>
    <w:rsid w:val="1EDD6BE3"/>
    <w:rsid w:val="1EE47F71"/>
    <w:rsid w:val="1EE52A7C"/>
    <w:rsid w:val="1EE937D9"/>
    <w:rsid w:val="1EE9589D"/>
    <w:rsid w:val="1EF26B32"/>
    <w:rsid w:val="1EFA027C"/>
    <w:rsid w:val="1EFA1543"/>
    <w:rsid w:val="1EFB52BB"/>
    <w:rsid w:val="1EFD1033"/>
    <w:rsid w:val="1EFD3C62"/>
    <w:rsid w:val="1EFF124F"/>
    <w:rsid w:val="1EFF4DAB"/>
    <w:rsid w:val="1F007446"/>
    <w:rsid w:val="1F010B23"/>
    <w:rsid w:val="1F0625DD"/>
    <w:rsid w:val="1F074B01"/>
    <w:rsid w:val="1F0B19A2"/>
    <w:rsid w:val="1F0C2860"/>
    <w:rsid w:val="1F0E3240"/>
    <w:rsid w:val="1F122D30"/>
    <w:rsid w:val="1F1378B1"/>
    <w:rsid w:val="1F15637C"/>
    <w:rsid w:val="1F1A1D73"/>
    <w:rsid w:val="1F1A73DC"/>
    <w:rsid w:val="1F1C3BAF"/>
    <w:rsid w:val="1F262338"/>
    <w:rsid w:val="1F2729AA"/>
    <w:rsid w:val="1F29007A"/>
    <w:rsid w:val="1F2C36C6"/>
    <w:rsid w:val="1F2E3015"/>
    <w:rsid w:val="1F306CF2"/>
    <w:rsid w:val="1F330EF8"/>
    <w:rsid w:val="1F38206B"/>
    <w:rsid w:val="1F394761"/>
    <w:rsid w:val="1F3D58D3"/>
    <w:rsid w:val="1F4206BA"/>
    <w:rsid w:val="1F464788"/>
    <w:rsid w:val="1F477846"/>
    <w:rsid w:val="1F4E5D32"/>
    <w:rsid w:val="1F555A28"/>
    <w:rsid w:val="1F5844BB"/>
    <w:rsid w:val="1F6115C2"/>
    <w:rsid w:val="1F642E60"/>
    <w:rsid w:val="1F647002"/>
    <w:rsid w:val="1F684FAA"/>
    <w:rsid w:val="1F6B0692"/>
    <w:rsid w:val="1F6B1689"/>
    <w:rsid w:val="1F7363E0"/>
    <w:rsid w:val="1F7C289F"/>
    <w:rsid w:val="1F7C63FB"/>
    <w:rsid w:val="1F83778A"/>
    <w:rsid w:val="1F845B16"/>
    <w:rsid w:val="1F8654CC"/>
    <w:rsid w:val="1F8710F0"/>
    <w:rsid w:val="1F8A1EBA"/>
    <w:rsid w:val="1F914C18"/>
    <w:rsid w:val="1F923E71"/>
    <w:rsid w:val="1F9329C7"/>
    <w:rsid w:val="1F947BE9"/>
    <w:rsid w:val="1F95570F"/>
    <w:rsid w:val="1F98426B"/>
    <w:rsid w:val="1F9D6372"/>
    <w:rsid w:val="1FA2402F"/>
    <w:rsid w:val="1FA31BDA"/>
    <w:rsid w:val="1FA47700"/>
    <w:rsid w:val="1FB37987"/>
    <w:rsid w:val="1FB45B95"/>
    <w:rsid w:val="1FB93ACF"/>
    <w:rsid w:val="1FC075B8"/>
    <w:rsid w:val="1FC446C3"/>
    <w:rsid w:val="1FC85AE5"/>
    <w:rsid w:val="1FC913C8"/>
    <w:rsid w:val="1FCF0C21"/>
    <w:rsid w:val="1FD04999"/>
    <w:rsid w:val="1FD55B0C"/>
    <w:rsid w:val="1FD75D28"/>
    <w:rsid w:val="1FD955FC"/>
    <w:rsid w:val="1FDF5A2B"/>
    <w:rsid w:val="1FE25C23"/>
    <w:rsid w:val="1FE30229"/>
    <w:rsid w:val="1FE7539E"/>
    <w:rsid w:val="1FF24910"/>
    <w:rsid w:val="1FF468DA"/>
    <w:rsid w:val="1FF71F26"/>
    <w:rsid w:val="1FFC12EA"/>
    <w:rsid w:val="2005311A"/>
    <w:rsid w:val="20081A9B"/>
    <w:rsid w:val="20084133"/>
    <w:rsid w:val="20087C8F"/>
    <w:rsid w:val="20104D96"/>
    <w:rsid w:val="20146634"/>
    <w:rsid w:val="201B4656"/>
    <w:rsid w:val="201E5705"/>
    <w:rsid w:val="201E74B3"/>
    <w:rsid w:val="20204247"/>
    <w:rsid w:val="20216FA3"/>
    <w:rsid w:val="20230F6D"/>
    <w:rsid w:val="202F346E"/>
    <w:rsid w:val="20370574"/>
    <w:rsid w:val="204333BD"/>
    <w:rsid w:val="204607B7"/>
    <w:rsid w:val="204A2ABA"/>
    <w:rsid w:val="204A3E24"/>
    <w:rsid w:val="204C4020"/>
    <w:rsid w:val="204D3B51"/>
    <w:rsid w:val="204F1D62"/>
    <w:rsid w:val="20515ADA"/>
    <w:rsid w:val="20541126"/>
    <w:rsid w:val="2059673D"/>
    <w:rsid w:val="205C7FDB"/>
    <w:rsid w:val="206155F1"/>
    <w:rsid w:val="20623843"/>
    <w:rsid w:val="20631369"/>
    <w:rsid w:val="20642787"/>
    <w:rsid w:val="206770AC"/>
    <w:rsid w:val="206A094A"/>
    <w:rsid w:val="206A26F8"/>
    <w:rsid w:val="206A5744"/>
    <w:rsid w:val="206A6B9C"/>
    <w:rsid w:val="206C2914"/>
    <w:rsid w:val="206C46C2"/>
    <w:rsid w:val="206F41B2"/>
    <w:rsid w:val="207277FE"/>
    <w:rsid w:val="20735A50"/>
    <w:rsid w:val="20745325"/>
    <w:rsid w:val="20796DDF"/>
    <w:rsid w:val="207B2B57"/>
    <w:rsid w:val="207D46DD"/>
    <w:rsid w:val="207D4F96"/>
    <w:rsid w:val="2080016D"/>
    <w:rsid w:val="20816EC3"/>
    <w:rsid w:val="208211C5"/>
    <w:rsid w:val="208512E0"/>
    <w:rsid w:val="208569AA"/>
    <w:rsid w:val="20860302"/>
    <w:rsid w:val="208C2D42"/>
    <w:rsid w:val="208D2370"/>
    <w:rsid w:val="208E4638"/>
    <w:rsid w:val="20913FE3"/>
    <w:rsid w:val="2094622D"/>
    <w:rsid w:val="20963CB8"/>
    <w:rsid w:val="209A56C0"/>
    <w:rsid w:val="209E23A2"/>
    <w:rsid w:val="209E41AC"/>
    <w:rsid w:val="20A7400A"/>
    <w:rsid w:val="20A8477C"/>
    <w:rsid w:val="20A92DD4"/>
    <w:rsid w:val="20AD0837"/>
    <w:rsid w:val="20B07FB6"/>
    <w:rsid w:val="20B15C43"/>
    <w:rsid w:val="20B240CD"/>
    <w:rsid w:val="20B61A5F"/>
    <w:rsid w:val="20C04A0E"/>
    <w:rsid w:val="20C22534"/>
    <w:rsid w:val="20C33369"/>
    <w:rsid w:val="20C41A43"/>
    <w:rsid w:val="20C95670"/>
    <w:rsid w:val="20CF4C51"/>
    <w:rsid w:val="20D52267"/>
    <w:rsid w:val="20DA5ACF"/>
    <w:rsid w:val="20DA7812"/>
    <w:rsid w:val="20DD111C"/>
    <w:rsid w:val="20DD55C0"/>
    <w:rsid w:val="20E029BA"/>
    <w:rsid w:val="20E424AA"/>
    <w:rsid w:val="20E64474"/>
    <w:rsid w:val="20E73D48"/>
    <w:rsid w:val="20EA55E7"/>
    <w:rsid w:val="20EE50D7"/>
    <w:rsid w:val="20F12E19"/>
    <w:rsid w:val="20F326ED"/>
    <w:rsid w:val="20F3403C"/>
    <w:rsid w:val="20F36B91"/>
    <w:rsid w:val="20FA198E"/>
    <w:rsid w:val="20FD531A"/>
    <w:rsid w:val="2100305C"/>
    <w:rsid w:val="21022930"/>
    <w:rsid w:val="210C1A01"/>
    <w:rsid w:val="210F504D"/>
    <w:rsid w:val="211014F1"/>
    <w:rsid w:val="2110329F"/>
    <w:rsid w:val="211508B6"/>
    <w:rsid w:val="211663DC"/>
    <w:rsid w:val="211C60E8"/>
    <w:rsid w:val="211E09B6"/>
    <w:rsid w:val="211F7986"/>
    <w:rsid w:val="21244F9D"/>
    <w:rsid w:val="21246D4B"/>
    <w:rsid w:val="213827F6"/>
    <w:rsid w:val="213A544A"/>
    <w:rsid w:val="213B74B1"/>
    <w:rsid w:val="213C22E6"/>
    <w:rsid w:val="213E1301"/>
    <w:rsid w:val="21425423"/>
    <w:rsid w:val="2144119B"/>
    <w:rsid w:val="21455F13"/>
    <w:rsid w:val="214742B5"/>
    <w:rsid w:val="214B2529"/>
    <w:rsid w:val="214E5B76"/>
    <w:rsid w:val="21507B40"/>
    <w:rsid w:val="21537DD8"/>
    <w:rsid w:val="21562C7C"/>
    <w:rsid w:val="215869F4"/>
    <w:rsid w:val="215A2310"/>
    <w:rsid w:val="215A6C10"/>
    <w:rsid w:val="215C2F2C"/>
    <w:rsid w:val="216474C2"/>
    <w:rsid w:val="21696E53"/>
    <w:rsid w:val="216B6728"/>
    <w:rsid w:val="216C4D8D"/>
    <w:rsid w:val="216E7FC6"/>
    <w:rsid w:val="21717AB6"/>
    <w:rsid w:val="2174620A"/>
    <w:rsid w:val="21817CF9"/>
    <w:rsid w:val="21823A71"/>
    <w:rsid w:val="21852C8B"/>
    <w:rsid w:val="2188552B"/>
    <w:rsid w:val="218B5160"/>
    <w:rsid w:val="219007B1"/>
    <w:rsid w:val="219263AA"/>
    <w:rsid w:val="21933ED0"/>
    <w:rsid w:val="21957C48"/>
    <w:rsid w:val="21974C34"/>
    <w:rsid w:val="2197576F"/>
    <w:rsid w:val="21997739"/>
    <w:rsid w:val="21A41C3A"/>
    <w:rsid w:val="21A460DD"/>
    <w:rsid w:val="21A659B2"/>
    <w:rsid w:val="21A734D8"/>
    <w:rsid w:val="21AA283A"/>
    <w:rsid w:val="21AE2AB8"/>
    <w:rsid w:val="21B067E3"/>
    <w:rsid w:val="21B14C75"/>
    <w:rsid w:val="21B856E5"/>
    <w:rsid w:val="21BA76AF"/>
    <w:rsid w:val="21BC51D5"/>
    <w:rsid w:val="21BF0821"/>
    <w:rsid w:val="21C34E99"/>
    <w:rsid w:val="21C661A1"/>
    <w:rsid w:val="21CB5418"/>
    <w:rsid w:val="21CC3CDF"/>
    <w:rsid w:val="21CD1190"/>
    <w:rsid w:val="21CF1302"/>
    <w:rsid w:val="21D3043D"/>
    <w:rsid w:val="21D4251F"/>
    <w:rsid w:val="21DC74DE"/>
    <w:rsid w:val="21DE318A"/>
    <w:rsid w:val="21DE339D"/>
    <w:rsid w:val="21E03C1E"/>
    <w:rsid w:val="21E13187"/>
    <w:rsid w:val="21E40288"/>
    <w:rsid w:val="21E94948"/>
    <w:rsid w:val="21E965D1"/>
    <w:rsid w:val="21ED0E6A"/>
    <w:rsid w:val="21EF5B80"/>
    <w:rsid w:val="21F4496F"/>
    <w:rsid w:val="21F66F4C"/>
    <w:rsid w:val="21FA58CD"/>
    <w:rsid w:val="21FC7CC7"/>
    <w:rsid w:val="2201708C"/>
    <w:rsid w:val="220B1CB9"/>
    <w:rsid w:val="220B7F0B"/>
    <w:rsid w:val="22162B37"/>
    <w:rsid w:val="221B56B0"/>
    <w:rsid w:val="221C3EC6"/>
    <w:rsid w:val="221D1128"/>
    <w:rsid w:val="22205764"/>
    <w:rsid w:val="22244B28"/>
    <w:rsid w:val="222608A0"/>
    <w:rsid w:val="222A213F"/>
    <w:rsid w:val="222A65E3"/>
    <w:rsid w:val="222C235B"/>
    <w:rsid w:val="222D26E1"/>
    <w:rsid w:val="22342FBD"/>
    <w:rsid w:val="223631D9"/>
    <w:rsid w:val="22396826"/>
    <w:rsid w:val="223E5BEA"/>
    <w:rsid w:val="223F04E2"/>
    <w:rsid w:val="2241392C"/>
    <w:rsid w:val="22464F27"/>
    <w:rsid w:val="224D0523"/>
    <w:rsid w:val="224E3F10"/>
    <w:rsid w:val="224F1189"/>
    <w:rsid w:val="2250329C"/>
    <w:rsid w:val="22511DC1"/>
    <w:rsid w:val="22560A16"/>
    <w:rsid w:val="225673D8"/>
    <w:rsid w:val="22573150"/>
    <w:rsid w:val="22576990"/>
    <w:rsid w:val="225A0088"/>
    <w:rsid w:val="225B2C40"/>
    <w:rsid w:val="225B7477"/>
    <w:rsid w:val="226338A3"/>
    <w:rsid w:val="2265761B"/>
    <w:rsid w:val="226A2E83"/>
    <w:rsid w:val="226C6BFB"/>
    <w:rsid w:val="226E2973"/>
    <w:rsid w:val="226F0499"/>
    <w:rsid w:val="22723AE6"/>
    <w:rsid w:val="22753050"/>
    <w:rsid w:val="227710FC"/>
    <w:rsid w:val="22806203"/>
    <w:rsid w:val="2282276D"/>
    <w:rsid w:val="22857CBD"/>
    <w:rsid w:val="22925F36"/>
    <w:rsid w:val="22943A5C"/>
    <w:rsid w:val="22993768"/>
    <w:rsid w:val="22994346"/>
    <w:rsid w:val="22994C0C"/>
    <w:rsid w:val="229C4EAB"/>
    <w:rsid w:val="22A00653"/>
    <w:rsid w:val="22AA6604"/>
    <w:rsid w:val="22AC2B5D"/>
    <w:rsid w:val="22AC524A"/>
    <w:rsid w:val="22AF0896"/>
    <w:rsid w:val="22B660C8"/>
    <w:rsid w:val="22B674CB"/>
    <w:rsid w:val="22B70195"/>
    <w:rsid w:val="22B8599C"/>
    <w:rsid w:val="22BD1205"/>
    <w:rsid w:val="22BD28C6"/>
    <w:rsid w:val="22BF62A8"/>
    <w:rsid w:val="22C02AA3"/>
    <w:rsid w:val="22C2681B"/>
    <w:rsid w:val="22C2713B"/>
    <w:rsid w:val="22C813AD"/>
    <w:rsid w:val="22CA1B74"/>
    <w:rsid w:val="22CB70E1"/>
    <w:rsid w:val="22CE51C0"/>
    <w:rsid w:val="22D12F02"/>
    <w:rsid w:val="22D14F59"/>
    <w:rsid w:val="22D50B4C"/>
    <w:rsid w:val="22D84291"/>
    <w:rsid w:val="22DB168B"/>
    <w:rsid w:val="22DD3655"/>
    <w:rsid w:val="22E03145"/>
    <w:rsid w:val="22E370DD"/>
    <w:rsid w:val="22E5075C"/>
    <w:rsid w:val="22E9024C"/>
    <w:rsid w:val="22E91FFA"/>
    <w:rsid w:val="22EC0514"/>
    <w:rsid w:val="22EE7610"/>
    <w:rsid w:val="22EF3388"/>
    <w:rsid w:val="22EF5136"/>
    <w:rsid w:val="22F10325"/>
    <w:rsid w:val="22F12CE8"/>
    <w:rsid w:val="22F32E79"/>
    <w:rsid w:val="22F36224"/>
    <w:rsid w:val="22F41B2B"/>
    <w:rsid w:val="22F56BF1"/>
    <w:rsid w:val="22F72A56"/>
    <w:rsid w:val="22F87F01"/>
    <w:rsid w:val="22F95FB5"/>
    <w:rsid w:val="22FB3ADB"/>
    <w:rsid w:val="23005752"/>
    <w:rsid w:val="230307BE"/>
    <w:rsid w:val="23035B1D"/>
    <w:rsid w:val="230706D2"/>
    <w:rsid w:val="231057D9"/>
    <w:rsid w:val="23124597"/>
    <w:rsid w:val="23150953"/>
    <w:rsid w:val="23181CF2"/>
    <w:rsid w:val="23187C1A"/>
    <w:rsid w:val="23250B58"/>
    <w:rsid w:val="23264FFC"/>
    <w:rsid w:val="23270D74"/>
    <w:rsid w:val="232A43C0"/>
    <w:rsid w:val="232C1EE7"/>
    <w:rsid w:val="232D0BF2"/>
    <w:rsid w:val="232E2103"/>
    <w:rsid w:val="2331574F"/>
    <w:rsid w:val="23343401"/>
    <w:rsid w:val="23362D65"/>
    <w:rsid w:val="2346744C"/>
    <w:rsid w:val="23476D20"/>
    <w:rsid w:val="23490CEA"/>
    <w:rsid w:val="23496F3C"/>
    <w:rsid w:val="234A05BF"/>
    <w:rsid w:val="234B6811"/>
    <w:rsid w:val="234F58A6"/>
    <w:rsid w:val="235002CB"/>
    <w:rsid w:val="2351194D"/>
    <w:rsid w:val="2355768F"/>
    <w:rsid w:val="235A0D1F"/>
    <w:rsid w:val="23607DE2"/>
    <w:rsid w:val="23625212"/>
    <w:rsid w:val="23627FFE"/>
    <w:rsid w:val="236E6522"/>
    <w:rsid w:val="23720241"/>
    <w:rsid w:val="237613B4"/>
    <w:rsid w:val="23765646"/>
    <w:rsid w:val="2378512C"/>
    <w:rsid w:val="237A6EBD"/>
    <w:rsid w:val="238034E2"/>
    <w:rsid w:val="238166D6"/>
    <w:rsid w:val="23871813"/>
    <w:rsid w:val="238A2A88"/>
    <w:rsid w:val="239051F6"/>
    <w:rsid w:val="23952182"/>
    <w:rsid w:val="23975438"/>
    <w:rsid w:val="23983A20"/>
    <w:rsid w:val="239D1036"/>
    <w:rsid w:val="239D2DE4"/>
    <w:rsid w:val="23A47C26"/>
    <w:rsid w:val="23A979DB"/>
    <w:rsid w:val="23AE0B4E"/>
    <w:rsid w:val="23B00D6A"/>
    <w:rsid w:val="23B24AE2"/>
    <w:rsid w:val="23B4085A"/>
    <w:rsid w:val="23BA5744"/>
    <w:rsid w:val="23BE146B"/>
    <w:rsid w:val="23BE2382"/>
    <w:rsid w:val="23C05D79"/>
    <w:rsid w:val="23C10881"/>
    <w:rsid w:val="23C14D25"/>
    <w:rsid w:val="23C16AD3"/>
    <w:rsid w:val="23CA79B4"/>
    <w:rsid w:val="23CB5BA3"/>
    <w:rsid w:val="23CD191B"/>
    <w:rsid w:val="23CE11F0"/>
    <w:rsid w:val="23CE7442"/>
    <w:rsid w:val="23D22A8E"/>
    <w:rsid w:val="23D26F32"/>
    <w:rsid w:val="23D74548"/>
    <w:rsid w:val="23DC3528"/>
    <w:rsid w:val="23DD3EED"/>
    <w:rsid w:val="23DE15D6"/>
    <w:rsid w:val="23E17175"/>
    <w:rsid w:val="23E2215F"/>
    <w:rsid w:val="23E32EED"/>
    <w:rsid w:val="23EB3172"/>
    <w:rsid w:val="23EB7FF4"/>
    <w:rsid w:val="23EF6DDD"/>
    <w:rsid w:val="23F24EDE"/>
    <w:rsid w:val="23F8626D"/>
    <w:rsid w:val="23FA1FE5"/>
    <w:rsid w:val="23FC4938"/>
    <w:rsid w:val="240115C5"/>
    <w:rsid w:val="24015121"/>
    <w:rsid w:val="2406098A"/>
    <w:rsid w:val="24084702"/>
    <w:rsid w:val="240B7CE8"/>
    <w:rsid w:val="24134E54"/>
    <w:rsid w:val="24174945"/>
    <w:rsid w:val="241A2687"/>
    <w:rsid w:val="242B4894"/>
    <w:rsid w:val="24347A80"/>
    <w:rsid w:val="24373239"/>
    <w:rsid w:val="24376D95"/>
    <w:rsid w:val="24383F19"/>
    <w:rsid w:val="24392B0D"/>
    <w:rsid w:val="24413208"/>
    <w:rsid w:val="24417C14"/>
    <w:rsid w:val="24446896"/>
    <w:rsid w:val="244F2331"/>
    <w:rsid w:val="244F5070"/>
    <w:rsid w:val="245060A9"/>
    <w:rsid w:val="24507E57"/>
    <w:rsid w:val="24547947"/>
    <w:rsid w:val="24561911"/>
    <w:rsid w:val="24653902"/>
    <w:rsid w:val="24661642"/>
    <w:rsid w:val="246833F2"/>
    <w:rsid w:val="246B10FD"/>
    <w:rsid w:val="246B4C91"/>
    <w:rsid w:val="246B4E01"/>
    <w:rsid w:val="246C3C2F"/>
    <w:rsid w:val="246F4781"/>
    <w:rsid w:val="247052DC"/>
    <w:rsid w:val="247509BC"/>
    <w:rsid w:val="247578BD"/>
    <w:rsid w:val="24761137"/>
    <w:rsid w:val="24773635"/>
    <w:rsid w:val="247955FF"/>
    <w:rsid w:val="247B4691"/>
    <w:rsid w:val="247E6188"/>
    <w:rsid w:val="24853FA4"/>
    <w:rsid w:val="24883A94"/>
    <w:rsid w:val="248F4E23"/>
    <w:rsid w:val="248F6BD1"/>
    <w:rsid w:val="249441E7"/>
    <w:rsid w:val="24957A67"/>
    <w:rsid w:val="24A0493A"/>
    <w:rsid w:val="24A374E0"/>
    <w:rsid w:val="24A85EE5"/>
    <w:rsid w:val="24AA57B9"/>
    <w:rsid w:val="24AC7783"/>
    <w:rsid w:val="24AF7273"/>
    <w:rsid w:val="24B31DC2"/>
    <w:rsid w:val="24B634E8"/>
    <w:rsid w:val="24BB1774"/>
    <w:rsid w:val="24BB2C9E"/>
    <w:rsid w:val="24BB4180"/>
    <w:rsid w:val="24BB79C6"/>
    <w:rsid w:val="24C148B0"/>
    <w:rsid w:val="24C20D54"/>
    <w:rsid w:val="24C21763"/>
    <w:rsid w:val="24C30629"/>
    <w:rsid w:val="24C83855"/>
    <w:rsid w:val="24CA6859"/>
    <w:rsid w:val="24CD76F9"/>
    <w:rsid w:val="24CF3471"/>
    <w:rsid w:val="24D171E9"/>
    <w:rsid w:val="24D64800"/>
    <w:rsid w:val="24DF6C29"/>
    <w:rsid w:val="24E00466"/>
    <w:rsid w:val="24E16D01"/>
    <w:rsid w:val="24E52C95"/>
    <w:rsid w:val="24E61397"/>
    <w:rsid w:val="24E91459"/>
    <w:rsid w:val="24EC4023"/>
    <w:rsid w:val="24ED56A6"/>
    <w:rsid w:val="24F25D15"/>
    <w:rsid w:val="24F627AC"/>
    <w:rsid w:val="24F66C50"/>
    <w:rsid w:val="24F84776"/>
    <w:rsid w:val="24FB4266"/>
    <w:rsid w:val="2500187D"/>
    <w:rsid w:val="2503311B"/>
    <w:rsid w:val="250A44A9"/>
    <w:rsid w:val="25102EC3"/>
    <w:rsid w:val="25115838"/>
    <w:rsid w:val="25132A7F"/>
    <w:rsid w:val="25170F50"/>
    <w:rsid w:val="25186BC6"/>
    <w:rsid w:val="251F61A7"/>
    <w:rsid w:val="25203CCD"/>
    <w:rsid w:val="252217F3"/>
    <w:rsid w:val="252B4B4C"/>
    <w:rsid w:val="252D53FE"/>
    <w:rsid w:val="25302162"/>
    <w:rsid w:val="2530284B"/>
    <w:rsid w:val="25341526"/>
    <w:rsid w:val="2536704D"/>
    <w:rsid w:val="253816FE"/>
    <w:rsid w:val="253B28B5"/>
    <w:rsid w:val="253D487F"/>
    <w:rsid w:val="253F0438"/>
    <w:rsid w:val="2540611D"/>
    <w:rsid w:val="25407ECB"/>
    <w:rsid w:val="25423C43"/>
    <w:rsid w:val="25467247"/>
    <w:rsid w:val="25493224"/>
    <w:rsid w:val="254E083A"/>
    <w:rsid w:val="2551032A"/>
    <w:rsid w:val="255319AC"/>
    <w:rsid w:val="25552D38"/>
    <w:rsid w:val="255676EF"/>
    <w:rsid w:val="2557798A"/>
    <w:rsid w:val="255A71DF"/>
    <w:rsid w:val="256736AA"/>
    <w:rsid w:val="256C0CC0"/>
    <w:rsid w:val="257638ED"/>
    <w:rsid w:val="25783B09"/>
    <w:rsid w:val="25787583"/>
    <w:rsid w:val="257A162F"/>
    <w:rsid w:val="257A33DD"/>
    <w:rsid w:val="257C53A7"/>
    <w:rsid w:val="257F6C45"/>
    <w:rsid w:val="258129BE"/>
    <w:rsid w:val="25820CEA"/>
    <w:rsid w:val="25822292"/>
    <w:rsid w:val="25826736"/>
    <w:rsid w:val="258424AE"/>
    <w:rsid w:val="25854EB2"/>
    <w:rsid w:val="258C1362"/>
    <w:rsid w:val="258C4EBE"/>
    <w:rsid w:val="258D2BFC"/>
    <w:rsid w:val="25916979"/>
    <w:rsid w:val="25950921"/>
    <w:rsid w:val="25956469"/>
    <w:rsid w:val="259721E1"/>
    <w:rsid w:val="259874E2"/>
    <w:rsid w:val="259A75DB"/>
    <w:rsid w:val="259B0619"/>
    <w:rsid w:val="259C77F7"/>
    <w:rsid w:val="25A718F0"/>
    <w:rsid w:val="25A91F14"/>
    <w:rsid w:val="25AC3881"/>
    <w:rsid w:val="25B6018D"/>
    <w:rsid w:val="25B70377"/>
    <w:rsid w:val="25B95E84"/>
    <w:rsid w:val="25BC57A4"/>
    <w:rsid w:val="25BD098A"/>
    <w:rsid w:val="25BD776E"/>
    <w:rsid w:val="25C1100C"/>
    <w:rsid w:val="25C1725E"/>
    <w:rsid w:val="25C97EC1"/>
    <w:rsid w:val="25D074A1"/>
    <w:rsid w:val="25D7082F"/>
    <w:rsid w:val="25D725DE"/>
    <w:rsid w:val="25D961D0"/>
    <w:rsid w:val="25DC5E46"/>
    <w:rsid w:val="25DD396C"/>
    <w:rsid w:val="25DE1BBE"/>
    <w:rsid w:val="25E60A73"/>
    <w:rsid w:val="25EB42DB"/>
    <w:rsid w:val="25EC2D81"/>
    <w:rsid w:val="25F022C2"/>
    <w:rsid w:val="25F0369F"/>
    <w:rsid w:val="25F34F3E"/>
    <w:rsid w:val="25F413E1"/>
    <w:rsid w:val="25F52A64"/>
    <w:rsid w:val="25F7330A"/>
    <w:rsid w:val="25F74973"/>
    <w:rsid w:val="25FA4ABC"/>
    <w:rsid w:val="25FC13BE"/>
    <w:rsid w:val="25FC2044"/>
    <w:rsid w:val="25FD5DBC"/>
    <w:rsid w:val="26022290"/>
    <w:rsid w:val="26040EF9"/>
    <w:rsid w:val="260809E9"/>
    <w:rsid w:val="26086C3B"/>
    <w:rsid w:val="2609650F"/>
    <w:rsid w:val="260D24A3"/>
    <w:rsid w:val="2610789E"/>
    <w:rsid w:val="26110E6F"/>
    <w:rsid w:val="26121868"/>
    <w:rsid w:val="26143832"/>
    <w:rsid w:val="261730FD"/>
    <w:rsid w:val="261849A4"/>
    <w:rsid w:val="26192BF6"/>
    <w:rsid w:val="261F21D6"/>
    <w:rsid w:val="262072FB"/>
    <w:rsid w:val="2624159B"/>
    <w:rsid w:val="2627191F"/>
    <w:rsid w:val="262A4E03"/>
    <w:rsid w:val="262B4D16"/>
    <w:rsid w:val="262C1DCB"/>
    <w:rsid w:val="262E5F76"/>
    <w:rsid w:val="26321F0A"/>
    <w:rsid w:val="26323CB8"/>
    <w:rsid w:val="26377839"/>
    <w:rsid w:val="26413EFB"/>
    <w:rsid w:val="26415CA9"/>
    <w:rsid w:val="2644502B"/>
    <w:rsid w:val="264528BD"/>
    <w:rsid w:val="26515721"/>
    <w:rsid w:val="26526108"/>
    <w:rsid w:val="26591245"/>
    <w:rsid w:val="265C0D35"/>
    <w:rsid w:val="26606A77"/>
    <w:rsid w:val="26645926"/>
    <w:rsid w:val="26681488"/>
    <w:rsid w:val="266A3452"/>
    <w:rsid w:val="266F0A68"/>
    <w:rsid w:val="266F6CBA"/>
    <w:rsid w:val="26712A32"/>
    <w:rsid w:val="26760048"/>
    <w:rsid w:val="267E6EFD"/>
    <w:rsid w:val="2681079B"/>
    <w:rsid w:val="268465AB"/>
    <w:rsid w:val="268828FF"/>
    <w:rsid w:val="268E1A5B"/>
    <w:rsid w:val="268F2EB8"/>
    <w:rsid w:val="268F6768"/>
    <w:rsid w:val="26955FF5"/>
    <w:rsid w:val="26976211"/>
    <w:rsid w:val="269C3827"/>
    <w:rsid w:val="269E759F"/>
    <w:rsid w:val="26A05073"/>
    <w:rsid w:val="26A36964"/>
    <w:rsid w:val="26A56238"/>
    <w:rsid w:val="26AA5F44"/>
    <w:rsid w:val="26AB5818"/>
    <w:rsid w:val="26AB6675"/>
    <w:rsid w:val="26AD1F5C"/>
    <w:rsid w:val="26AF5308"/>
    <w:rsid w:val="26B20955"/>
    <w:rsid w:val="26B7240F"/>
    <w:rsid w:val="26B96187"/>
    <w:rsid w:val="26BB73DE"/>
    <w:rsid w:val="26BC7A25"/>
    <w:rsid w:val="26BE72FA"/>
    <w:rsid w:val="26C012C4"/>
    <w:rsid w:val="26C07516"/>
    <w:rsid w:val="26C37006"/>
    <w:rsid w:val="26C54B2C"/>
    <w:rsid w:val="26C568DA"/>
    <w:rsid w:val="26CB3A94"/>
    <w:rsid w:val="26D0702D"/>
    <w:rsid w:val="26D554F4"/>
    <w:rsid w:val="26D62895"/>
    <w:rsid w:val="26D92385"/>
    <w:rsid w:val="26D94133"/>
    <w:rsid w:val="26DC6C91"/>
    <w:rsid w:val="26E14D5A"/>
    <w:rsid w:val="26E33204"/>
    <w:rsid w:val="26E47D34"/>
    <w:rsid w:val="26E52AD8"/>
    <w:rsid w:val="26E72CF4"/>
    <w:rsid w:val="26E74AA2"/>
    <w:rsid w:val="26ED035B"/>
    <w:rsid w:val="26EF7DFB"/>
    <w:rsid w:val="26F15921"/>
    <w:rsid w:val="26F40F6D"/>
    <w:rsid w:val="26F60CAF"/>
    <w:rsid w:val="26F61189"/>
    <w:rsid w:val="26F94249"/>
    <w:rsid w:val="26FD2518"/>
    <w:rsid w:val="2700492A"/>
    <w:rsid w:val="270D202F"/>
    <w:rsid w:val="270F7B55"/>
    <w:rsid w:val="2714160F"/>
    <w:rsid w:val="27147861"/>
    <w:rsid w:val="27181100"/>
    <w:rsid w:val="271967C0"/>
    <w:rsid w:val="271B0BF0"/>
    <w:rsid w:val="27233601"/>
    <w:rsid w:val="272445CF"/>
    <w:rsid w:val="27260CC1"/>
    <w:rsid w:val="27286E69"/>
    <w:rsid w:val="272D447F"/>
    <w:rsid w:val="273306F3"/>
    <w:rsid w:val="27363334"/>
    <w:rsid w:val="27377A67"/>
    <w:rsid w:val="27391076"/>
    <w:rsid w:val="274041B2"/>
    <w:rsid w:val="27433CA3"/>
    <w:rsid w:val="274C0DA9"/>
    <w:rsid w:val="274E4B21"/>
    <w:rsid w:val="2753038A"/>
    <w:rsid w:val="27533EE6"/>
    <w:rsid w:val="275814FC"/>
    <w:rsid w:val="27585A15"/>
    <w:rsid w:val="2758774E"/>
    <w:rsid w:val="27592132"/>
    <w:rsid w:val="275B2D9A"/>
    <w:rsid w:val="275D4D64"/>
    <w:rsid w:val="275D6B12"/>
    <w:rsid w:val="275F6D2E"/>
    <w:rsid w:val="2762237B"/>
    <w:rsid w:val="27651E6B"/>
    <w:rsid w:val="276A7481"/>
    <w:rsid w:val="276E0D20"/>
    <w:rsid w:val="277420AE"/>
    <w:rsid w:val="277976C4"/>
    <w:rsid w:val="277B0D7F"/>
    <w:rsid w:val="277B343D"/>
    <w:rsid w:val="277F117F"/>
    <w:rsid w:val="27826579"/>
    <w:rsid w:val="27871DE1"/>
    <w:rsid w:val="278E278E"/>
    <w:rsid w:val="27905EE6"/>
    <w:rsid w:val="279D7857"/>
    <w:rsid w:val="279F193A"/>
    <w:rsid w:val="27A504B9"/>
    <w:rsid w:val="27A60C72"/>
    <w:rsid w:val="27AD6260"/>
    <w:rsid w:val="27AD638E"/>
    <w:rsid w:val="27AE0637"/>
    <w:rsid w:val="27AE3812"/>
    <w:rsid w:val="27AF6B8F"/>
    <w:rsid w:val="27B01338"/>
    <w:rsid w:val="27B30E28"/>
    <w:rsid w:val="27BA5D13"/>
    <w:rsid w:val="27BC5F2F"/>
    <w:rsid w:val="27C052F3"/>
    <w:rsid w:val="27C1173F"/>
    <w:rsid w:val="27C2106B"/>
    <w:rsid w:val="27C647C1"/>
    <w:rsid w:val="27CE7A10"/>
    <w:rsid w:val="27D15DD1"/>
    <w:rsid w:val="27D74B17"/>
    <w:rsid w:val="27E25DE6"/>
    <w:rsid w:val="27E40FE2"/>
    <w:rsid w:val="27E72880"/>
    <w:rsid w:val="27EB1D1A"/>
    <w:rsid w:val="27EC60E8"/>
    <w:rsid w:val="27EE09E2"/>
    <w:rsid w:val="27F21951"/>
    <w:rsid w:val="27F473D8"/>
    <w:rsid w:val="27FA6426"/>
    <w:rsid w:val="27FC632B"/>
    <w:rsid w:val="27FF7BCA"/>
    <w:rsid w:val="280478D6"/>
    <w:rsid w:val="280653FC"/>
    <w:rsid w:val="28096C9A"/>
    <w:rsid w:val="280B7BC3"/>
    <w:rsid w:val="280C5ECE"/>
    <w:rsid w:val="28164F13"/>
    <w:rsid w:val="281A2C55"/>
    <w:rsid w:val="281C4C20"/>
    <w:rsid w:val="281F201A"/>
    <w:rsid w:val="28212236"/>
    <w:rsid w:val="28213FE4"/>
    <w:rsid w:val="28227CE1"/>
    <w:rsid w:val="28277120"/>
    <w:rsid w:val="28304CAC"/>
    <w:rsid w:val="28333D17"/>
    <w:rsid w:val="2833567F"/>
    <w:rsid w:val="28335AC5"/>
    <w:rsid w:val="28337E41"/>
    <w:rsid w:val="283755B5"/>
    <w:rsid w:val="28396011"/>
    <w:rsid w:val="283D06F2"/>
    <w:rsid w:val="283E1272"/>
    <w:rsid w:val="283F26BC"/>
    <w:rsid w:val="283F66B5"/>
    <w:rsid w:val="284321AC"/>
    <w:rsid w:val="284C02A7"/>
    <w:rsid w:val="284E28FF"/>
    <w:rsid w:val="28551EE0"/>
    <w:rsid w:val="28572430"/>
    <w:rsid w:val="285919D0"/>
    <w:rsid w:val="285C501C"/>
    <w:rsid w:val="285D2B42"/>
    <w:rsid w:val="285E6D69"/>
    <w:rsid w:val="28650375"/>
    <w:rsid w:val="28652321"/>
    <w:rsid w:val="28687E65"/>
    <w:rsid w:val="2869172C"/>
    <w:rsid w:val="28695417"/>
    <w:rsid w:val="286B34B1"/>
    <w:rsid w:val="286C33DB"/>
    <w:rsid w:val="286D547B"/>
    <w:rsid w:val="286E70AC"/>
    <w:rsid w:val="28702875"/>
    <w:rsid w:val="287560DE"/>
    <w:rsid w:val="2876639C"/>
    <w:rsid w:val="287A1946"/>
    <w:rsid w:val="287F0D0A"/>
    <w:rsid w:val="28813F71"/>
    <w:rsid w:val="28814A83"/>
    <w:rsid w:val="28846321"/>
    <w:rsid w:val="28892427"/>
    <w:rsid w:val="288A18A7"/>
    <w:rsid w:val="288C0DA8"/>
    <w:rsid w:val="28924EE2"/>
    <w:rsid w:val="28931021"/>
    <w:rsid w:val="289447B6"/>
    <w:rsid w:val="2895052E"/>
    <w:rsid w:val="289651BD"/>
    <w:rsid w:val="289E5635"/>
    <w:rsid w:val="28A1297A"/>
    <w:rsid w:val="28A76295"/>
    <w:rsid w:val="28A864B3"/>
    <w:rsid w:val="28AB7D51"/>
    <w:rsid w:val="28AF7842"/>
    <w:rsid w:val="28B430AA"/>
    <w:rsid w:val="28B8366A"/>
    <w:rsid w:val="28BC5ABB"/>
    <w:rsid w:val="28BC7129"/>
    <w:rsid w:val="28C17575"/>
    <w:rsid w:val="28C36E49"/>
    <w:rsid w:val="28C606E7"/>
    <w:rsid w:val="28CA01D8"/>
    <w:rsid w:val="28CB212A"/>
    <w:rsid w:val="28CC21F1"/>
    <w:rsid w:val="28D177B8"/>
    <w:rsid w:val="28D309FA"/>
    <w:rsid w:val="28D6244E"/>
    <w:rsid w:val="28D76D98"/>
    <w:rsid w:val="28DB32AB"/>
    <w:rsid w:val="28DE3C83"/>
    <w:rsid w:val="28DF3C8D"/>
    <w:rsid w:val="28E54BC4"/>
    <w:rsid w:val="28EA087A"/>
    <w:rsid w:val="28ED236C"/>
    <w:rsid w:val="28ED71FF"/>
    <w:rsid w:val="28F45255"/>
    <w:rsid w:val="28FF5FE7"/>
    <w:rsid w:val="29017971"/>
    <w:rsid w:val="290D27BA"/>
    <w:rsid w:val="29143B49"/>
    <w:rsid w:val="2916166F"/>
    <w:rsid w:val="2916341D"/>
    <w:rsid w:val="291B4ED7"/>
    <w:rsid w:val="291D0C4F"/>
    <w:rsid w:val="29206EB8"/>
    <w:rsid w:val="292136CE"/>
    <w:rsid w:val="29231FDE"/>
    <w:rsid w:val="29246A24"/>
    <w:rsid w:val="292518B2"/>
    <w:rsid w:val="292813A2"/>
    <w:rsid w:val="292A511A"/>
    <w:rsid w:val="292D4147"/>
    <w:rsid w:val="292E034E"/>
    <w:rsid w:val="292F2731"/>
    <w:rsid w:val="292F67EE"/>
    <w:rsid w:val="293146FB"/>
    <w:rsid w:val="29324F91"/>
    <w:rsid w:val="29373393"/>
    <w:rsid w:val="29387837"/>
    <w:rsid w:val="2939710B"/>
    <w:rsid w:val="2944442E"/>
    <w:rsid w:val="29471828"/>
    <w:rsid w:val="294A1318"/>
    <w:rsid w:val="294A3CD7"/>
    <w:rsid w:val="294C22A1"/>
    <w:rsid w:val="294C5091"/>
    <w:rsid w:val="29534671"/>
    <w:rsid w:val="295876D6"/>
    <w:rsid w:val="295D104C"/>
    <w:rsid w:val="295E2F75"/>
    <w:rsid w:val="295E3016"/>
    <w:rsid w:val="29606D8E"/>
    <w:rsid w:val="296C128F"/>
    <w:rsid w:val="296C4BAC"/>
    <w:rsid w:val="297168A5"/>
    <w:rsid w:val="297A7E50"/>
    <w:rsid w:val="297C5914"/>
    <w:rsid w:val="29852351"/>
    <w:rsid w:val="29890093"/>
    <w:rsid w:val="29917294"/>
    <w:rsid w:val="29932CBF"/>
    <w:rsid w:val="29967E2D"/>
    <w:rsid w:val="29982084"/>
    <w:rsid w:val="29983DBA"/>
    <w:rsid w:val="29A44ECD"/>
    <w:rsid w:val="29A46557"/>
    <w:rsid w:val="29A50C45"/>
    <w:rsid w:val="29AA0009"/>
    <w:rsid w:val="29AA1DB7"/>
    <w:rsid w:val="29B175E9"/>
    <w:rsid w:val="29B82726"/>
    <w:rsid w:val="29BB3FC4"/>
    <w:rsid w:val="29BD08F2"/>
    <w:rsid w:val="29BD5F8E"/>
    <w:rsid w:val="29BF1D06"/>
    <w:rsid w:val="29C0782D"/>
    <w:rsid w:val="29C410CB"/>
    <w:rsid w:val="29CC7F7F"/>
    <w:rsid w:val="29D357B2"/>
    <w:rsid w:val="29D63102"/>
    <w:rsid w:val="29D67050"/>
    <w:rsid w:val="29E325E0"/>
    <w:rsid w:val="29E51041"/>
    <w:rsid w:val="29E639D7"/>
    <w:rsid w:val="29EA6657"/>
    <w:rsid w:val="29EB48A9"/>
    <w:rsid w:val="29EB7E9F"/>
    <w:rsid w:val="29EC0622"/>
    <w:rsid w:val="29EC23D0"/>
    <w:rsid w:val="29EF43E8"/>
    <w:rsid w:val="29F00112"/>
    <w:rsid w:val="29F5538C"/>
    <w:rsid w:val="29F574D6"/>
    <w:rsid w:val="29F6324E"/>
    <w:rsid w:val="29F64FFC"/>
    <w:rsid w:val="29F924A3"/>
    <w:rsid w:val="29F958A0"/>
    <w:rsid w:val="29FB2071"/>
    <w:rsid w:val="29FD638B"/>
    <w:rsid w:val="29FF2103"/>
    <w:rsid w:val="2A047719"/>
    <w:rsid w:val="2A06545A"/>
    <w:rsid w:val="2A0911D4"/>
    <w:rsid w:val="2A0A5FF9"/>
    <w:rsid w:val="2A0C6676"/>
    <w:rsid w:val="2A0D0CC4"/>
    <w:rsid w:val="2A103111"/>
    <w:rsid w:val="2A125012"/>
    <w:rsid w:val="2A1536D4"/>
    <w:rsid w:val="2A163DA4"/>
    <w:rsid w:val="2A1738F0"/>
    <w:rsid w:val="2A263B34"/>
    <w:rsid w:val="2A2A2060"/>
    <w:rsid w:val="2A2D05FF"/>
    <w:rsid w:val="2A3224D8"/>
    <w:rsid w:val="2A353D77"/>
    <w:rsid w:val="2A366DD9"/>
    <w:rsid w:val="2A375D41"/>
    <w:rsid w:val="2A3873C3"/>
    <w:rsid w:val="2A3A00AE"/>
    <w:rsid w:val="2A3D2C2B"/>
    <w:rsid w:val="2A426494"/>
    <w:rsid w:val="2A4346E5"/>
    <w:rsid w:val="2A452503"/>
    <w:rsid w:val="2A4E308A"/>
    <w:rsid w:val="2A4F3BBF"/>
    <w:rsid w:val="2A5138F3"/>
    <w:rsid w:val="2A524929"/>
    <w:rsid w:val="2A53244F"/>
    <w:rsid w:val="2A571F3F"/>
    <w:rsid w:val="2A581813"/>
    <w:rsid w:val="2A585CB7"/>
    <w:rsid w:val="2A587A65"/>
    <w:rsid w:val="2A60495C"/>
    <w:rsid w:val="2A61691A"/>
    <w:rsid w:val="2A6428AE"/>
    <w:rsid w:val="2A643B57"/>
    <w:rsid w:val="2A697EC4"/>
    <w:rsid w:val="2A6B1334"/>
    <w:rsid w:val="2A6D3510"/>
    <w:rsid w:val="2A6F54DA"/>
    <w:rsid w:val="2A73489F"/>
    <w:rsid w:val="2A742AF1"/>
    <w:rsid w:val="2A756869"/>
    <w:rsid w:val="2A78062B"/>
    <w:rsid w:val="2A791292"/>
    <w:rsid w:val="2A7B6309"/>
    <w:rsid w:val="2A7E571E"/>
    <w:rsid w:val="2A7F4FF2"/>
    <w:rsid w:val="2A801755"/>
    <w:rsid w:val="2A81520E"/>
    <w:rsid w:val="2A88659C"/>
    <w:rsid w:val="2A8B3997"/>
    <w:rsid w:val="2A8E3487"/>
    <w:rsid w:val="2A8F72B6"/>
    <w:rsid w:val="2A9211C9"/>
    <w:rsid w:val="2A924FCC"/>
    <w:rsid w:val="2A930A9D"/>
    <w:rsid w:val="2A9C2048"/>
    <w:rsid w:val="2A9D15F2"/>
    <w:rsid w:val="2A9F5694"/>
    <w:rsid w:val="2AA1140C"/>
    <w:rsid w:val="2AA2188F"/>
    <w:rsid w:val="2AA2529F"/>
    <w:rsid w:val="2AA44A58"/>
    <w:rsid w:val="2AA77E46"/>
    <w:rsid w:val="2AA84549"/>
    <w:rsid w:val="2AAB5DE7"/>
    <w:rsid w:val="2AAD7DB1"/>
    <w:rsid w:val="2AAF3B29"/>
    <w:rsid w:val="2AB00919"/>
    <w:rsid w:val="2AB16E31"/>
    <w:rsid w:val="2AB23619"/>
    <w:rsid w:val="2AB24AC6"/>
    <w:rsid w:val="2AB56C65"/>
    <w:rsid w:val="2AB729DE"/>
    <w:rsid w:val="2AB90504"/>
    <w:rsid w:val="2ABA24CE"/>
    <w:rsid w:val="2ABD6460"/>
    <w:rsid w:val="2AC450FA"/>
    <w:rsid w:val="2AC66B4F"/>
    <w:rsid w:val="2ACD6F90"/>
    <w:rsid w:val="2ACE4132"/>
    <w:rsid w:val="2AD57308"/>
    <w:rsid w:val="2AD757E4"/>
    <w:rsid w:val="2AD905D3"/>
    <w:rsid w:val="2ADB79D1"/>
    <w:rsid w:val="2ADC0696"/>
    <w:rsid w:val="2ADC28A4"/>
    <w:rsid w:val="2ADC41F2"/>
    <w:rsid w:val="2AE31A25"/>
    <w:rsid w:val="2AE61515"/>
    <w:rsid w:val="2AEA21EB"/>
    <w:rsid w:val="2AEE02BE"/>
    <w:rsid w:val="2AEF03C9"/>
    <w:rsid w:val="2AF43C32"/>
    <w:rsid w:val="2AF7102C"/>
    <w:rsid w:val="2AFA28CA"/>
    <w:rsid w:val="2B033E75"/>
    <w:rsid w:val="2B0A5203"/>
    <w:rsid w:val="2B0B5E2F"/>
    <w:rsid w:val="2B0C0FDF"/>
    <w:rsid w:val="2B0E3784"/>
    <w:rsid w:val="2B125FE0"/>
    <w:rsid w:val="2B157704"/>
    <w:rsid w:val="2B1971F4"/>
    <w:rsid w:val="2B1D6617"/>
    <w:rsid w:val="2B1E71B6"/>
    <w:rsid w:val="2B1F70A8"/>
    <w:rsid w:val="2B204A27"/>
    <w:rsid w:val="2B253DEB"/>
    <w:rsid w:val="2B277B63"/>
    <w:rsid w:val="2B2838DB"/>
    <w:rsid w:val="2B2C517A"/>
    <w:rsid w:val="2B3265FA"/>
    <w:rsid w:val="2B373B1E"/>
    <w:rsid w:val="2B395AE8"/>
    <w:rsid w:val="2B3B11AE"/>
    <w:rsid w:val="2B3E6C5B"/>
    <w:rsid w:val="2B435C33"/>
    <w:rsid w:val="2B473D61"/>
    <w:rsid w:val="2B492D8D"/>
    <w:rsid w:val="2B4C581C"/>
    <w:rsid w:val="2B4D0C4C"/>
    <w:rsid w:val="2B522706"/>
    <w:rsid w:val="2B54022C"/>
    <w:rsid w:val="2B5B780D"/>
    <w:rsid w:val="2B604E23"/>
    <w:rsid w:val="2B612949"/>
    <w:rsid w:val="2B620B9B"/>
    <w:rsid w:val="2B634913"/>
    <w:rsid w:val="2B683CD8"/>
    <w:rsid w:val="2B69017C"/>
    <w:rsid w:val="2B6C62CF"/>
    <w:rsid w:val="2B6C7C6C"/>
    <w:rsid w:val="2B74267D"/>
    <w:rsid w:val="2B764647"/>
    <w:rsid w:val="2B7B7EAF"/>
    <w:rsid w:val="2B7D7783"/>
    <w:rsid w:val="2B7E34FB"/>
    <w:rsid w:val="2B7F6702"/>
    <w:rsid w:val="2B8723B0"/>
    <w:rsid w:val="2B8A6344"/>
    <w:rsid w:val="2B8C3E6A"/>
    <w:rsid w:val="2B8F5708"/>
    <w:rsid w:val="2B911481"/>
    <w:rsid w:val="2B93404B"/>
    <w:rsid w:val="2B936FA7"/>
    <w:rsid w:val="2B9B0113"/>
    <w:rsid w:val="2B9B22FF"/>
    <w:rsid w:val="2BA936A8"/>
    <w:rsid w:val="2BAA609E"/>
    <w:rsid w:val="2BAC0068"/>
    <w:rsid w:val="2BAE2033"/>
    <w:rsid w:val="2BAE6156"/>
    <w:rsid w:val="2BB4516F"/>
    <w:rsid w:val="2BB45CC1"/>
    <w:rsid w:val="2BB533C1"/>
    <w:rsid w:val="2BBA5CF7"/>
    <w:rsid w:val="2BBD13CD"/>
    <w:rsid w:val="2BBD4A6B"/>
    <w:rsid w:val="2BBE1B4A"/>
    <w:rsid w:val="2BC01D66"/>
    <w:rsid w:val="2BC30558"/>
    <w:rsid w:val="2BC442AE"/>
    <w:rsid w:val="2BC74EA2"/>
    <w:rsid w:val="2BCA04EF"/>
    <w:rsid w:val="2BCA4992"/>
    <w:rsid w:val="2BD96984"/>
    <w:rsid w:val="2BDB6BA0"/>
    <w:rsid w:val="2BE02FAC"/>
    <w:rsid w:val="2BE30E54"/>
    <w:rsid w:val="2BE733F6"/>
    <w:rsid w:val="2BEA71D2"/>
    <w:rsid w:val="2BEF7F55"/>
    <w:rsid w:val="2BF0264B"/>
    <w:rsid w:val="2BF612E4"/>
    <w:rsid w:val="2BFD32D8"/>
    <w:rsid w:val="2BFF4499"/>
    <w:rsid w:val="2BFF63EA"/>
    <w:rsid w:val="2BFF77EC"/>
    <w:rsid w:val="2C0003B4"/>
    <w:rsid w:val="2C013063"/>
    <w:rsid w:val="2C025EDA"/>
    <w:rsid w:val="2C0504DF"/>
    <w:rsid w:val="2C063C1D"/>
    <w:rsid w:val="2C077995"/>
    <w:rsid w:val="2C0B2FE1"/>
    <w:rsid w:val="2C0E2AD1"/>
    <w:rsid w:val="2C1300E8"/>
    <w:rsid w:val="2C1327AC"/>
    <w:rsid w:val="2C1520B2"/>
    <w:rsid w:val="2C181352"/>
    <w:rsid w:val="2C183950"/>
    <w:rsid w:val="2C1874AC"/>
    <w:rsid w:val="2C1945BB"/>
    <w:rsid w:val="2C1A1476"/>
    <w:rsid w:val="2C245E51"/>
    <w:rsid w:val="2C251BC9"/>
    <w:rsid w:val="2C296E55"/>
    <w:rsid w:val="2C297706"/>
    <w:rsid w:val="2C2C2F57"/>
    <w:rsid w:val="2C2C3DE8"/>
    <w:rsid w:val="2C2C7879"/>
    <w:rsid w:val="2C302A48"/>
    <w:rsid w:val="2C31218A"/>
    <w:rsid w:val="2C315A5A"/>
    <w:rsid w:val="2C327883"/>
    <w:rsid w:val="2C3B13EC"/>
    <w:rsid w:val="2C3C763E"/>
    <w:rsid w:val="2C3F2D5D"/>
    <w:rsid w:val="2C44430E"/>
    <w:rsid w:val="2C464019"/>
    <w:rsid w:val="2C471B3F"/>
    <w:rsid w:val="2C484235"/>
    <w:rsid w:val="2C487FD5"/>
    <w:rsid w:val="2C496CF0"/>
    <w:rsid w:val="2C50426F"/>
    <w:rsid w:val="2C532973"/>
    <w:rsid w:val="2C534988"/>
    <w:rsid w:val="2C571A8D"/>
    <w:rsid w:val="2C593CBF"/>
    <w:rsid w:val="2C5D5807"/>
    <w:rsid w:val="2C6426F1"/>
    <w:rsid w:val="2C644CC2"/>
    <w:rsid w:val="2C652EE7"/>
    <w:rsid w:val="2C6754A3"/>
    <w:rsid w:val="2C693389"/>
    <w:rsid w:val="2C6B74B9"/>
    <w:rsid w:val="2C6E531E"/>
    <w:rsid w:val="2C70553A"/>
    <w:rsid w:val="2C7548FE"/>
    <w:rsid w:val="2C772424"/>
    <w:rsid w:val="2C7F39CF"/>
    <w:rsid w:val="2C815051"/>
    <w:rsid w:val="2C8608B9"/>
    <w:rsid w:val="2C8763E0"/>
    <w:rsid w:val="2C8903AA"/>
    <w:rsid w:val="2C8E6B1A"/>
    <w:rsid w:val="2C914308"/>
    <w:rsid w:val="2C985B8A"/>
    <w:rsid w:val="2C9A4365"/>
    <w:rsid w:val="2C9A63AD"/>
    <w:rsid w:val="2C9E20A7"/>
    <w:rsid w:val="2CA64AB8"/>
    <w:rsid w:val="2CA86A82"/>
    <w:rsid w:val="2CAA608D"/>
    <w:rsid w:val="2CB01DDA"/>
    <w:rsid w:val="2CB34EDA"/>
    <w:rsid w:val="2CB90C8F"/>
    <w:rsid w:val="2CBD0053"/>
    <w:rsid w:val="2CBF0ACA"/>
    <w:rsid w:val="2CC213E0"/>
    <w:rsid w:val="2CC413E2"/>
    <w:rsid w:val="2CC66F08"/>
    <w:rsid w:val="2CCE2260"/>
    <w:rsid w:val="2CCE400E"/>
    <w:rsid w:val="2CD05FD9"/>
    <w:rsid w:val="2CD45AC9"/>
    <w:rsid w:val="2CD629A7"/>
    <w:rsid w:val="2CD77367"/>
    <w:rsid w:val="2CD979CA"/>
    <w:rsid w:val="2CDA0C05"/>
    <w:rsid w:val="2CDD51B6"/>
    <w:rsid w:val="2CE11F94"/>
    <w:rsid w:val="2CE455E0"/>
    <w:rsid w:val="2CE850D0"/>
    <w:rsid w:val="2CEB696E"/>
    <w:rsid w:val="2CED26E7"/>
    <w:rsid w:val="2CF4294C"/>
    <w:rsid w:val="2CF717B7"/>
    <w:rsid w:val="2CFC0B7C"/>
    <w:rsid w:val="2CFF066C"/>
    <w:rsid w:val="2D0143E4"/>
    <w:rsid w:val="2D053ED4"/>
    <w:rsid w:val="2D0855E2"/>
    <w:rsid w:val="2D0D4B37"/>
    <w:rsid w:val="2D105B15"/>
    <w:rsid w:val="2D122D03"/>
    <w:rsid w:val="2D142369"/>
    <w:rsid w:val="2D151C3D"/>
    <w:rsid w:val="2D1934DC"/>
    <w:rsid w:val="2D200D0E"/>
    <w:rsid w:val="2D2325AC"/>
    <w:rsid w:val="2D232822"/>
    <w:rsid w:val="2D242F9D"/>
    <w:rsid w:val="2D2A1671"/>
    <w:rsid w:val="2D2A393B"/>
    <w:rsid w:val="2D2A56E9"/>
    <w:rsid w:val="2D2C2E15"/>
    <w:rsid w:val="2D2D51D9"/>
    <w:rsid w:val="2D2E3032"/>
    <w:rsid w:val="2D360531"/>
    <w:rsid w:val="2D3A4195"/>
    <w:rsid w:val="2D3C366E"/>
    <w:rsid w:val="2D3E1194"/>
    <w:rsid w:val="2D4708BF"/>
    <w:rsid w:val="2D4B1056"/>
    <w:rsid w:val="2D616C31"/>
    <w:rsid w:val="2D6741DC"/>
    <w:rsid w:val="2D687AB5"/>
    <w:rsid w:val="2D6C1150"/>
    <w:rsid w:val="2D71156A"/>
    <w:rsid w:val="2D7352E2"/>
    <w:rsid w:val="2D76092E"/>
    <w:rsid w:val="2D793729"/>
    <w:rsid w:val="2D796670"/>
    <w:rsid w:val="2D7B7EC6"/>
    <w:rsid w:val="2D88240F"/>
    <w:rsid w:val="2D8D5C78"/>
    <w:rsid w:val="2D8D660E"/>
    <w:rsid w:val="2D9139BA"/>
    <w:rsid w:val="2D940DB4"/>
    <w:rsid w:val="2D956126"/>
    <w:rsid w:val="2D962D7E"/>
    <w:rsid w:val="2D9D4E4A"/>
    <w:rsid w:val="2D9E56F5"/>
    <w:rsid w:val="2D9E60D7"/>
    <w:rsid w:val="2DA03BFD"/>
    <w:rsid w:val="2DA27975"/>
    <w:rsid w:val="2DA37249"/>
    <w:rsid w:val="2DA82AB1"/>
    <w:rsid w:val="2DA84860"/>
    <w:rsid w:val="2DAC07F4"/>
    <w:rsid w:val="2DAC392E"/>
    <w:rsid w:val="2DAD00C8"/>
    <w:rsid w:val="2DB02E38"/>
    <w:rsid w:val="2DB41456"/>
    <w:rsid w:val="2DB43204"/>
    <w:rsid w:val="2DB444AD"/>
    <w:rsid w:val="2DB80F46"/>
    <w:rsid w:val="2DB94CBF"/>
    <w:rsid w:val="2DBA2F11"/>
    <w:rsid w:val="2DBC1F60"/>
    <w:rsid w:val="2DBE22D5"/>
    <w:rsid w:val="2DBF4B12"/>
    <w:rsid w:val="2DC45B3D"/>
    <w:rsid w:val="2DC72F38"/>
    <w:rsid w:val="2DCD775F"/>
    <w:rsid w:val="2DCE4DDE"/>
    <w:rsid w:val="2DCF003E"/>
    <w:rsid w:val="2DCF214E"/>
    <w:rsid w:val="2DD11160"/>
    <w:rsid w:val="2DD6761F"/>
    <w:rsid w:val="2DD815E9"/>
    <w:rsid w:val="2DDA60A5"/>
    <w:rsid w:val="2DE27D71"/>
    <w:rsid w:val="2DE47F8D"/>
    <w:rsid w:val="2DE55AB4"/>
    <w:rsid w:val="2DE57862"/>
    <w:rsid w:val="2DEA30CA"/>
    <w:rsid w:val="2DF06932"/>
    <w:rsid w:val="2DF6381D"/>
    <w:rsid w:val="2DF8162E"/>
    <w:rsid w:val="2DF91E34"/>
    <w:rsid w:val="2DFA1A5F"/>
    <w:rsid w:val="2E051CB2"/>
    <w:rsid w:val="2E053A60"/>
    <w:rsid w:val="2E075A2A"/>
    <w:rsid w:val="2E087164"/>
    <w:rsid w:val="2E0979F4"/>
    <w:rsid w:val="2E0C4DEE"/>
    <w:rsid w:val="2E0E6DB8"/>
    <w:rsid w:val="2E0F48DF"/>
    <w:rsid w:val="2E150147"/>
    <w:rsid w:val="2E187C37"/>
    <w:rsid w:val="2E1D6FFC"/>
    <w:rsid w:val="2E220AB6"/>
    <w:rsid w:val="2E262354"/>
    <w:rsid w:val="2E271C28"/>
    <w:rsid w:val="2E291E44"/>
    <w:rsid w:val="2E2C5491"/>
    <w:rsid w:val="2E304F81"/>
    <w:rsid w:val="2E352597"/>
    <w:rsid w:val="2E3572C5"/>
    <w:rsid w:val="2E385BE3"/>
    <w:rsid w:val="2E450300"/>
    <w:rsid w:val="2E456552"/>
    <w:rsid w:val="2E4647E1"/>
    <w:rsid w:val="2E47051C"/>
    <w:rsid w:val="2E491A3F"/>
    <w:rsid w:val="2E495111"/>
    <w:rsid w:val="2E496043"/>
    <w:rsid w:val="2E4A4A48"/>
    <w:rsid w:val="2E4B3B69"/>
    <w:rsid w:val="2E4E18AB"/>
    <w:rsid w:val="2E4F2F2D"/>
    <w:rsid w:val="2E5642BC"/>
    <w:rsid w:val="2E575575"/>
    <w:rsid w:val="2E5D564A"/>
    <w:rsid w:val="2E6030FC"/>
    <w:rsid w:val="2E6031F7"/>
    <w:rsid w:val="2E6305ED"/>
    <w:rsid w:val="2E6469D8"/>
    <w:rsid w:val="2E652751"/>
    <w:rsid w:val="2E6609A2"/>
    <w:rsid w:val="2E667F96"/>
    <w:rsid w:val="2E67471B"/>
    <w:rsid w:val="2E6D585E"/>
    <w:rsid w:val="2E7117CD"/>
    <w:rsid w:val="2E772BB0"/>
    <w:rsid w:val="2E7A26A0"/>
    <w:rsid w:val="2E7A444E"/>
    <w:rsid w:val="2E7D3F3E"/>
    <w:rsid w:val="2E7F1A64"/>
    <w:rsid w:val="2E8226AB"/>
    <w:rsid w:val="2E8227CF"/>
    <w:rsid w:val="2E840E29"/>
    <w:rsid w:val="2E860B9A"/>
    <w:rsid w:val="2E864BA1"/>
    <w:rsid w:val="2E8D2118"/>
    <w:rsid w:val="2E8E1840"/>
    <w:rsid w:val="2E9077CD"/>
    <w:rsid w:val="2E913546"/>
    <w:rsid w:val="2E921798"/>
    <w:rsid w:val="2E933762"/>
    <w:rsid w:val="2E953036"/>
    <w:rsid w:val="2E954DE4"/>
    <w:rsid w:val="2E9574DA"/>
    <w:rsid w:val="2E960B5C"/>
    <w:rsid w:val="2E9A064C"/>
    <w:rsid w:val="2E9C2616"/>
    <w:rsid w:val="2EA414CB"/>
    <w:rsid w:val="2EA4771D"/>
    <w:rsid w:val="2EA72D69"/>
    <w:rsid w:val="2EAD1279"/>
    <w:rsid w:val="2EB0560C"/>
    <w:rsid w:val="2EB060C2"/>
    <w:rsid w:val="2EB54C4C"/>
    <w:rsid w:val="2EB711FE"/>
    <w:rsid w:val="2EBC05C2"/>
    <w:rsid w:val="2EC42C7A"/>
    <w:rsid w:val="2EC9206D"/>
    <w:rsid w:val="2ECB4CA9"/>
    <w:rsid w:val="2ECB6A58"/>
    <w:rsid w:val="2ECD6C74"/>
    <w:rsid w:val="2ED00512"/>
    <w:rsid w:val="2ED075DC"/>
    <w:rsid w:val="2ED1017B"/>
    <w:rsid w:val="2ED33B5E"/>
    <w:rsid w:val="2ED578D6"/>
    <w:rsid w:val="2ED81174"/>
    <w:rsid w:val="2EDB31E4"/>
    <w:rsid w:val="2EDB5F3B"/>
    <w:rsid w:val="2EDC2A13"/>
    <w:rsid w:val="2EDC6EB7"/>
    <w:rsid w:val="2EE443DB"/>
    <w:rsid w:val="2EE93382"/>
    <w:rsid w:val="2EED2E72"/>
    <w:rsid w:val="2EEE4F05"/>
    <w:rsid w:val="2EF04710"/>
    <w:rsid w:val="2EF139C1"/>
    <w:rsid w:val="2EF17594"/>
    <w:rsid w:val="2EF91817"/>
    <w:rsid w:val="2EFA10EB"/>
    <w:rsid w:val="2EFA733D"/>
    <w:rsid w:val="2EFD7395"/>
    <w:rsid w:val="2EFE507F"/>
    <w:rsid w:val="2F0B142F"/>
    <w:rsid w:val="2F0B154A"/>
    <w:rsid w:val="2F0C08F6"/>
    <w:rsid w:val="2F0E4B96"/>
    <w:rsid w:val="2F126434"/>
    <w:rsid w:val="2F21465F"/>
    <w:rsid w:val="2F2A7C22"/>
    <w:rsid w:val="2F2B399A"/>
    <w:rsid w:val="2F2F5238"/>
    <w:rsid w:val="2F300FB0"/>
    <w:rsid w:val="2F340AA1"/>
    <w:rsid w:val="2F3D0CEE"/>
    <w:rsid w:val="2F3E191F"/>
    <w:rsid w:val="2F3F11F4"/>
    <w:rsid w:val="2F407445"/>
    <w:rsid w:val="2F464330"/>
    <w:rsid w:val="2F4F461B"/>
    <w:rsid w:val="2F5051AF"/>
    <w:rsid w:val="2F537583"/>
    <w:rsid w:val="2F57027C"/>
    <w:rsid w:val="2F575B54"/>
    <w:rsid w:val="2F5F53F2"/>
    <w:rsid w:val="2F603644"/>
    <w:rsid w:val="2F640B79"/>
    <w:rsid w:val="2F64740E"/>
    <w:rsid w:val="2F6A2714"/>
    <w:rsid w:val="2F6A44C2"/>
    <w:rsid w:val="2F6B12EF"/>
    <w:rsid w:val="2F6B1FE9"/>
    <w:rsid w:val="2F6D3FB3"/>
    <w:rsid w:val="2F76779B"/>
    <w:rsid w:val="2F776BDF"/>
    <w:rsid w:val="2F7964B4"/>
    <w:rsid w:val="2F7D4F4A"/>
    <w:rsid w:val="2F832C79"/>
    <w:rsid w:val="2F835584"/>
    <w:rsid w:val="2F8512FC"/>
    <w:rsid w:val="2F882B9B"/>
    <w:rsid w:val="2F8F4328"/>
    <w:rsid w:val="2F9627A7"/>
    <w:rsid w:val="2F9652B7"/>
    <w:rsid w:val="2F967065"/>
    <w:rsid w:val="2F972377"/>
    <w:rsid w:val="2F9E416C"/>
    <w:rsid w:val="2FA15A0A"/>
    <w:rsid w:val="2FA76FD1"/>
    <w:rsid w:val="2FAA0D63"/>
    <w:rsid w:val="2FB35E69"/>
    <w:rsid w:val="2FB41BE1"/>
    <w:rsid w:val="2FB4573E"/>
    <w:rsid w:val="2FC00586"/>
    <w:rsid w:val="2FC21E4B"/>
    <w:rsid w:val="2FC30453"/>
    <w:rsid w:val="2FC35981"/>
    <w:rsid w:val="2FCC0CD9"/>
    <w:rsid w:val="2FCF07C9"/>
    <w:rsid w:val="2FD45DE0"/>
    <w:rsid w:val="2FD64419"/>
    <w:rsid w:val="2FD7142C"/>
    <w:rsid w:val="2FD8767E"/>
    <w:rsid w:val="2FD944DB"/>
    <w:rsid w:val="2FDC266D"/>
    <w:rsid w:val="2FDE33B6"/>
    <w:rsid w:val="2FE83639"/>
    <w:rsid w:val="2FEE50F3"/>
    <w:rsid w:val="2FEF2D58"/>
    <w:rsid w:val="2FF2263C"/>
    <w:rsid w:val="2FF344B8"/>
    <w:rsid w:val="2FF74010"/>
    <w:rsid w:val="2FFB15BE"/>
    <w:rsid w:val="2FFD0DFC"/>
    <w:rsid w:val="3002033D"/>
    <w:rsid w:val="30030473"/>
    <w:rsid w:val="30055F99"/>
    <w:rsid w:val="30077F63"/>
    <w:rsid w:val="300C37CC"/>
    <w:rsid w:val="300D4E4E"/>
    <w:rsid w:val="300F0BC6"/>
    <w:rsid w:val="30102A86"/>
    <w:rsid w:val="3010584B"/>
    <w:rsid w:val="3014442E"/>
    <w:rsid w:val="301B5877"/>
    <w:rsid w:val="301F34FF"/>
    <w:rsid w:val="301F52AD"/>
    <w:rsid w:val="30202DD3"/>
    <w:rsid w:val="302E0926"/>
    <w:rsid w:val="30335C3C"/>
    <w:rsid w:val="303643A5"/>
    <w:rsid w:val="303A20E7"/>
    <w:rsid w:val="303C4D07"/>
    <w:rsid w:val="303D1BD7"/>
    <w:rsid w:val="303E4FB3"/>
    <w:rsid w:val="30416A1A"/>
    <w:rsid w:val="30442F65"/>
    <w:rsid w:val="30443C64"/>
    <w:rsid w:val="30444D13"/>
    <w:rsid w:val="3046098A"/>
    <w:rsid w:val="3049057C"/>
    <w:rsid w:val="304A7E50"/>
    <w:rsid w:val="304C1E1A"/>
    <w:rsid w:val="304C5976"/>
    <w:rsid w:val="304E0112"/>
    <w:rsid w:val="304E0CC8"/>
    <w:rsid w:val="305331A8"/>
    <w:rsid w:val="30536D05"/>
    <w:rsid w:val="3056544F"/>
    <w:rsid w:val="305667F5"/>
    <w:rsid w:val="30580BC9"/>
    <w:rsid w:val="305F1B4D"/>
    <w:rsid w:val="305F4D62"/>
    <w:rsid w:val="30657FDD"/>
    <w:rsid w:val="30676C54"/>
    <w:rsid w:val="3069477A"/>
    <w:rsid w:val="30717AD3"/>
    <w:rsid w:val="307373A7"/>
    <w:rsid w:val="307418D9"/>
    <w:rsid w:val="3075311F"/>
    <w:rsid w:val="30785D29"/>
    <w:rsid w:val="30845298"/>
    <w:rsid w:val="3089305D"/>
    <w:rsid w:val="308B2942"/>
    <w:rsid w:val="30915A7F"/>
    <w:rsid w:val="309335A5"/>
    <w:rsid w:val="30963095"/>
    <w:rsid w:val="309655D5"/>
    <w:rsid w:val="309A2B85"/>
    <w:rsid w:val="309B1AA0"/>
    <w:rsid w:val="309D5228"/>
    <w:rsid w:val="30A003C2"/>
    <w:rsid w:val="30A05CC2"/>
    <w:rsid w:val="30A25EDE"/>
    <w:rsid w:val="30A27C8C"/>
    <w:rsid w:val="30A43AF4"/>
    <w:rsid w:val="30A65659"/>
    <w:rsid w:val="30A92DC8"/>
    <w:rsid w:val="30A9726C"/>
    <w:rsid w:val="30AF64B9"/>
    <w:rsid w:val="30B14FA8"/>
    <w:rsid w:val="30B33C47"/>
    <w:rsid w:val="30B442DC"/>
    <w:rsid w:val="30B74C4B"/>
    <w:rsid w:val="30BA3228"/>
    <w:rsid w:val="30BC0D4E"/>
    <w:rsid w:val="30BC2BCE"/>
    <w:rsid w:val="30BC6FA0"/>
    <w:rsid w:val="30C65728"/>
    <w:rsid w:val="30C9346B"/>
    <w:rsid w:val="30C96FC7"/>
    <w:rsid w:val="30D065A7"/>
    <w:rsid w:val="30D20112"/>
    <w:rsid w:val="30D36097"/>
    <w:rsid w:val="30D81136"/>
    <w:rsid w:val="30DA5678"/>
    <w:rsid w:val="30DA6B89"/>
    <w:rsid w:val="30DC13F0"/>
    <w:rsid w:val="30DC4672"/>
    <w:rsid w:val="30DD6F16"/>
    <w:rsid w:val="30DE29C7"/>
    <w:rsid w:val="30E07403"/>
    <w:rsid w:val="30E12562"/>
    <w:rsid w:val="30E262DA"/>
    <w:rsid w:val="30E327D8"/>
    <w:rsid w:val="30E3452C"/>
    <w:rsid w:val="30E9137E"/>
    <w:rsid w:val="30E91417"/>
    <w:rsid w:val="30EC0F07"/>
    <w:rsid w:val="30F57DBC"/>
    <w:rsid w:val="30F71D86"/>
    <w:rsid w:val="30F87556"/>
    <w:rsid w:val="3102072B"/>
    <w:rsid w:val="31032463"/>
    <w:rsid w:val="310426F5"/>
    <w:rsid w:val="3106646D"/>
    <w:rsid w:val="310821E5"/>
    <w:rsid w:val="31083F93"/>
    <w:rsid w:val="31085D41"/>
    <w:rsid w:val="310B5831"/>
    <w:rsid w:val="310D15A9"/>
    <w:rsid w:val="31164473"/>
    <w:rsid w:val="31167C85"/>
    <w:rsid w:val="31181346"/>
    <w:rsid w:val="311A7304"/>
    <w:rsid w:val="311B250B"/>
    <w:rsid w:val="311E2ED7"/>
    <w:rsid w:val="31216E03"/>
    <w:rsid w:val="31244B45"/>
    <w:rsid w:val="3126266B"/>
    <w:rsid w:val="31287E4B"/>
    <w:rsid w:val="312A215B"/>
    <w:rsid w:val="312B7C81"/>
    <w:rsid w:val="313136FF"/>
    <w:rsid w:val="31336B36"/>
    <w:rsid w:val="313433F7"/>
    <w:rsid w:val="313759B1"/>
    <w:rsid w:val="313C3C3D"/>
    <w:rsid w:val="313E4873"/>
    <w:rsid w:val="31411253"/>
    <w:rsid w:val="31424BCD"/>
    <w:rsid w:val="314A1279"/>
    <w:rsid w:val="314E32A1"/>
    <w:rsid w:val="315076E8"/>
    <w:rsid w:val="315216B2"/>
    <w:rsid w:val="31570A76"/>
    <w:rsid w:val="31572824"/>
    <w:rsid w:val="315C449C"/>
    <w:rsid w:val="315E3BB3"/>
    <w:rsid w:val="315F169D"/>
    <w:rsid w:val="31660CB9"/>
    <w:rsid w:val="31677457"/>
    <w:rsid w:val="31723B02"/>
    <w:rsid w:val="3174585C"/>
    <w:rsid w:val="317E6003"/>
    <w:rsid w:val="317F1D7B"/>
    <w:rsid w:val="317F1F89"/>
    <w:rsid w:val="31894B5B"/>
    <w:rsid w:val="318B0720"/>
    <w:rsid w:val="318B0BE0"/>
    <w:rsid w:val="318D4498"/>
    <w:rsid w:val="318D4B66"/>
    <w:rsid w:val="318D6246"/>
    <w:rsid w:val="31921AAF"/>
    <w:rsid w:val="31943A79"/>
    <w:rsid w:val="319475D5"/>
    <w:rsid w:val="3196684B"/>
    <w:rsid w:val="31980866"/>
    <w:rsid w:val="31992E3D"/>
    <w:rsid w:val="319A60FC"/>
    <w:rsid w:val="31A31F0E"/>
    <w:rsid w:val="31A5236F"/>
    <w:rsid w:val="31A677D0"/>
    <w:rsid w:val="31AA329C"/>
    <w:rsid w:val="31AF2660"/>
    <w:rsid w:val="31AF440F"/>
    <w:rsid w:val="31B25CAD"/>
    <w:rsid w:val="31B45209"/>
    <w:rsid w:val="31B71515"/>
    <w:rsid w:val="31B72662"/>
    <w:rsid w:val="31B82709"/>
    <w:rsid w:val="31B93075"/>
    <w:rsid w:val="31BA4706"/>
    <w:rsid w:val="31BB1005"/>
    <w:rsid w:val="31BC4D7D"/>
    <w:rsid w:val="31BE1862"/>
    <w:rsid w:val="31C12394"/>
    <w:rsid w:val="31C93EE5"/>
    <w:rsid w:val="31CB55CE"/>
    <w:rsid w:val="31CB6D6E"/>
    <w:rsid w:val="31CD70B4"/>
    <w:rsid w:val="31CF4AB1"/>
    <w:rsid w:val="31CF7994"/>
    <w:rsid w:val="31D200FD"/>
    <w:rsid w:val="31D40319"/>
    <w:rsid w:val="31D47C7D"/>
    <w:rsid w:val="31DA35B5"/>
    <w:rsid w:val="31DB3455"/>
    <w:rsid w:val="31DE6AA2"/>
    <w:rsid w:val="31E3055C"/>
    <w:rsid w:val="31E3230A"/>
    <w:rsid w:val="31E7004C"/>
    <w:rsid w:val="31E76BD8"/>
    <w:rsid w:val="31EC0C04"/>
    <w:rsid w:val="31EE33F5"/>
    <w:rsid w:val="31F14A27"/>
    <w:rsid w:val="31F2254D"/>
    <w:rsid w:val="31F97D80"/>
    <w:rsid w:val="31FB7654"/>
    <w:rsid w:val="3200110E"/>
    <w:rsid w:val="32024E86"/>
    <w:rsid w:val="32036508"/>
    <w:rsid w:val="32052353"/>
    <w:rsid w:val="32087FC3"/>
    <w:rsid w:val="320F4EAD"/>
    <w:rsid w:val="32105036"/>
    <w:rsid w:val="32132BEF"/>
    <w:rsid w:val="32193C98"/>
    <w:rsid w:val="321B5F48"/>
    <w:rsid w:val="321D0063"/>
    <w:rsid w:val="32211625"/>
    <w:rsid w:val="322C3CB1"/>
    <w:rsid w:val="322D17D7"/>
    <w:rsid w:val="322E5C7B"/>
    <w:rsid w:val="32320699"/>
    <w:rsid w:val="32342B66"/>
    <w:rsid w:val="32384404"/>
    <w:rsid w:val="323F0A79"/>
    <w:rsid w:val="32400B34"/>
    <w:rsid w:val="32405B2A"/>
    <w:rsid w:val="324234D5"/>
    <w:rsid w:val="32452FC5"/>
    <w:rsid w:val="32454D73"/>
    <w:rsid w:val="32466B96"/>
    <w:rsid w:val="324A05DB"/>
    <w:rsid w:val="324B1D1F"/>
    <w:rsid w:val="32562ADC"/>
    <w:rsid w:val="32591540"/>
    <w:rsid w:val="325B00F2"/>
    <w:rsid w:val="325B78A5"/>
    <w:rsid w:val="325D3E6B"/>
    <w:rsid w:val="325F4087"/>
    <w:rsid w:val="326162E8"/>
    <w:rsid w:val="326351F9"/>
    <w:rsid w:val="32642098"/>
    <w:rsid w:val="32650F71"/>
    <w:rsid w:val="3267118D"/>
    <w:rsid w:val="326E26B3"/>
    <w:rsid w:val="326F1DF0"/>
    <w:rsid w:val="32700042"/>
    <w:rsid w:val="32755658"/>
    <w:rsid w:val="32764F2C"/>
    <w:rsid w:val="32785148"/>
    <w:rsid w:val="327A2C6E"/>
    <w:rsid w:val="327D62BB"/>
    <w:rsid w:val="32803FFD"/>
    <w:rsid w:val="32821B23"/>
    <w:rsid w:val="3283501F"/>
    <w:rsid w:val="32891103"/>
    <w:rsid w:val="328C0BF4"/>
    <w:rsid w:val="32904240"/>
    <w:rsid w:val="32943604"/>
    <w:rsid w:val="32957AA8"/>
    <w:rsid w:val="32991471"/>
    <w:rsid w:val="329E6876"/>
    <w:rsid w:val="329F66F1"/>
    <w:rsid w:val="32A25D21"/>
    <w:rsid w:val="32A32356"/>
    <w:rsid w:val="32A41A99"/>
    <w:rsid w:val="32A95302"/>
    <w:rsid w:val="32AA2E28"/>
    <w:rsid w:val="32AB72CC"/>
    <w:rsid w:val="32AC094E"/>
    <w:rsid w:val="32AC6BA0"/>
    <w:rsid w:val="32AE0B6A"/>
    <w:rsid w:val="32AE46C6"/>
    <w:rsid w:val="32B37F2E"/>
    <w:rsid w:val="32B53CA7"/>
    <w:rsid w:val="32B82A64"/>
    <w:rsid w:val="32B83797"/>
    <w:rsid w:val="32BF490D"/>
    <w:rsid w:val="32C043F9"/>
    <w:rsid w:val="32C57C62"/>
    <w:rsid w:val="32C65EB4"/>
    <w:rsid w:val="32C739DA"/>
    <w:rsid w:val="32CC0FF0"/>
    <w:rsid w:val="32CC1EED"/>
    <w:rsid w:val="32CE61B4"/>
    <w:rsid w:val="32D3412D"/>
    <w:rsid w:val="32D560F7"/>
    <w:rsid w:val="32DA370D"/>
    <w:rsid w:val="32DE2BCF"/>
    <w:rsid w:val="32DF0D23"/>
    <w:rsid w:val="32E26A66"/>
    <w:rsid w:val="32E4633A"/>
    <w:rsid w:val="32EC51EE"/>
    <w:rsid w:val="32F03BA4"/>
    <w:rsid w:val="32F32A21"/>
    <w:rsid w:val="32F81DE5"/>
    <w:rsid w:val="32FB3683"/>
    <w:rsid w:val="32FD73FC"/>
    <w:rsid w:val="3301513E"/>
    <w:rsid w:val="33016EEC"/>
    <w:rsid w:val="33072028"/>
    <w:rsid w:val="330B7D6A"/>
    <w:rsid w:val="330C37BB"/>
    <w:rsid w:val="330C763F"/>
    <w:rsid w:val="330D3AE3"/>
    <w:rsid w:val="33122EA7"/>
    <w:rsid w:val="33134E71"/>
    <w:rsid w:val="331704BD"/>
    <w:rsid w:val="33184235"/>
    <w:rsid w:val="332215E4"/>
    <w:rsid w:val="33226375"/>
    <w:rsid w:val="3328091C"/>
    <w:rsid w:val="332D1A72"/>
    <w:rsid w:val="332D7CE1"/>
    <w:rsid w:val="332E4F6B"/>
    <w:rsid w:val="333029D5"/>
    <w:rsid w:val="33305A23"/>
    <w:rsid w:val="3333106F"/>
    <w:rsid w:val="33332E1D"/>
    <w:rsid w:val="33386686"/>
    <w:rsid w:val="333E57F9"/>
    <w:rsid w:val="3355548A"/>
    <w:rsid w:val="3358616F"/>
    <w:rsid w:val="3369683F"/>
    <w:rsid w:val="336F151A"/>
    <w:rsid w:val="33727F33"/>
    <w:rsid w:val="337A6C9E"/>
    <w:rsid w:val="3381627F"/>
    <w:rsid w:val="33857B1D"/>
    <w:rsid w:val="3386325D"/>
    <w:rsid w:val="33863895"/>
    <w:rsid w:val="33866BEF"/>
    <w:rsid w:val="338813BB"/>
    <w:rsid w:val="33882539"/>
    <w:rsid w:val="338D4C23"/>
    <w:rsid w:val="339128A9"/>
    <w:rsid w:val="33953AD8"/>
    <w:rsid w:val="339B7340"/>
    <w:rsid w:val="339E298D"/>
    <w:rsid w:val="339F1D94"/>
    <w:rsid w:val="33A45AC9"/>
    <w:rsid w:val="33A7639F"/>
    <w:rsid w:val="33AD2BD0"/>
    <w:rsid w:val="33B201E6"/>
    <w:rsid w:val="33B26438"/>
    <w:rsid w:val="33B65F28"/>
    <w:rsid w:val="33B7710D"/>
    <w:rsid w:val="33C30645"/>
    <w:rsid w:val="33C63297"/>
    <w:rsid w:val="33CB12A8"/>
    <w:rsid w:val="33CD6DCE"/>
    <w:rsid w:val="33D60378"/>
    <w:rsid w:val="33D62126"/>
    <w:rsid w:val="33D934D4"/>
    <w:rsid w:val="33DC5263"/>
    <w:rsid w:val="33DF6B01"/>
    <w:rsid w:val="33E00D4C"/>
    <w:rsid w:val="33E32A95"/>
    <w:rsid w:val="33E81E5A"/>
    <w:rsid w:val="33EA5BD2"/>
    <w:rsid w:val="33EB2AF5"/>
    <w:rsid w:val="33EB36F8"/>
    <w:rsid w:val="33F24A86"/>
    <w:rsid w:val="33F7209D"/>
    <w:rsid w:val="33F829BD"/>
    <w:rsid w:val="33F86541"/>
    <w:rsid w:val="33FB1B8D"/>
    <w:rsid w:val="33FE2F6A"/>
    <w:rsid w:val="33FF738F"/>
    <w:rsid w:val="340053F5"/>
    <w:rsid w:val="3402116D"/>
    <w:rsid w:val="34063FAB"/>
    <w:rsid w:val="340A0022"/>
    <w:rsid w:val="340B78F6"/>
    <w:rsid w:val="340F5638"/>
    <w:rsid w:val="34190265"/>
    <w:rsid w:val="341C1B03"/>
    <w:rsid w:val="341E3ACD"/>
    <w:rsid w:val="3421711A"/>
    <w:rsid w:val="342509B8"/>
    <w:rsid w:val="342563FC"/>
    <w:rsid w:val="34270BD4"/>
    <w:rsid w:val="34287731"/>
    <w:rsid w:val="34313C5A"/>
    <w:rsid w:val="343155AF"/>
    <w:rsid w:val="3434509F"/>
    <w:rsid w:val="34362BC5"/>
    <w:rsid w:val="343706EB"/>
    <w:rsid w:val="34394463"/>
    <w:rsid w:val="343B2D13"/>
    <w:rsid w:val="343E47B7"/>
    <w:rsid w:val="344D6161"/>
    <w:rsid w:val="3451678A"/>
    <w:rsid w:val="34563267"/>
    <w:rsid w:val="34574764"/>
    <w:rsid w:val="3457548F"/>
    <w:rsid w:val="345B087E"/>
    <w:rsid w:val="34627928"/>
    <w:rsid w:val="34675474"/>
    <w:rsid w:val="34684D49"/>
    <w:rsid w:val="346911EC"/>
    <w:rsid w:val="346E6803"/>
    <w:rsid w:val="346F4329"/>
    <w:rsid w:val="34702AD1"/>
    <w:rsid w:val="347150DC"/>
    <w:rsid w:val="34737FC2"/>
    <w:rsid w:val="347C1C67"/>
    <w:rsid w:val="347D6A46"/>
    <w:rsid w:val="347E7F4E"/>
    <w:rsid w:val="34807019"/>
    <w:rsid w:val="34825E0A"/>
    <w:rsid w:val="34853B4C"/>
    <w:rsid w:val="3489363D"/>
    <w:rsid w:val="348B76D9"/>
    <w:rsid w:val="348E1040"/>
    <w:rsid w:val="348F6779"/>
    <w:rsid w:val="34931DC5"/>
    <w:rsid w:val="34943D90"/>
    <w:rsid w:val="34977E0F"/>
    <w:rsid w:val="34983880"/>
    <w:rsid w:val="349A13A6"/>
    <w:rsid w:val="349B2A17"/>
    <w:rsid w:val="349D49F2"/>
    <w:rsid w:val="34A044E2"/>
    <w:rsid w:val="34A71D15"/>
    <w:rsid w:val="34AA710F"/>
    <w:rsid w:val="34AC10D9"/>
    <w:rsid w:val="34AE07E1"/>
    <w:rsid w:val="34AE6BFF"/>
    <w:rsid w:val="34AF2977"/>
    <w:rsid w:val="34B41D3C"/>
    <w:rsid w:val="34B42CD7"/>
    <w:rsid w:val="34B47F8E"/>
    <w:rsid w:val="34B561E0"/>
    <w:rsid w:val="34B87A7E"/>
    <w:rsid w:val="34BB30CA"/>
    <w:rsid w:val="34C401D1"/>
    <w:rsid w:val="34C72E2C"/>
    <w:rsid w:val="34C75F13"/>
    <w:rsid w:val="34CD478F"/>
    <w:rsid w:val="34CE7CA8"/>
    <w:rsid w:val="34D10B40"/>
    <w:rsid w:val="34D643A8"/>
    <w:rsid w:val="34DF14AF"/>
    <w:rsid w:val="34E32DF3"/>
    <w:rsid w:val="34EE524E"/>
    <w:rsid w:val="34F5482E"/>
    <w:rsid w:val="34F66019"/>
    <w:rsid w:val="34FB5395"/>
    <w:rsid w:val="350360CB"/>
    <w:rsid w:val="350607E9"/>
    <w:rsid w:val="350B5E00"/>
    <w:rsid w:val="350C3926"/>
    <w:rsid w:val="350E3B42"/>
    <w:rsid w:val="35123632"/>
    <w:rsid w:val="35131158"/>
    <w:rsid w:val="351331F9"/>
    <w:rsid w:val="35145978"/>
    <w:rsid w:val="35150A2C"/>
    <w:rsid w:val="35161C05"/>
    <w:rsid w:val="3518051D"/>
    <w:rsid w:val="351B4977"/>
    <w:rsid w:val="351D286D"/>
    <w:rsid w:val="351D5B33"/>
    <w:rsid w:val="35225DD1"/>
    <w:rsid w:val="35243365"/>
    <w:rsid w:val="352B31F5"/>
    <w:rsid w:val="352E7D40"/>
    <w:rsid w:val="35344874"/>
    <w:rsid w:val="35357321"/>
    <w:rsid w:val="353A0493"/>
    <w:rsid w:val="353A66E5"/>
    <w:rsid w:val="353C420B"/>
    <w:rsid w:val="353F1F4D"/>
    <w:rsid w:val="35415CC5"/>
    <w:rsid w:val="35417A73"/>
    <w:rsid w:val="354237EC"/>
    <w:rsid w:val="35443D18"/>
    <w:rsid w:val="3546508A"/>
    <w:rsid w:val="354B6B44"/>
    <w:rsid w:val="354F78A4"/>
    <w:rsid w:val="35523A2F"/>
    <w:rsid w:val="35527ED3"/>
    <w:rsid w:val="355A28E3"/>
    <w:rsid w:val="355C2A85"/>
    <w:rsid w:val="3560331F"/>
    <w:rsid w:val="35611EC4"/>
    <w:rsid w:val="356279EA"/>
    <w:rsid w:val="35631901"/>
    <w:rsid w:val="356419B4"/>
    <w:rsid w:val="35646BA9"/>
    <w:rsid w:val="356B689E"/>
    <w:rsid w:val="356F59EC"/>
    <w:rsid w:val="35714C03"/>
    <w:rsid w:val="357716E7"/>
    <w:rsid w:val="35777939"/>
    <w:rsid w:val="35794F7E"/>
    <w:rsid w:val="357A2F85"/>
    <w:rsid w:val="357A3B1C"/>
    <w:rsid w:val="357A4D33"/>
    <w:rsid w:val="357C0AAC"/>
    <w:rsid w:val="358768A1"/>
    <w:rsid w:val="358856A2"/>
    <w:rsid w:val="358931C8"/>
    <w:rsid w:val="359009FB"/>
    <w:rsid w:val="35944047"/>
    <w:rsid w:val="35977693"/>
    <w:rsid w:val="3598340C"/>
    <w:rsid w:val="359A53D6"/>
    <w:rsid w:val="359A63C0"/>
    <w:rsid w:val="359D4169"/>
    <w:rsid w:val="359E20F7"/>
    <w:rsid w:val="359E6C74"/>
    <w:rsid w:val="359F0C3E"/>
    <w:rsid w:val="359F64F2"/>
    <w:rsid w:val="35A10512"/>
    <w:rsid w:val="35A239BC"/>
    <w:rsid w:val="35A324DC"/>
    <w:rsid w:val="35A46254"/>
    <w:rsid w:val="35A5691A"/>
    <w:rsid w:val="35A6206D"/>
    <w:rsid w:val="35A746CB"/>
    <w:rsid w:val="35AD5109"/>
    <w:rsid w:val="35AD6EB7"/>
    <w:rsid w:val="35BA15D4"/>
    <w:rsid w:val="35BC17F0"/>
    <w:rsid w:val="35BD4A27"/>
    <w:rsid w:val="35BE2E72"/>
    <w:rsid w:val="35C04B91"/>
    <w:rsid w:val="35C30488"/>
    <w:rsid w:val="35C80195"/>
    <w:rsid w:val="35CB558F"/>
    <w:rsid w:val="35CD1307"/>
    <w:rsid w:val="35CF1523"/>
    <w:rsid w:val="35CF6816"/>
    <w:rsid w:val="35D2691D"/>
    <w:rsid w:val="35D37EA5"/>
    <w:rsid w:val="35D42696"/>
    <w:rsid w:val="35D501BC"/>
    <w:rsid w:val="35DA3A24"/>
    <w:rsid w:val="35DC154A"/>
    <w:rsid w:val="35E13004"/>
    <w:rsid w:val="35E46651"/>
    <w:rsid w:val="35E6686D"/>
    <w:rsid w:val="35E84BE7"/>
    <w:rsid w:val="35EA56E1"/>
    <w:rsid w:val="35EA7D42"/>
    <w:rsid w:val="35EB5CD8"/>
    <w:rsid w:val="35EF127D"/>
    <w:rsid w:val="35F24F62"/>
    <w:rsid w:val="35FF348B"/>
    <w:rsid w:val="360077E2"/>
    <w:rsid w:val="3600792F"/>
    <w:rsid w:val="36015455"/>
    <w:rsid w:val="36034D29"/>
    <w:rsid w:val="36054F45"/>
    <w:rsid w:val="36063727"/>
    <w:rsid w:val="36074A7F"/>
    <w:rsid w:val="36080591"/>
    <w:rsid w:val="3608381A"/>
    <w:rsid w:val="360A255B"/>
    <w:rsid w:val="360A60B7"/>
    <w:rsid w:val="360B0081"/>
    <w:rsid w:val="360D3DFA"/>
    <w:rsid w:val="361231BE"/>
    <w:rsid w:val="36162CAE"/>
    <w:rsid w:val="361909F0"/>
    <w:rsid w:val="361E75B5"/>
    <w:rsid w:val="361F444A"/>
    <w:rsid w:val="362353CB"/>
    <w:rsid w:val="36251143"/>
    <w:rsid w:val="3628478F"/>
    <w:rsid w:val="362C0724"/>
    <w:rsid w:val="362C2EF1"/>
    <w:rsid w:val="362F1FC2"/>
    <w:rsid w:val="3632560E"/>
    <w:rsid w:val="36372C24"/>
    <w:rsid w:val="363B44C3"/>
    <w:rsid w:val="363C023B"/>
    <w:rsid w:val="363C41B2"/>
    <w:rsid w:val="364202C1"/>
    <w:rsid w:val="3643115A"/>
    <w:rsid w:val="36432478"/>
    <w:rsid w:val="36462E68"/>
    <w:rsid w:val="364A2958"/>
    <w:rsid w:val="364C2B74"/>
    <w:rsid w:val="36530255"/>
    <w:rsid w:val="365437D6"/>
    <w:rsid w:val="36545584"/>
    <w:rsid w:val="36557C1C"/>
    <w:rsid w:val="365612FD"/>
    <w:rsid w:val="365732C7"/>
    <w:rsid w:val="36581519"/>
    <w:rsid w:val="36653C36"/>
    <w:rsid w:val="36681030"/>
    <w:rsid w:val="366A4DA8"/>
    <w:rsid w:val="366D5927"/>
    <w:rsid w:val="366F76E7"/>
    <w:rsid w:val="367141CE"/>
    <w:rsid w:val="36745C27"/>
    <w:rsid w:val="3679148F"/>
    <w:rsid w:val="367B6FB5"/>
    <w:rsid w:val="367F61DE"/>
    <w:rsid w:val="36820344"/>
    <w:rsid w:val="368340BC"/>
    <w:rsid w:val="36871691"/>
    <w:rsid w:val="3687277C"/>
    <w:rsid w:val="36891FCF"/>
    <w:rsid w:val="36897924"/>
    <w:rsid w:val="368C4D1E"/>
    <w:rsid w:val="369129F7"/>
    <w:rsid w:val="36923549"/>
    <w:rsid w:val="36966D52"/>
    <w:rsid w:val="369736C3"/>
    <w:rsid w:val="36A04C6E"/>
    <w:rsid w:val="36A21135"/>
    <w:rsid w:val="36B240C8"/>
    <w:rsid w:val="36B31729"/>
    <w:rsid w:val="36B424C7"/>
    <w:rsid w:val="36B60F67"/>
    <w:rsid w:val="36B727F9"/>
    <w:rsid w:val="36B75FBF"/>
    <w:rsid w:val="36BA4071"/>
    <w:rsid w:val="36BD312A"/>
    <w:rsid w:val="36C827C2"/>
    <w:rsid w:val="36C97D20"/>
    <w:rsid w:val="36CD6D52"/>
    <w:rsid w:val="36D466C5"/>
    <w:rsid w:val="36D7585B"/>
    <w:rsid w:val="36D8764F"/>
    <w:rsid w:val="36DF5796"/>
    <w:rsid w:val="36E0150E"/>
    <w:rsid w:val="36E7464B"/>
    <w:rsid w:val="36E903C3"/>
    <w:rsid w:val="36E94D26"/>
    <w:rsid w:val="36EA57B9"/>
    <w:rsid w:val="36EE7787"/>
    <w:rsid w:val="36F80606"/>
    <w:rsid w:val="36F8396F"/>
    <w:rsid w:val="36FA437E"/>
    <w:rsid w:val="36FB4891"/>
    <w:rsid w:val="370625F1"/>
    <w:rsid w:val="370C40B1"/>
    <w:rsid w:val="37103BA1"/>
    <w:rsid w:val="371069DA"/>
    <w:rsid w:val="37107F95"/>
    <w:rsid w:val="37113475"/>
    <w:rsid w:val="37152F66"/>
    <w:rsid w:val="371A057C"/>
    <w:rsid w:val="371B42F4"/>
    <w:rsid w:val="371D006C"/>
    <w:rsid w:val="371D1E1A"/>
    <w:rsid w:val="371F3DE4"/>
    <w:rsid w:val="37215DAE"/>
    <w:rsid w:val="37217B5C"/>
    <w:rsid w:val="37257503"/>
    <w:rsid w:val="372C4753"/>
    <w:rsid w:val="372E04CB"/>
    <w:rsid w:val="372E4C5F"/>
    <w:rsid w:val="37305FF2"/>
    <w:rsid w:val="3735592F"/>
    <w:rsid w:val="373E0984"/>
    <w:rsid w:val="373F4487"/>
    <w:rsid w:val="37425D25"/>
    <w:rsid w:val="374455F9"/>
    <w:rsid w:val="37461371"/>
    <w:rsid w:val="37465815"/>
    <w:rsid w:val="37465A08"/>
    <w:rsid w:val="3748158D"/>
    <w:rsid w:val="37490E61"/>
    <w:rsid w:val="374A567A"/>
    <w:rsid w:val="374B2E2B"/>
    <w:rsid w:val="374B6987"/>
    <w:rsid w:val="37500442"/>
    <w:rsid w:val="37503F9E"/>
    <w:rsid w:val="375241BA"/>
    <w:rsid w:val="375A4E1C"/>
    <w:rsid w:val="375C3AD3"/>
    <w:rsid w:val="375F0685"/>
    <w:rsid w:val="37643EED"/>
    <w:rsid w:val="37667C65"/>
    <w:rsid w:val="376E73A5"/>
    <w:rsid w:val="37725830"/>
    <w:rsid w:val="37744822"/>
    <w:rsid w:val="37772B57"/>
    <w:rsid w:val="37773C20"/>
    <w:rsid w:val="377C4D93"/>
    <w:rsid w:val="377D6D5D"/>
    <w:rsid w:val="378123A9"/>
    <w:rsid w:val="378219F7"/>
    <w:rsid w:val="37826121"/>
    <w:rsid w:val="378325C5"/>
    <w:rsid w:val="378835C5"/>
    <w:rsid w:val="378C0D4E"/>
    <w:rsid w:val="379775C4"/>
    <w:rsid w:val="37977BBC"/>
    <w:rsid w:val="37983B97"/>
    <w:rsid w:val="379929F5"/>
    <w:rsid w:val="379B23DD"/>
    <w:rsid w:val="379E11AD"/>
    <w:rsid w:val="379E73FF"/>
    <w:rsid w:val="37A44784"/>
    <w:rsid w:val="37AB5678"/>
    <w:rsid w:val="37B10249"/>
    <w:rsid w:val="37B7226F"/>
    <w:rsid w:val="37B90489"/>
    <w:rsid w:val="37B95FE7"/>
    <w:rsid w:val="37BC5AD7"/>
    <w:rsid w:val="37C30C14"/>
    <w:rsid w:val="37C52C3A"/>
    <w:rsid w:val="37C64260"/>
    <w:rsid w:val="37C8622A"/>
    <w:rsid w:val="37C93D50"/>
    <w:rsid w:val="37CD5B9C"/>
    <w:rsid w:val="37CE5D48"/>
    <w:rsid w:val="37CE75B8"/>
    <w:rsid w:val="37D3697D"/>
    <w:rsid w:val="37D526F5"/>
    <w:rsid w:val="37DC2AF8"/>
    <w:rsid w:val="37DC3A83"/>
    <w:rsid w:val="37DC7F27"/>
    <w:rsid w:val="37DF5322"/>
    <w:rsid w:val="37E128C2"/>
    <w:rsid w:val="37E34E12"/>
    <w:rsid w:val="37E8177D"/>
    <w:rsid w:val="37EB1F18"/>
    <w:rsid w:val="37ED7A3F"/>
    <w:rsid w:val="37F012DD"/>
    <w:rsid w:val="37F76B0F"/>
    <w:rsid w:val="37FB6A05"/>
    <w:rsid w:val="37FE3BFC"/>
    <w:rsid w:val="37FE7E9E"/>
    <w:rsid w:val="37FF59C4"/>
    <w:rsid w:val="38066D52"/>
    <w:rsid w:val="38086A4E"/>
    <w:rsid w:val="380878FA"/>
    <w:rsid w:val="38090F1A"/>
    <w:rsid w:val="38163439"/>
    <w:rsid w:val="38170F5F"/>
    <w:rsid w:val="38172D0E"/>
    <w:rsid w:val="38196A86"/>
    <w:rsid w:val="381C20D2"/>
    <w:rsid w:val="3821593A"/>
    <w:rsid w:val="382316B2"/>
    <w:rsid w:val="3825542A"/>
    <w:rsid w:val="382673F4"/>
    <w:rsid w:val="382B67B9"/>
    <w:rsid w:val="382D42DF"/>
    <w:rsid w:val="38303DA7"/>
    <w:rsid w:val="3831064E"/>
    <w:rsid w:val="38325D99"/>
    <w:rsid w:val="38353194"/>
    <w:rsid w:val="3835486A"/>
    <w:rsid w:val="38376F0C"/>
    <w:rsid w:val="383A044D"/>
    <w:rsid w:val="383E029A"/>
    <w:rsid w:val="384229DF"/>
    <w:rsid w:val="38467783"/>
    <w:rsid w:val="384A30E3"/>
    <w:rsid w:val="384E4FBD"/>
    <w:rsid w:val="384F204E"/>
    <w:rsid w:val="384F24A7"/>
    <w:rsid w:val="38547ABE"/>
    <w:rsid w:val="385555E4"/>
    <w:rsid w:val="386046B4"/>
    <w:rsid w:val="38606463"/>
    <w:rsid w:val="38635F53"/>
    <w:rsid w:val="38657F1D"/>
    <w:rsid w:val="386D5023"/>
    <w:rsid w:val="386D6DD1"/>
    <w:rsid w:val="386E59BE"/>
    <w:rsid w:val="386E654A"/>
    <w:rsid w:val="387463B2"/>
    <w:rsid w:val="3875408A"/>
    <w:rsid w:val="387D044B"/>
    <w:rsid w:val="387D5266"/>
    <w:rsid w:val="38912AC0"/>
    <w:rsid w:val="38926838"/>
    <w:rsid w:val="389425B0"/>
    <w:rsid w:val="38972D3F"/>
    <w:rsid w:val="389B56ED"/>
    <w:rsid w:val="389E342F"/>
    <w:rsid w:val="389F78EA"/>
    <w:rsid w:val="38A04A09"/>
    <w:rsid w:val="38A547BD"/>
    <w:rsid w:val="38A65E3F"/>
    <w:rsid w:val="38A75F00"/>
    <w:rsid w:val="38AA5930"/>
    <w:rsid w:val="38AC5B4C"/>
    <w:rsid w:val="38B7004D"/>
    <w:rsid w:val="38B86F38"/>
    <w:rsid w:val="38B90459"/>
    <w:rsid w:val="38BA2623"/>
    <w:rsid w:val="38BB18EB"/>
    <w:rsid w:val="38BD1B07"/>
    <w:rsid w:val="38BD38B5"/>
    <w:rsid w:val="38BF587F"/>
    <w:rsid w:val="38C35493"/>
    <w:rsid w:val="38C42E95"/>
    <w:rsid w:val="38C70290"/>
    <w:rsid w:val="38CC3AF8"/>
    <w:rsid w:val="38D0417E"/>
    <w:rsid w:val="38D1110E"/>
    <w:rsid w:val="38E075A3"/>
    <w:rsid w:val="38E452E6"/>
    <w:rsid w:val="38E928FC"/>
    <w:rsid w:val="38E946AA"/>
    <w:rsid w:val="38EA21D0"/>
    <w:rsid w:val="38EE040E"/>
    <w:rsid w:val="38EF3C8A"/>
    <w:rsid w:val="38F12CD3"/>
    <w:rsid w:val="38F1355F"/>
    <w:rsid w:val="38F80D91"/>
    <w:rsid w:val="38F82B3F"/>
    <w:rsid w:val="38F94775"/>
    <w:rsid w:val="38FE5C7B"/>
    <w:rsid w:val="390037A2"/>
    <w:rsid w:val="390246F3"/>
    <w:rsid w:val="390414E4"/>
    <w:rsid w:val="39070FD4"/>
    <w:rsid w:val="39074B30"/>
    <w:rsid w:val="391060DB"/>
    <w:rsid w:val="391361DB"/>
    <w:rsid w:val="39162FC5"/>
    <w:rsid w:val="3919532C"/>
    <w:rsid w:val="391B05DB"/>
    <w:rsid w:val="391B06AE"/>
    <w:rsid w:val="391D4354"/>
    <w:rsid w:val="39246EA0"/>
    <w:rsid w:val="39276F80"/>
    <w:rsid w:val="39290F4A"/>
    <w:rsid w:val="392971ED"/>
    <w:rsid w:val="39317DFF"/>
    <w:rsid w:val="393225AB"/>
    <w:rsid w:val="393C7FB8"/>
    <w:rsid w:val="393D2C48"/>
    <w:rsid w:val="39461AFC"/>
    <w:rsid w:val="39471E2C"/>
    <w:rsid w:val="394C1551"/>
    <w:rsid w:val="394D1614"/>
    <w:rsid w:val="394F44D4"/>
    <w:rsid w:val="39504729"/>
    <w:rsid w:val="39513FFD"/>
    <w:rsid w:val="3953226C"/>
    <w:rsid w:val="3953286E"/>
    <w:rsid w:val="39535FC7"/>
    <w:rsid w:val="39551D3F"/>
    <w:rsid w:val="39561614"/>
    <w:rsid w:val="39581830"/>
    <w:rsid w:val="395A55A8"/>
    <w:rsid w:val="396226AE"/>
    <w:rsid w:val="3962620A"/>
    <w:rsid w:val="396C52DB"/>
    <w:rsid w:val="396C7089"/>
    <w:rsid w:val="39706B79"/>
    <w:rsid w:val="397321C6"/>
    <w:rsid w:val="39736669"/>
    <w:rsid w:val="397B38EC"/>
    <w:rsid w:val="397B72CC"/>
    <w:rsid w:val="397D3044"/>
    <w:rsid w:val="398054B8"/>
    <w:rsid w:val="39810D86"/>
    <w:rsid w:val="3983274D"/>
    <w:rsid w:val="39875C71"/>
    <w:rsid w:val="398B750F"/>
    <w:rsid w:val="398C590D"/>
    <w:rsid w:val="39902D77"/>
    <w:rsid w:val="399430B5"/>
    <w:rsid w:val="399860D0"/>
    <w:rsid w:val="399F120C"/>
    <w:rsid w:val="39A14F85"/>
    <w:rsid w:val="39A35178"/>
    <w:rsid w:val="39A6259B"/>
    <w:rsid w:val="39A86313"/>
    <w:rsid w:val="39AE76A2"/>
    <w:rsid w:val="39BC70BE"/>
    <w:rsid w:val="39BD18DE"/>
    <w:rsid w:val="39CB3DB0"/>
    <w:rsid w:val="39CE3969"/>
    <w:rsid w:val="39CE564E"/>
    <w:rsid w:val="39CE6632"/>
    <w:rsid w:val="39D52E80"/>
    <w:rsid w:val="39D54C2E"/>
    <w:rsid w:val="39DF6898"/>
    <w:rsid w:val="39DF785B"/>
    <w:rsid w:val="39E6508D"/>
    <w:rsid w:val="39E758BD"/>
    <w:rsid w:val="39E97DA8"/>
    <w:rsid w:val="39ED01CA"/>
    <w:rsid w:val="39ED1F78"/>
    <w:rsid w:val="39EE5CF0"/>
    <w:rsid w:val="39F2758E"/>
    <w:rsid w:val="39F33306"/>
    <w:rsid w:val="39F350B4"/>
    <w:rsid w:val="39F552D0"/>
    <w:rsid w:val="39F94DC1"/>
    <w:rsid w:val="39F97CAF"/>
    <w:rsid w:val="39FA4695"/>
    <w:rsid w:val="39FBF267"/>
    <w:rsid w:val="39FC26D0"/>
    <w:rsid w:val="39FE23D7"/>
    <w:rsid w:val="3A064320"/>
    <w:rsid w:val="3A064DE8"/>
    <w:rsid w:val="3A0B0650"/>
    <w:rsid w:val="3A103EB8"/>
    <w:rsid w:val="3A125E82"/>
    <w:rsid w:val="3A127C30"/>
    <w:rsid w:val="3A192D6D"/>
    <w:rsid w:val="3A1A2713"/>
    <w:rsid w:val="3A1A4D37"/>
    <w:rsid w:val="3A1B12AC"/>
    <w:rsid w:val="3A1B478A"/>
    <w:rsid w:val="3A1E073A"/>
    <w:rsid w:val="3A220F95"/>
    <w:rsid w:val="3A281202"/>
    <w:rsid w:val="3A29194C"/>
    <w:rsid w:val="3A296D28"/>
    <w:rsid w:val="3A2B2AA0"/>
    <w:rsid w:val="3A2B3AE8"/>
    <w:rsid w:val="3A2D6818"/>
    <w:rsid w:val="3A2E4B81"/>
    <w:rsid w:val="3A2E7EAC"/>
    <w:rsid w:val="3A306308"/>
    <w:rsid w:val="3A397156"/>
    <w:rsid w:val="3A3A2CE3"/>
    <w:rsid w:val="3A3C6A5B"/>
    <w:rsid w:val="3A410516"/>
    <w:rsid w:val="3A414072"/>
    <w:rsid w:val="3A465B2C"/>
    <w:rsid w:val="3A4B3142"/>
    <w:rsid w:val="3A53360C"/>
    <w:rsid w:val="3A5448AB"/>
    <w:rsid w:val="3A575643"/>
    <w:rsid w:val="3A59585F"/>
    <w:rsid w:val="3A59760D"/>
    <w:rsid w:val="3A5B3385"/>
    <w:rsid w:val="3A6366DE"/>
    <w:rsid w:val="3A663AD8"/>
    <w:rsid w:val="3A685AA2"/>
    <w:rsid w:val="3A704957"/>
    <w:rsid w:val="3A751279"/>
    <w:rsid w:val="3A8723CC"/>
    <w:rsid w:val="3A886068"/>
    <w:rsid w:val="3A887EF3"/>
    <w:rsid w:val="3A8B353F"/>
    <w:rsid w:val="3A8D5509"/>
    <w:rsid w:val="3A8D6676"/>
    <w:rsid w:val="3A8E336A"/>
    <w:rsid w:val="3A916DA7"/>
    <w:rsid w:val="3A921CEB"/>
    <w:rsid w:val="3A971EE4"/>
    <w:rsid w:val="3A995C5C"/>
    <w:rsid w:val="3AA26176"/>
    <w:rsid w:val="3AA60379"/>
    <w:rsid w:val="3AAF3DE4"/>
    <w:rsid w:val="3AB900AC"/>
    <w:rsid w:val="3ABC194A"/>
    <w:rsid w:val="3ABD5DEE"/>
    <w:rsid w:val="3AC52EF5"/>
    <w:rsid w:val="3AC56A51"/>
    <w:rsid w:val="3ACF167E"/>
    <w:rsid w:val="3AD62A0C"/>
    <w:rsid w:val="3AD66EB0"/>
    <w:rsid w:val="3AD849D6"/>
    <w:rsid w:val="3ADA2030"/>
    <w:rsid w:val="3ADB14EF"/>
    <w:rsid w:val="3AE113B1"/>
    <w:rsid w:val="3AE25855"/>
    <w:rsid w:val="3AE35129"/>
    <w:rsid w:val="3AE852B6"/>
    <w:rsid w:val="3AEB79FE"/>
    <w:rsid w:val="3AF94C61"/>
    <w:rsid w:val="3AFD4730"/>
    <w:rsid w:val="3AFD5E03"/>
    <w:rsid w:val="3AFD61EB"/>
    <w:rsid w:val="3B024BDF"/>
    <w:rsid w:val="3B082DE1"/>
    <w:rsid w:val="3B084B8F"/>
    <w:rsid w:val="3B0F5FF0"/>
    <w:rsid w:val="3B111C96"/>
    <w:rsid w:val="3B132EBB"/>
    <w:rsid w:val="3B181276"/>
    <w:rsid w:val="3B1B48C3"/>
    <w:rsid w:val="3B2A0FAA"/>
    <w:rsid w:val="3B345984"/>
    <w:rsid w:val="3B36794F"/>
    <w:rsid w:val="3B3763D1"/>
    <w:rsid w:val="3B4402BD"/>
    <w:rsid w:val="3B4406AD"/>
    <w:rsid w:val="3B514788"/>
    <w:rsid w:val="3B5424B5"/>
    <w:rsid w:val="3B5C3046"/>
    <w:rsid w:val="3B5E2C18"/>
    <w:rsid w:val="3B5F50F7"/>
    <w:rsid w:val="3B625851"/>
    <w:rsid w:val="3B6444BC"/>
    <w:rsid w:val="3B645349"/>
    <w:rsid w:val="3B677B08"/>
    <w:rsid w:val="3B6B3A9C"/>
    <w:rsid w:val="3B6C15C2"/>
    <w:rsid w:val="3B6E0E96"/>
    <w:rsid w:val="3B6F4C0F"/>
    <w:rsid w:val="3B712735"/>
    <w:rsid w:val="3B7346FF"/>
    <w:rsid w:val="3B783AC3"/>
    <w:rsid w:val="3B7A5A8D"/>
    <w:rsid w:val="3B806E1C"/>
    <w:rsid w:val="3B81506E"/>
    <w:rsid w:val="3B862944"/>
    <w:rsid w:val="3B8738E2"/>
    <w:rsid w:val="3B8B7C9A"/>
    <w:rsid w:val="3B8E32E7"/>
    <w:rsid w:val="3B903503"/>
    <w:rsid w:val="3B905FB8"/>
    <w:rsid w:val="3B974891"/>
    <w:rsid w:val="3B9A7EDD"/>
    <w:rsid w:val="3B9D3163"/>
    <w:rsid w:val="3B9F54F4"/>
    <w:rsid w:val="3B9F72A2"/>
    <w:rsid w:val="3BA47D82"/>
    <w:rsid w:val="3BA64AD4"/>
    <w:rsid w:val="3BAB3E99"/>
    <w:rsid w:val="3BAB7ADE"/>
    <w:rsid w:val="3BAE24DA"/>
    <w:rsid w:val="3BAE4630"/>
    <w:rsid w:val="3BB164CD"/>
    <w:rsid w:val="3BB6303F"/>
    <w:rsid w:val="3BBD597A"/>
    <w:rsid w:val="3BBE0D10"/>
    <w:rsid w:val="3BBF16F2"/>
    <w:rsid w:val="3BBF7944"/>
    <w:rsid w:val="3BC1190E"/>
    <w:rsid w:val="3BC136BC"/>
    <w:rsid w:val="3BC60CD2"/>
    <w:rsid w:val="3BCE7B87"/>
    <w:rsid w:val="3BD72366"/>
    <w:rsid w:val="3BD776DA"/>
    <w:rsid w:val="3BD80A06"/>
    <w:rsid w:val="3BDA29D0"/>
    <w:rsid w:val="3BDC22A4"/>
    <w:rsid w:val="3BDD6036"/>
    <w:rsid w:val="3BDF1D94"/>
    <w:rsid w:val="3BE03287"/>
    <w:rsid w:val="3BE9676F"/>
    <w:rsid w:val="3BEF55D0"/>
    <w:rsid w:val="3BF36DBD"/>
    <w:rsid w:val="3BF5780A"/>
    <w:rsid w:val="3BF70E8C"/>
    <w:rsid w:val="3BF84C04"/>
    <w:rsid w:val="3BFD046C"/>
    <w:rsid w:val="3C070B8D"/>
    <w:rsid w:val="3C0E2679"/>
    <w:rsid w:val="3C1001A0"/>
    <w:rsid w:val="3C1063F2"/>
    <w:rsid w:val="3C166A9C"/>
    <w:rsid w:val="3C176C51"/>
    <w:rsid w:val="3C1C4D96"/>
    <w:rsid w:val="3C243C4B"/>
    <w:rsid w:val="3C261771"/>
    <w:rsid w:val="3C2854E9"/>
    <w:rsid w:val="3C2B4FD9"/>
    <w:rsid w:val="3C2D2B00"/>
    <w:rsid w:val="3C3072F9"/>
    <w:rsid w:val="3C33736D"/>
    <w:rsid w:val="3C3A4B39"/>
    <w:rsid w:val="3C4165AB"/>
    <w:rsid w:val="3C430575"/>
    <w:rsid w:val="3C492DBB"/>
    <w:rsid w:val="3C4D0211"/>
    <w:rsid w:val="3C4D13F4"/>
    <w:rsid w:val="3C4F06AE"/>
    <w:rsid w:val="3C504A40"/>
    <w:rsid w:val="3C553E04"/>
    <w:rsid w:val="3C5A277B"/>
    <w:rsid w:val="3C681D8A"/>
    <w:rsid w:val="3C6B3628"/>
    <w:rsid w:val="3C700C3E"/>
    <w:rsid w:val="3C7050E2"/>
    <w:rsid w:val="3C7324DC"/>
    <w:rsid w:val="3C7B7D0F"/>
    <w:rsid w:val="3C7C3A87"/>
    <w:rsid w:val="3C7E15AD"/>
    <w:rsid w:val="3C7E4C3C"/>
    <w:rsid w:val="3C7F0E81"/>
    <w:rsid w:val="3C7F11EE"/>
    <w:rsid w:val="3C805325"/>
    <w:rsid w:val="3C940DD1"/>
    <w:rsid w:val="3C942B7F"/>
    <w:rsid w:val="3C990195"/>
    <w:rsid w:val="3C9C3DF5"/>
    <w:rsid w:val="3CA01523"/>
    <w:rsid w:val="3CA164D5"/>
    <w:rsid w:val="3CA1704A"/>
    <w:rsid w:val="3CA31F01"/>
    <w:rsid w:val="3CA37266"/>
    <w:rsid w:val="3CA863A8"/>
    <w:rsid w:val="3CAE4BAE"/>
    <w:rsid w:val="3CB7061B"/>
    <w:rsid w:val="3CB90837"/>
    <w:rsid w:val="3CBB45AF"/>
    <w:rsid w:val="3CBC20D5"/>
    <w:rsid w:val="3CBC5080"/>
    <w:rsid w:val="3CBC5C3D"/>
    <w:rsid w:val="3CBE19AA"/>
    <w:rsid w:val="3CC05722"/>
    <w:rsid w:val="3CC316B6"/>
    <w:rsid w:val="3CC33464"/>
    <w:rsid w:val="3CC82828"/>
    <w:rsid w:val="3CCA65A0"/>
    <w:rsid w:val="3CCD3C8C"/>
    <w:rsid w:val="3CD94A35"/>
    <w:rsid w:val="3CDA245A"/>
    <w:rsid w:val="3CDB69FF"/>
    <w:rsid w:val="3CE05DC4"/>
    <w:rsid w:val="3CE37662"/>
    <w:rsid w:val="3CE7185D"/>
    <w:rsid w:val="3CEA4A31"/>
    <w:rsid w:val="3CEC4769"/>
    <w:rsid w:val="3CEE0A37"/>
    <w:rsid w:val="3CF03B2D"/>
    <w:rsid w:val="3CF0711C"/>
    <w:rsid w:val="3CFA3924"/>
    <w:rsid w:val="3CFA5C50"/>
    <w:rsid w:val="3CFC735A"/>
    <w:rsid w:val="3CFE624A"/>
    <w:rsid w:val="3D011811"/>
    <w:rsid w:val="3D015D3A"/>
    <w:rsid w:val="3D0478F6"/>
    <w:rsid w:val="3D053A7C"/>
    <w:rsid w:val="3D05582A"/>
    <w:rsid w:val="3D056A3F"/>
    <w:rsid w:val="3D0F48FB"/>
    <w:rsid w:val="3D10720F"/>
    <w:rsid w:val="3D1141CF"/>
    <w:rsid w:val="3D115F7D"/>
    <w:rsid w:val="3D18555E"/>
    <w:rsid w:val="3D193084"/>
    <w:rsid w:val="3D2008B6"/>
    <w:rsid w:val="3D254AFD"/>
    <w:rsid w:val="3D271C45"/>
    <w:rsid w:val="3D2F0AF9"/>
    <w:rsid w:val="3D3035F9"/>
    <w:rsid w:val="3D314871"/>
    <w:rsid w:val="3D3305EA"/>
    <w:rsid w:val="3D344362"/>
    <w:rsid w:val="3D347EBE"/>
    <w:rsid w:val="3D363C36"/>
    <w:rsid w:val="3D3A1978"/>
    <w:rsid w:val="3D3B56F0"/>
    <w:rsid w:val="3D4201BB"/>
    <w:rsid w:val="3D42082D"/>
    <w:rsid w:val="3D424389"/>
    <w:rsid w:val="3D4520CB"/>
    <w:rsid w:val="3D483969"/>
    <w:rsid w:val="3D4D6987"/>
    <w:rsid w:val="3D4F2F4A"/>
    <w:rsid w:val="3D54230E"/>
    <w:rsid w:val="3D5B369C"/>
    <w:rsid w:val="3D5B544A"/>
    <w:rsid w:val="3D5D7415"/>
    <w:rsid w:val="3D5F318D"/>
    <w:rsid w:val="3D605157"/>
    <w:rsid w:val="3D624A2B"/>
    <w:rsid w:val="3D6469F5"/>
    <w:rsid w:val="3D65276D"/>
    <w:rsid w:val="3D670293"/>
    <w:rsid w:val="3D691975"/>
    <w:rsid w:val="3D6A7D83"/>
    <w:rsid w:val="3D6B6BFA"/>
    <w:rsid w:val="3D6E33D0"/>
    <w:rsid w:val="3D7309E6"/>
    <w:rsid w:val="3D736C38"/>
    <w:rsid w:val="3D785FFC"/>
    <w:rsid w:val="3D7B789B"/>
    <w:rsid w:val="3D7E17DF"/>
    <w:rsid w:val="3D842BF3"/>
    <w:rsid w:val="3D89020A"/>
    <w:rsid w:val="3D8E3A72"/>
    <w:rsid w:val="3D913562"/>
    <w:rsid w:val="3D9904A8"/>
    <w:rsid w:val="3D995D0E"/>
    <w:rsid w:val="3D9C66F8"/>
    <w:rsid w:val="3D9D1F07"/>
    <w:rsid w:val="3DA47914"/>
    <w:rsid w:val="3DA7535D"/>
    <w:rsid w:val="3DA9265A"/>
    <w:rsid w:val="3DB039E8"/>
    <w:rsid w:val="3DB27817"/>
    <w:rsid w:val="3DB42DAD"/>
    <w:rsid w:val="3DB813B0"/>
    <w:rsid w:val="3DBB238D"/>
    <w:rsid w:val="3DBD4357"/>
    <w:rsid w:val="3DD376D7"/>
    <w:rsid w:val="3DD516A1"/>
    <w:rsid w:val="3DD5344F"/>
    <w:rsid w:val="3DDB2643"/>
    <w:rsid w:val="3DDD0555"/>
    <w:rsid w:val="3DDD2303"/>
    <w:rsid w:val="3DDD67A7"/>
    <w:rsid w:val="3DE11078"/>
    <w:rsid w:val="3DE37306"/>
    <w:rsid w:val="3DE61BC4"/>
    <w:rsid w:val="3DE713D4"/>
    <w:rsid w:val="3DE73182"/>
    <w:rsid w:val="3DEA3D83"/>
    <w:rsid w:val="3DEB2C72"/>
    <w:rsid w:val="3DEC0798"/>
    <w:rsid w:val="3DF064DB"/>
    <w:rsid w:val="3DF37D79"/>
    <w:rsid w:val="3DF96E3A"/>
    <w:rsid w:val="3DFC7B0B"/>
    <w:rsid w:val="3DFD29A6"/>
    <w:rsid w:val="3DFD4754"/>
    <w:rsid w:val="3E02320C"/>
    <w:rsid w:val="3E083824"/>
    <w:rsid w:val="3E0930F8"/>
    <w:rsid w:val="3E097DBF"/>
    <w:rsid w:val="3E104487"/>
    <w:rsid w:val="3E1050C1"/>
    <w:rsid w:val="3E1113DE"/>
    <w:rsid w:val="3E1201FF"/>
    <w:rsid w:val="3E126451"/>
    <w:rsid w:val="3E171CB9"/>
    <w:rsid w:val="3E18333B"/>
    <w:rsid w:val="3E186F76"/>
    <w:rsid w:val="3E1A5306"/>
    <w:rsid w:val="3E1A6DC1"/>
    <w:rsid w:val="3E1C107E"/>
    <w:rsid w:val="3E1F291C"/>
    <w:rsid w:val="3E216694"/>
    <w:rsid w:val="3E23240C"/>
    <w:rsid w:val="3E235794"/>
    <w:rsid w:val="3E247F32"/>
    <w:rsid w:val="3E295549"/>
    <w:rsid w:val="3E2972F7"/>
    <w:rsid w:val="3E2B7513"/>
    <w:rsid w:val="3E377C66"/>
    <w:rsid w:val="3E3C71F1"/>
    <w:rsid w:val="3E3D275E"/>
    <w:rsid w:val="3E3F6B1A"/>
    <w:rsid w:val="3E46434D"/>
    <w:rsid w:val="3E467DCB"/>
    <w:rsid w:val="3E473F20"/>
    <w:rsid w:val="3E4A3B11"/>
    <w:rsid w:val="3E4D56DB"/>
    <w:rsid w:val="3E4D7489"/>
    <w:rsid w:val="3E4F1FA4"/>
    <w:rsid w:val="3E6447D3"/>
    <w:rsid w:val="3E646581"/>
    <w:rsid w:val="3E693B97"/>
    <w:rsid w:val="3E6A7C37"/>
    <w:rsid w:val="3E6F439C"/>
    <w:rsid w:val="3E767CA2"/>
    <w:rsid w:val="3E78202C"/>
    <w:rsid w:val="3E7C7D6E"/>
    <w:rsid w:val="3E7E5894"/>
    <w:rsid w:val="3E8B6203"/>
    <w:rsid w:val="3E8E35FE"/>
    <w:rsid w:val="3E90381A"/>
    <w:rsid w:val="3E9055C8"/>
    <w:rsid w:val="3E921340"/>
    <w:rsid w:val="3E941710"/>
    <w:rsid w:val="3E95498C"/>
    <w:rsid w:val="3E9A01F4"/>
    <w:rsid w:val="3E9C2D0F"/>
    <w:rsid w:val="3E9C5D1B"/>
    <w:rsid w:val="3E9D66EF"/>
    <w:rsid w:val="3EA10976"/>
    <w:rsid w:val="3EA11895"/>
    <w:rsid w:val="3EA370A9"/>
    <w:rsid w:val="3EAB0654"/>
    <w:rsid w:val="3EB06725"/>
    <w:rsid w:val="3EB452D4"/>
    <w:rsid w:val="3EB92D70"/>
    <w:rsid w:val="3EB9437E"/>
    <w:rsid w:val="3EB94B1E"/>
    <w:rsid w:val="3EBA2645"/>
    <w:rsid w:val="3EBF1FF6"/>
    <w:rsid w:val="3EC139D3"/>
    <w:rsid w:val="3EC7118D"/>
    <w:rsid w:val="3EC7548D"/>
    <w:rsid w:val="3ECC5112"/>
    <w:rsid w:val="3ED03C16"/>
    <w:rsid w:val="3ED100BA"/>
    <w:rsid w:val="3ED41958"/>
    <w:rsid w:val="3EDD198D"/>
    <w:rsid w:val="3EE020AB"/>
    <w:rsid w:val="3EE31B9B"/>
    <w:rsid w:val="3EE6168C"/>
    <w:rsid w:val="3EE86526"/>
    <w:rsid w:val="3EE871B2"/>
    <w:rsid w:val="3EEA4CD8"/>
    <w:rsid w:val="3EED2A1A"/>
    <w:rsid w:val="3EF43DA9"/>
    <w:rsid w:val="3EF618CF"/>
    <w:rsid w:val="3EF94085"/>
    <w:rsid w:val="3F03223E"/>
    <w:rsid w:val="3F057D64"/>
    <w:rsid w:val="3F06588A"/>
    <w:rsid w:val="3F0840B9"/>
    <w:rsid w:val="3F0A35CC"/>
    <w:rsid w:val="3F0A649A"/>
    <w:rsid w:val="3F0B2DA6"/>
    <w:rsid w:val="3F103381"/>
    <w:rsid w:val="3F15211D"/>
    <w:rsid w:val="3F1551DB"/>
    <w:rsid w:val="3F161F71"/>
    <w:rsid w:val="3F171845"/>
    <w:rsid w:val="3F1735F3"/>
    <w:rsid w:val="3F1E2728"/>
    <w:rsid w:val="3F1E4982"/>
    <w:rsid w:val="3F220916"/>
    <w:rsid w:val="3F23468E"/>
    <w:rsid w:val="3F2530A2"/>
    <w:rsid w:val="3F253F62"/>
    <w:rsid w:val="3F281CA4"/>
    <w:rsid w:val="3F2C03A4"/>
    <w:rsid w:val="3F2D6AC7"/>
    <w:rsid w:val="3F3209B7"/>
    <w:rsid w:val="3F32667F"/>
    <w:rsid w:val="3F375A43"/>
    <w:rsid w:val="3F3917BB"/>
    <w:rsid w:val="3F397A0D"/>
    <w:rsid w:val="3F3E3276"/>
    <w:rsid w:val="3F3E5024"/>
    <w:rsid w:val="3F3E5CD5"/>
    <w:rsid w:val="3F3F3F3A"/>
    <w:rsid w:val="3F3F46D3"/>
    <w:rsid w:val="3F407113"/>
    <w:rsid w:val="3F424E33"/>
    <w:rsid w:val="3F43263A"/>
    <w:rsid w:val="3F44662B"/>
    <w:rsid w:val="3F487C50"/>
    <w:rsid w:val="3F4A741D"/>
    <w:rsid w:val="3F4D34B9"/>
    <w:rsid w:val="3F4D4F72"/>
    <w:rsid w:val="3F5465F5"/>
    <w:rsid w:val="3F5605BF"/>
    <w:rsid w:val="3F56236D"/>
    <w:rsid w:val="3F566811"/>
    <w:rsid w:val="3F5900B0"/>
    <w:rsid w:val="3F591E5E"/>
    <w:rsid w:val="3F5E56C6"/>
    <w:rsid w:val="3F660E74"/>
    <w:rsid w:val="3F696545"/>
    <w:rsid w:val="3F6C393F"/>
    <w:rsid w:val="3F6D50FF"/>
    <w:rsid w:val="3F6D76B7"/>
    <w:rsid w:val="3F6E19E9"/>
    <w:rsid w:val="3F6F1681"/>
    <w:rsid w:val="3F757954"/>
    <w:rsid w:val="3F7942AE"/>
    <w:rsid w:val="3F7B7B8A"/>
    <w:rsid w:val="3F7E3672"/>
    <w:rsid w:val="3F811F08"/>
    <w:rsid w:val="3F817E67"/>
    <w:rsid w:val="3F8213B4"/>
    <w:rsid w:val="3F830C89"/>
    <w:rsid w:val="3F850EA5"/>
    <w:rsid w:val="3F890995"/>
    <w:rsid w:val="3F8A64BB"/>
    <w:rsid w:val="3F9115F7"/>
    <w:rsid w:val="3F917849"/>
    <w:rsid w:val="3F9335CD"/>
    <w:rsid w:val="3F9904AC"/>
    <w:rsid w:val="3F995D91"/>
    <w:rsid w:val="3F9A23F3"/>
    <w:rsid w:val="3F9D1D4A"/>
    <w:rsid w:val="3FA94B93"/>
    <w:rsid w:val="3FAA26B9"/>
    <w:rsid w:val="3FAC01DF"/>
    <w:rsid w:val="3FAE3F57"/>
    <w:rsid w:val="3FAF13AE"/>
    <w:rsid w:val="3FAF7CCF"/>
    <w:rsid w:val="3FB12ADB"/>
    <w:rsid w:val="3FB3156E"/>
    <w:rsid w:val="3FB35A12"/>
    <w:rsid w:val="3FBE7F13"/>
    <w:rsid w:val="3FC217B1"/>
    <w:rsid w:val="3FC419CD"/>
    <w:rsid w:val="3FC65745"/>
    <w:rsid w:val="3FC75AA0"/>
    <w:rsid w:val="3FC86E9D"/>
    <w:rsid w:val="3FC96EB0"/>
    <w:rsid w:val="3FCA68B7"/>
    <w:rsid w:val="3FCF2120"/>
    <w:rsid w:val="3FD07349"/>
    <w:rsid w:val="3FD61700"/>
    <w:rsid w:val="3FDA2F9E"/>
    <w:rsid w:val="3FDF2363"/>
    <w:rsid w:val="3FE55985"/>
    <w:rsid w:val="3FEB51AC"/>
    <w:rsid w:val="3FEC0F24"/>
    <w:rsid w:val="3FEE6A4A"/>
    <w:rsid w:val="3FF027C2"/>
    <w:rsid w:val="3FF102E8"/>
    <w:rsid w:val="3FF1653A"/>
    <w:rsid w:val="3FFA34B2"/>
    <w:rsid w:val="3FFA719D"/>
    <w:rsid w:val="3FFD2A12"/>
    <w:rsid w:val="3FFD4EDF"/>
    <w:rsid w:val="3FFF0C57"/>
    <w:rsid w:val="400647A9"/>
    <w:rsid w:val="400B13AA"/>
    <w:rsid w:val="400B3158"/>
    <w:rsid w:val="400C1667"/>
    <w:rsid w:val="400E7546"/>
    <w:rsid w:val="40170548"/>
    <w:rsid w:val="40170617"/>
    <w:rsid w:val="401B790F"/>
    <w:rsid w:val="401C5365"/>
    <w:rsid w:val="401E6EC4"/>
    <w:rsid w:val="401F4E55"/>
    <w:rsid w:val="40224945"/>
    <w:rsid w:val="40227D90"/>
    <w:rsid w:val="4024246B"/>
    <w:rsid w:val="40267F92"/>
    <w:rsid w:val="402814CD"/>
    <w:rsid w:val="402E32EA"/>
    <w:rsid w:val="4030560B"/>
    <w:rsid w:val="40442B0E"/>
    <w:rsid w:val="40547751"/>
    <w:rsid w:val="40572841"/>
    <w:rsid w:val="4059402F"/>
    <w:rsid w:val="405C1C05"/>
    <w:rsid w:val="405D772B"/>
    <w:rsid w:val="405E3BCF"/>
    <w:rsid w:val="405F1467"/>
    <w:rsid w:val="40630A6C"/>
    <w:rsid w:val="40646D0C"/>
    <w:rsid w:val="40664832"/>
    <w:rsid w:val="406665E0"/>
    <w:rsid w:val="406B009A"/>
    <w:rsid w:val="40723CDF"/>
    <w:rsid w:val="40730CFD"/>
    <w:rsid w:val="40763704"/>
    <w:rsid w:val="407A6407"/>
    <w:rsid w:val="407A652F"/>
    <w:rsid w:val="407A79D6"/>
    <w:rsid w:val="4081166C"/>
    <w:rsid w:val="40827192"/>
    <w:rsid w:val="408353E4"/>
    <w:rsid w:val="40864ED4"/>
    <w:rsid w:val="40866FF7"/>
    <w:rsid w:val="408E3D89"/>
    <w:rsid w:val="408F7457"/>
    <w:rsid w:val="409018CD"/>
    <w:rsid w:val="40910A42"/>
    <w:rsid w:val="40923879"/>
    <w:rsid w:val="40970E8F"/>
    <w:rsid w:val="4099146F"/>
    <w:rsid w:val="4099578D"/>
    <w:rsid w:val="409D0A43"/>
    <w:rsid w:val="40A55471"/>
    <w:rsid w:val="40A57942"/>
    <w:rsid w:val="40A67324"/>
    <w:rsid w:val="40A8309D"/>
    <w:rsid w:val="40AA1674"/>
    <w:rsid w:val="40BB7697"/>
    <w:rsid w:val="40BE0DB2"/>
    <w:rsid w:val="40BE0F76"/>
    <w:rsid w:val="40BE1F8C"/>
    <w:rsid w:val="40C1373E"/>
    <w:rsid w:val="40C63523"/>
    <w:rsid w:val="40C655E2"/>
    <w:rsid w:val="40C67C6D"/>
    <w:rsid w:val="40C74FEA"/>
    <w:rsid w:val="40C854ED"/>
    <w:rsid w:val="40C8729B"/>
    <w:rsid w:val="40CB28E7"/>
    <w:rsid w:val="40CD582B"/>
    <w:rsid w:val="40CF4866"/>
    <w:rsid w:val="40D07EFD"/>
    <w:rsid w:val="40D257AC"/>
    <w:rsid w:val="40D304EF"/>
    <w:rsid w:val="40DA57F1"/>
    <w:rsid w:val="40DE4339"/>
    <w:rsid w:val="40E13EB9"/>
    <w:rsid w:val="40E35E83"/>
    <w:rsid w:val="40EC1096"/>
    <w:rsid w:val="40ED0AAF"/>
    <w:rsid w:val="40F621C4"/>
    <w:rsid w:val="40F67CBC"/>
    <w:rsid w:val="40FA31CC"/>
    <w:rsid w:val="40FC0CF2"/>
    <w:rsid w:val="40FE4A6B"/>
    <w:rsid w:val="40FF07E3"/>
    <w:rsid w:val="410127AD"/>
    <w:rsid w:val="410140EC"/>
    <w:rsid w:val="4101455B"/>
    <w:rsid w:val="410302D3"/>
    <w:rsid w:val="41036525"/>
    <w:rsid w:val="410D6D4A"/>
    <w:rsid w:val="41171FD0"/>
    <w:rsid w:val="411A73CB"/>
    <w:rsid w:val="41202C33"/>
    <w:rsid w:val="4121053E"/>
    <w:rsid w:val="4125649B"/>
    <w:rsid w:val="41281AE7"/>
    <w:rsid w:val="412D48D8"/>
    <w:rsid w:val="412E3DA3"/>
    <w:rsid w:val="41314E40"/>
    <w:rsid w:val="41336AA3"/>
    <w:rsid w:val="4134048C"/>
    <w:rsid w:val="41391F47"/>
    <w:rsid w:val="4139769D"/>
    <w:rsid w:val="413E093E"/>
    <w:rsid w:val="413E6223"/>
    <w:rsid w:val="41405083"/>
    <w:rsid w:val="41441117"/>
    <w:rsid w:val="414601C0"/>
    <w:rsid w:val="414A78DB"/>
    <w:rsid w:val="414B6FDA"/>
    <w:rsid w:val="414F0FC2"/>
    <w:rsid w:val="41516DB4"/>
    <w:rsid w:val="41596145"/>
    <w:rsid w:val="41641FEF"/>
    <w:rsid w:val="416A0352"/>
    <w:rsid w:val="416C5E78"/>
    <w:rsid w:val="416D24A3"/>
    <w:rsid w:val="41726F86"/>
    <w:rsid w:val="41742F7F"/>
    <w:rsid w:val="41766CF7"/>
    <w:rsid w:val="4177481D"/>
    <w:rsid w:val="417D0085"/>
    <w:rsid w:val="418036D2"/>
    <w:rsid w:val="41815E93"/>
    <w:rsid w:val="4183725B"/>
    <w:rsid w:val="41850CE8"/>
    <w:rsid w:val="418A09F4"/>
    <w:rsid w:val="418B6F45"/>
    <w:rsid w:val="418E2292"/>
    <w:rsid w:val="419453CF"/>
    <w:rsid w:val="41A1329E"/>
    <w:rsid w:val="41A354FD"/>
    <w:rsid w:val="41AB3DDC"/>
    <w:rsid w:val="41AF3FB7"/>
    <w:rsid w:val="41B21056"/>
    <w:rsid w:val="41B36CDD"/>
    <w:rsid w:val="41BA23CC"/>
    <w:rsid w:val="41BE5A2A"/>
    <w:rsid w:val="41C12819"/>
    <w:rsid w:val="41C31810"/>
    <w:rsid w:val="41C537DA"/>
    <w:rsid w:val="41C63BEE"/>
    <w:rsid w:val="41C662EF"/>
    <w:rsid w:val="41CA7043"/>
    <w:rsid w:val="41CF2217"/>
    <w:rsid w:val="41D1217F"/>
    <w:rsid w:val="41D8350E"/>
    <w:rsid w:val="41DC3706"/>
    <w:rsid w:val="41DC535C"/>
    <w:rsid w:val="41DD28D2"/>
    <w:rsid w:val="41E023C2"/>
    <w:rsid w:val="41E90D89"/>
    <w:rsid w:val="41E952A1"/>
    <w:rsid w:val="41EC6FB9"/>
    <w:rsid w:val="41EE4ADF"/>
    <w:rsid w:val="41F12821"/>
    <w:rsid w:val="41F145CF"/>
    <w:rsid w:val="41F30347"/>
    <w:rsid w:val="41F52311"/>
    <w:rsid w:val="41F61BE6"/>
    <w:rsid w:val="41FA16D6"/>
    <w:rsid w:val="41FB36A0"/>
    <w:rsid w:val="42004812"/>
    <w:rsid w:val="4205007B"/>
    <w:rsid w:val="420C31B7"/>
    <w:rsid w:val="420E33EE"/>
    <w:rsid w:val="42114C71"/>
    <w:rsid w:val="421309EA"/>
    <w:rsid w:val="421449FF"/>
    <w:rsid w:val="421502BE"/>
    <w:rsid w:val="42165DE4"/>
    <w:rsid w:val="42187DAE"/>
    <w:rsid w:val="421A3B26"/>
    <w:rsid w:val="421D7172"/>
    <w:rsid w:val="42204EB5"/>
    <w:rsid w:val="42291FBB"/>
    <w:rsid w:val="42293D69"/>
    <w:rsid w:val="42295B17"/>
    <w:rsid w:val="422A188F"/>
    <w:rsid w:val="42346AE3"/>
    <w:rsid w:val="423544BC"/>
    <w:rsid w:val="423821FE"/>
    <w:rsid w:val="423A0FD9"/>
    <w:rsid w:val="423A3BCC"/>
    <w:rsid w:val="423B417B"/>
    <w:rsid w:val="424C5CAA"/>
    <w:rsid w:val="424E37D0"/>
    <w:rsid w:val="425154F8"/>
    <w:rsid w:val="4258464E"/>
    <w:rsid w:val="425C413F"/>
    <w:rsid w:val="425D3A13"/>
    <w:rsid w:val="42612D34"/>
    <w:rsid w:val="42645DC4"/>
    <w:rsid w:val="426D634C"/>
    <w:rsid w:val="42721D88"/>
    <w:rsid w:val="427C3081"/>
    <w:rsid w:val="42816FF2"/>
    <w:rsid w:val="42843695"/>
    <w:rsid w:val="42843BC2"/>
    <w:rsid w:val="428561CB"/>
    <w:rsid w:val="428611BC"/>
    <w:rsid w:val="42892A5A"/>
    <w:rsid w:val="428C585C"/>
    <w:rsid w:val="428C60A6"/>
    <w:rsid w:val="428D254A"/>
    <w:rsid w:val="42903DE8"/>
    <w:rsid w:val="42905431"/>
    <w:rsid w:val="4294605B"/>
    <w:rsid w:val="429733C9"/>
    <w:rsid w:val="429B44C9"/>
    <w:rsid w:val="42A35700"/>
    <w:rsid w:val="42A930FC"/>
    <w:rsid w:val="42AA5F72"/>
    <w:rsid w:val="42B52239"/>
    <w:rsid w:val="42B5384F"/>
    <w:rsid w:val="42B775C7"/>
    <w:rsid w:val="42BA42E3"/>
    <w:rsid w:val="42BD444E"/>
    <w:rsid w:val="42C24102"/>
    <w:rsid w:val="42C341BE"/>
    <w:rsid w:val="42C615B8"/>
    <w:rsid w:val="42CA4EAC"/>
    <w:rsid w:val="42D737C5"/>
    <w:rsid w:val="42DA7950"/>
    <w:rsid w:val="42E20147"/>
    <w:rsid w:val="42E3216A"/>
    <w:rsid w:val="42E47C90"/>
    <w:rsid w:val="42E87780"/>
    <w:rsid w:val="42ED1DD1"/>
    <w:rsid w:val="42F205FF"/>
    <w:rsid w:val="42FC76D0"/>
    <w:rsid w:val="430640AA"/>
    <w:rsid w:val="43095B0E"/>
    <w:rsid w:val="430D71E7"/>
    <w:rsid w:val="43122A4F"/>
    <w:rsid w:val="431324CB"/>
    <w:rsid w:val="43140575"/>
    <w:rsid w:val="431449BC"/>
    <w:rsid w:val="43144A19"/>
    <w:rsid w:val="431542ED"/>
    <w:rsid w:val="43197A0C"/>
    <w:rsid w:val="431A3CC7"/>
    <w:rsid w:val="431A7B56"/>
    <w:rsid w:val="431D0717"/>
    <w:rsid w:val="431D372B"/>
    <w:rsid w:val="4320516C"/>
    <w:rsid w:val="432A3DCF"/>
    <w:rsid w:val="432C7597"/>
    <w:rsid w:val="432D5ADB"/>
    <w:rsid w:val="43302ED5"/>
    <w:rsid w:val="433429C6"/>
    <w:rsid w:val="4339622E"/>
    <w:rsid w:val="433A51B1"/>
    <w:rsid w:val="433A6FE6"/>
    <w:rsid w:val="433C5D1E"/>
    <w:rsid w:val="434075BC"/>
    <w:rsid w:val="434123BC"/>
    <w:rsid w:val="43421586"/>
    <w:rsid w:val="43425DA3"/>
    <w:rsid w:val="43443F1E"/>
    <w:rsid w:val="43454BD3"/>
    <w:rsid w:val="4350713C"/>
    <w:rsid w:val="43566DE0"/>
    <w:rsid w:val="435D5832"/>
    <w:rsid w:val="43615785"/>
    <w:rsid w:val="436653E0"/>
    <w:rsid w:val="43672D9B"/>
    <w:rsid w:val="4368266F"/>
    <w:rsid w:val="436D237B"/>
    <w:rsid w:val="43727992"/>
    <w:rsid w:val="43733496"/>
    <w:rsid w:val="437901B2"/>
    <w:rsid w:val="43790D20"/>
    <w:rsid w:val="4379487C"/>
    <w:rsid w:val="437B23A2"/>
    <w:rsid w:val="437E6337"/>
    <w:rsid w:val="438433D3"/>
    <w:rsid w:val="43843DC2"/>
    <w:rsid w:val="43866F99"/>
    <w:rsid w:val="438A4CDB"/>
    <w:rsid w:val="438F40A0"/>
    <w:rsid w:val="43902128"/>
    <w:rsid w:val="43930246"/>
    <w:rsid w:val="439711A6"/>
    <w:rsid w:val="43973DCE"/>
    <w:rsid w:val="43A55671"/>
    <w:rsid w:val="43A86F10"/>
    <w:rsid w:val="43AC6A00"/>
    <w:rsid w:val="43AE6F7D"/>
    <w:rsid w:val="43B00525"/>
    <w:rsid w:val="43B14016"/>
    <w:rsid w:val="43B34232"/>
    <w:rsid w:val="43B35FE0"/>
    <w:rsid w:val="43B41D58"/>
    <w:rsid w:val="43B6162D"/>
    <w:rsid w:val="43B9736F"/>
    <w:rsid w:val="43BB30E7"/>
    <w:rsid w:val="43C006FD"/>
    <w:rsid w:val="43C04259"/>
    <w:rsid w:val="43C24475"/>
    <w:rsid w:val="43C401ED"/>
    <w:rsid w:val="43C71A8C"/>
    <w:rsid w:val="43C81360"/>
    <w:rsid w:val="43C8760E"/>
    <w:rsid w:val="43CD667C"/>
    <w:rsid w:val="43CE2E1A"/>
    <w:rsid w:val="43D45F57"/>
    <w:rsid w:val="43DD305D"/>
    <w:rsid w:val="43DE6DD5"/>
    <w:rsid w:val="43E02B4D"/>
    <w:rsid w:val="43E36C7A"/>
    <w:rsid w:val="43EE526A"/>
    <w:rsid w:val="43F14D5A"/>
    <w:rsid w:val="43F62371"/>
    <w:rsid w:val="44022AC4"/>
    <w:rsid w:val="4404683C"/>
    <w:rsid w:val="44071E88"/>
    <w:rsid w:val="440C749E"/>
    <w:rsid w:val="440E3217"/>
    <w:rsid w:val="441069D6"/>
    <w:rsid w:val="441445A5"/>
    <w:rsid w:val="44150A49"/>
    <w:rsid w:val="44175E54"/>
    <w:rsid w:val="441C7F8A"/>
    <w:rsid w:val="441D78FE"/>
    <w:rsid w:val="44202F4A"/>
    <w:rsid w:val="44222311"/>
    <w:rsid w:val="442229E7"/>
    <w:rsid w:val="44223EC2"/>
    <w:rsid w:val="44226CC2"/>
    <w:rsid w:val="44246EDE"/>
    <w:rsid w:val="44281AE8"/>
    <w:rsid w:val="442D18F9"/>
    <w:rsid w:val="442F1E3B"/>
    <w:rsid w:val="4436368E"/>
    <w:rsid w:val="443D58AA"/>
    <w:rsid w:val="443F7874"/>
    <w:rsid w:val="44450C02"/>
    <w:rsid w:val="44492573"/>
    <w:rsid w:val="445157F9"/>
    <w:rsid w:val="44550E45"/>
    <w:rsid w:val="44557097"/>
    <w:rsid w:val="44567ED7"/>
    <w:rsid w:val="445D7CFA"/>
    <w:rsid w:val="446175D3"/>
    <w:rsid w:val="44625310"/>
    <w:rsid w:val="44661A1F"/>
    <w:rsid w:val="4467501D"/>
    <w:rsid w:val="446A68AD"/>
    <w:rsid w:val="446B0669"/>
    <w:rsid w:val="446E2DED"/>
    <w:rsid w:val="4473751E"/>
    <w:rsid w:val="4486116B"/>
    <w:rsid w:val="44872FC9"/>
    <w:rsid w:val="448B5623"/>
    <w:rsid w:val="448E7078"/>
    <w:rsid w:val="44901E7E"/>
    <w:rsid w:val="44A616A1"/>
    <w:rsid w:val="44A8626A"/>
    <w:rsid w:val="44A973E3"/>
    <w:rsid w:val="44AB4F09"/>
    <w:rsid w:val="44AE67A8"/>
    <w:rsid w:val="44B042CE"/>
    <w:rsid w:val="44B244EA"/>
    <w:rsid w:val="44B5165A"/>
    <w:rsid w:val="44B518E4"/>
    <w:rsid w:val="44B60AAD"/>
    <w:rsid w:val="44B738AE"/>
    <w:rsid w:val="44B83DE4"/>
    <w:rsid w:val="44B85878"/>
    <w:rsid w:val="44BE2E8F"/>
    <w:rsid w:val="44BF2763"/>
    <w:rsid w:val="44C10289"/>
    <w:rsid w:val="44C4421D"/>
    <w:rsid w:val="44C61D43"/>
    <w:rsid w:val="44CB0EE8"/>
    <w:rsid w:val="44CB1108"/>
    <w:rsid w:val="44CB3B1B"/>
    <w:rsid w:val="44CD14E0"/>
    <w:rsid w:val="44CF1BF0"/>
    <w:rsid w:val="44D0671E"/>
    <w:rsid w:val="44D37FBC"/>
    <w:rsid w:val="44E4041B"/>
    <w:rsid w:val="44E4666D"/>
    <w:rsid w:val="44E81CBA"/>
    <w:rsid w:val="44E83CA9"/>
    <w:rsid w:val="44F06DC0"/>
    <w:rsid w:val="44F42EE1"/>
    <w:rsid w:val="44F63F31"/>
    <w:rsid w:val="44F71EFD"/>
    <w:rsid w:val="44F85C75"/>
    <w:rsid w:val="44F87A23"/>
    <w:rsid w:val="44FA379B"/>
    <w:rsid w:val="44FA4815"/>
    <w:rsid w:val="44FE772F"/>
    <w:rsid w:val="45034D45"/>
    <w:rsid w:val="45097E82"/>
    <w:rsid w:val="450A64DC"/>
    <w:rsid w:val="450D7972"/>
    <w:rsid w:val="4511711A"/>
    <w:rsid w:val="451231DA"/>
    <w:rsid w:val="45141548"/>
    <w:rsid w:val="451505D5"/>
    <w:rsid w:val="45156827"/>
    <w:rsid w:val="451669B8"/>
    <w:rsid w:val="4517434D"/>
    <w:rsid w:val="451A3E3D"/>
    <w:rsid w:val="451E56DB"/>
    <w:rsid w:val="452409D7"/>
    <w:rsid w:val="45246A6A"/>
    <w:rsid w:val="4528655A"/>
    <w:rsid w:val="452F5B3A"/>
    <w:rsid w:val="453250A1"/>
    <w:rsid w:val="453D4D6F"/>
    <w:rsid w:val="453F7011"/>
    <w:rsid w:val="454315E6"/>
    <w:rsid w:val="454A2974"/>
    <w:rsid w:val="45505AB1"/>
    <w:rsid w:val="45515F3F"/>
    <w:rsid w:val="455235D7"/>
    <w:rsid w:val="45561AB0"/>
    <w:rsid w:val="45596713"/>
    <w:rsid w:val="455A06DD"/>
    <w:rsid w:val="455A248C"/>
    <w:rsid w:val="45637592"/>
    <w:rsid w:val="456652D4"/>
    <w:rsid w:val="4568104C"/>
    <w:rsid w:val="456926CF"/>
    <w:rsid w:val="456E41DF"/>
    <w:rsid w:val="456E4C88"/>
    <w:rsid w:val="456F738A"/>
    <w:rsid w:val="457479F1"/>
    <w:rsid w:val="457C0A82"/>
    <w:rsid w:val="457E5811"/>
    <w:rsid w:val="458946E9"/>
    <w:rsid w:val="459040FF"/>
    <w:rsid w:val="45911A11"/>
    <w:rsid w:val="45986D8C"/>
    <w:rsid w:val="45992C39"/>
    <w:rsid w:val="45992FB4"/>
    <w:rsid w:val="459B4382"/>
    <w:rsid w:val="45A007E6"/>
    <w:rsid w:val="45A16D05"/>
    <w:rsid w:val="45AD4CB1"/>
    <w:rsid w:val="45AE54CB"/>
    <w:rsid w:val="45B1654F"/>
    <w:rsid w:val="45B26679"/>
    <w:rsid w:val="45B61DB8"/>
    <w:rsid w:val="45B63B66"/>
    <w:rsid w:val="45BD302C"/>
    <w:rsid w:val="45C16A25"/>
    <w:rsid w:val="45CA13BF"/>
    <w:rsid w:val="45CA1598"/>
    <w:rsid w:val="45CA7611"/>
    <w:rsid w:val="45CC5137"/>
    <w:rsid w:val="45CF69D6"/>
    <w:rsid w:val="45D65FB6"/>
    <w:rsid w:val="45DA5812"/>
    <w:rsid w:val="45DE130F"/>
    <w:rsid w:val="45E17E9C"/>
    <w:rsid w:val="45E5269D"/>
    <w:rsid w:val="45E71F71"/>
    <w:rsid w:val="45E87A97"/>
    <w:rsid w:val="45EE5554"/>
    <w:rsid w:val="45F11042"/>
    <w:rsid w:val="45F244DE"/>
    <w:rsid w:val="45F4653A"/>
    <w:rsid w:val="45F67B77"/>
    <w:rsid w:val="45F97EF6"/>
    <w:rsid w:val="45FB654D"/>
    <w:rsid w:val="46001285"/>
    <w:rsid w:val="46014AB2"/>
    <w:rsid w:val="46032B23"/>
    <w:rsid w:val="460C70AB"/>
    <w:rsid w:val="46113D93"/>
    <w:rsid w:val="46146ADE"/>
    <w:rsid w:val="4618037D"/>
    <w:rsid w:val="46184820"/>
    <w:rsid w:val="461B1C1B"/>
    <w:rsid w:val="461D1E37"/>
    <w:rsid w:val="461F516B"/>
    <w:rsid w:val="46207231"/>
    <w:rsid w:val="46244F73"/>
    <w:rsid w:val="46256F3D"/>
    <w:rsid w:val="462907DC"/>
    <w:rsid w:val="462A65A2"/>
    <w:rsid w:val="462C02CC"/>
    <w:rsid w:val="462C5BD6"/>
    <w:rsid w:val="462E5CB9"/>
    <w:rsid w:val="46357180"/>
    <w:rsid w:val="46377A12"/>
    <w:rsid w:val="463902F3"/>
    <w:rsid w:val="463A1ECC"/>
    <w:rsid w:val="463D7073"/>
    <w:rsid w:val="463E0D14"/>
    <w:rsid w:val="4646138E"/>
    <w:rsid w:val="464F5C0D"/>
    <w:rsid w:val="46503FBA"/>
    <w:rsid w:val="46511AE0"/>
    <w:rsid w:val="465515D1"/>
    <w:rsid w:val="46584C1D"/>
    <w:rsid w:val="465D66D7"/>
    <w:rsid w:val="4665558C"/>
    <w:rsid w:val="46670B8F"/>
    <w:rsid w:val="4674757D"/>
    <w:rsid w:val="46753A21"/>
    <w:rsid w:val="46770F87"/>
    <w:rsid w:val="467852BF"/>
    <w:rsid w:val="467B090B"/>
    <w:rsid w:val="467F21AA"/>
    <w:rsid w:val="46821C9A"/>
    <w:rsid w:val="46873754"/>
    <w:rsid w:val="46921B54"/>
    <w:rsid w:val="469519C5"/>
    <w:rsid w:val="469B2D5C"/>
    <w:rsid w:val="46A61E2C"/>
    <w:rsid w:val="46AD52B3"/>
    <w:rsid w:val="46AE0CE1"/>
    <w:rsid w:val="46B300A5"/>
    <w:rsid w:val="46B362F7"/>
    <w:rsid w:val="46B725FF"/>
    <w:rsid w:val="46BB787A"/>
    <w:rsid w:val="46BC0A08"/>
    <w:rsid w:val="46BD2CD2"/>
    <w:rsid w:val="46BF2EEE"/>
    <w:rsid w:val="46BF4C9C"/>
    <w:rsid w:val="46C04C97"/>
    <w:rsid w:val="46C9474D"/>
    <w:rsid w:val="46CA5237"/>
    <w:rsid w:val="46CD355E"/>
    <w:rsid w:val="46D00C57"/>
    <w:rsid w:val="46D36999"/>
    <w:rsid w:val="46D5626E"/>
    <w:rsid w:val="46D70238"/>
    <w:rsid w:val="46D955A7"/>
    <w:rsid w:val="46D97270"/>
    <w:rsid w:val="46DB13AA"/>
    <w:rsid w:val="46DC7CBE"/>
    <w:rsid w:val="46DD15C6"/>
    <w:rsid w:val="46E02B43"/>
    <w:rsid w:val="46E22739"/>
    <w:rsid w:val="46E26BDC"/>
    <w:rsid w:val="46E42955"/>
    <w:rsid w:val="46E44703"/>
    <w:rsid w:val="46E93AC7"/>
    <w:rsid w:val="46ED0E13"/>
    <w:rsid w:val="46F13E60"/>
    <w:rsid w:val="46F56910"/>
    <w:rsid w:val="46F72688"/>
    <w:rsid w:val="47044DA5"/>
    <w:rsid w:val="470923BB"/>
    <w:rsid w:val="470E2EE7"/>
    <w:rsid w:val="470E352E"/>
    <w:rsid w:val="470E79D1"/>
    <w:rsid w:val="471054F8"/>
    <w:rsid w:val="47133957"/>
    <w:rsid w:val="4714323A"/>
    <w:rsid w:val="471919C1"/>
    <w:rsid w:val="471A69C9"/>
    <w:rsid w:val="471F1BDF"/>
    <w:rsid w:val="471F398D"/>
    <w:rsid w:val="472114B3"/>
    <w:rsid w:val="47250D5F"/>
    <w:rsid w:val="472745EF"/>
    <w:rsid w:val="472965B9"/>
    <w:rsid w:val="472D42FC"/>
    <w:rsid w:val="472F1A08"/>
    <w:rsid w:val="473236C0"/>
    <w:rsid w:val="47332F94"/>
    <w:rsid w:val="47342495"/>
    <w:rsid w:val="47356D0C"/>
    <w:rsid w:val="47370CD6"/>
    <w:rsid w:val="4737208D"/>
    <w:rsid w:val="473A4147"/>
    <w:rsid w:val="473E02B7"/>
    <w:rsid w:val="473E2065"/>
    <w:rsid w:val="4743767B"/>
    <w:rsid w:val="474451A1"/>
    <w:rsid w:val="47484C91"/>
    <w:rsid w:val="47503B46"/>
    <w:rsid w:val="47507FEA"/>
    <w:rsid w:val="475353E4"/>
    <w:rsid w:val="47543636"/>
    <w:rsid w:val="47571378"/>
    <w:rsid w:val="475911F7"/>
    <w:rsid w:val="475E6263"/>
    <w:rsid w:val="47613FA5"/>
    <w:rsid w:val="47680E90"/>
    <w:rsid w:val="477041E8"/>
    <w:rsid w:val="477737C9"/>
    <w:rsid w:val="477912EF"/>
    <w:rsid w:val="4779329E"/>
    <w:rsid w:val="477E6905"/>
    <w:rsid w:val="47811F51"/>
    <w:rsid w:val="478A7058"/>
    <w:rsid w:val="478F0FE7"/>
    <w:rsid w:val="478F466E"/>
    <w:rsid w:val="47901267"/>
    <w:rsid w:val="47955FA7"/>
    <w:rsid w:val="479D0AC1"/>
    <w:rsid w:val="479E48B1"/>
    <w:rsid w:val="479E6FA7"/>
    <w:rsid w:val="47A07E0C"/>
    <w:rsid w:val="47A619B8"/>
    <w:rsid w:val="47A829EE"/>
    <w:rsid w:val="47AA594C"/>
    <w:rsid w:val="47AB5220"/>
    <w:rsid w:val="47AD0F98"/>
    <w:rsid w:val="47B746AA"/>
    <w:rsid w:val="47B916EB"/>
    <w:rsid w:val="47BC11DC"/>
    <w:rsid w:val="47BE4F54"/>
    <w:rsid w:val="47BE6D02"/>
    <w:rsid w:val="47BF7F9B"/>
    <w:rsid w:val="47C6205A"/>
    <w:rsid w:val="47CA7D9C"/>
    <w:rsid w:val="47CF7161"/>
    <w:rsid w:val="47D26C51"/>
    <w:rsid w:val="47DB3D58"/>
    <w:rsid w:val="47DB5B06"/>
    <w:rsid w:val="47DC3CA8"/>
    <w:rsid w:val="47DC523D"/>
    <w:rsid w:val="47DD7AD0"/>
    <w:rsid w:val="47DF34E2"/>
    <w:rsid w:val="47E66258"/>
    <w:rsid w:val="47E81FD1"/>
    <w:rsid w:val="47EF37F7"/>
    <w:rsid w:val="47F6293F"/>
    <w:rsid w:val="47FE17F4"/>
    <w:rsid w:val="48030BB8"/>
    <w:rsid w:val="48054931"/>
    <w:rsid w:val="480701F9"/>
    <w:rsid w:val="480A136E"/>
    <w:rsid w:val="480B5E1D"/>
    <w:rsid w:val="481903DC"/>
    <w:rsid w:val="481D7ECC"/>
    <w:rsid w:val="481E59F2"/>
    <w:rsid w:val="481F27F7"/>
    <w:rsid w:val="4820176A"/>
    <w:rsid w:val="48221986"/>
    <w:rsid w:val="48270D4B"/>
    <w:rsid w:val="482B265C"/>
    <w:rsid w:val="482C6361"/>
    <w:rsid w:val="482D3E87"/>
    <w:rsid w:val="48335D86"/>
    <w:rsid w:val="483416BA"/>
    <w:rsid w:val="48345216"/>
    <w:rsid w:val="483671E0"/>
    <w:rsid w:val="483E7E42"/>
    <w:rsid w:val="484216E1"/>
    <w:rsid w:val="48457423"/>
    <w:rsid w:val="4847319B"/>
    <w:rsid w:val="48484C47"/>
    <w:rsid w:val="484C255F"/>
    <w:rsid w:val="484E0AD2"/>
    <w:rsid w:val="485338EE"/>
    <w:rsid w:val="485633DE"/>
    <w:rsid w:val="48580F04"/>
    <w:rsid w:val="485853A8"/>
    <w:rsid w:val="485B4F92"/>
    <w:rsid w:val="485E2293"/>
    <w:rsid w:val="48627FD5"/>
    <w:rsid w:val="48642021"/>
    <w:rsid w:val="48645AFB"/>
    <w:rsid w:val="48650157"/>
    <w:rsid w:val="4867383D"/>
    <w:rsid w:val="48690C2E"/>
    <w:rsid w:val="486A1C17"/>
    <w:rsid w:val="486D24D6"/>
    <w:rsid w:val="486E0728"/>
    <w:rsid w:val="4870272E"/>
    <w:rsid w:val="48723461"/>
    <w:rsid w:val="487675DC"/>
    <w:rsid w:val="487A051B"/>
    <w:rsid w:val="487B1097"/>
    <w:rsid w:val="487C1662"/>
    <w:rsid w:val="48825F81"/>
    <w:rsid w:val="48831CF9"/>
    <w:rsid w:val="48867CD4"/>
    <w:rsid w:val="4889543F"/>
    <w:rsid w:val="48897310"/>
    <w:rsid w:val="488C32A4"/>
    <w:rsid w:val="488F68F0"/>
    <w:rsid w:val="489D2DBB"/>
    <w:rsid w:val="48A36846"/>
    <w:rsid w:val="48A4239B"/>
    <w:rsid w:val="48A534D7"/>
    <w:rsid w:val="48A64365"/>
    <w:rsid w:val="48A73C3A"/>
    <w:rsid w:val="48AA54D8"/>
    <w:rsid w:val="48B325DE"/>
    <w:rsid w:val="48B9571B"/>
    <w:rsid w:val="48BA396D"/>
    <w:rsid w:val="48BA59AE"/>
    <w:rsid w:val="48BB2C0D"/>
    <w:rsid w:val="48BB7D26"/>
    <w:rsid w:val="48BC0D87"/>
    <w:rsid w:val="48BD345D"/>
    <w:rsid w:val="48C04CFB"/>
    <w:rsid w:val="48C04DCB"/>
    <w:rsid w:val="48C26CC5"/>
    <w:rsid w:val="48C4659A"/>
    <w:rsid w:val="48C742DC"/>
    <w:rsid w:val="48C90054"/>
    <w:rsid w:val="48CA7928"/>
    <w:rsid w:val="48CD108C"/>
    <w:rsid w:val="48CD2E1A"/>
    <w:rsid w:val="48D80297"/>
    <w:rsid w:val="48DB1977"/>
    <w:rsid w:val="48DC7D87"/>
    <w:rsid w:val="48DF0B70"/>
    <w:rsid w:val="48E00EFA"/>
    <w:rsid w:val="48EA7AFE"/>
    <w:rsid w:val="48F350D1"/>
    <w:rsid w:val="48FA2E41"/>
    <w:rsid w:val="48FA645F"/>
    <w:rsid w:val="48FC21D7"/>
    <w:rsid w:val="48FF3A76"/>
    <w:rsid w:val="49044BE8"/>
    <w:rsid w:val="490D78A6"/>
    <w:rsid w:val="490E1F0B"/>
    <w:rsid w:val="490E2E80"/>
    <w:rsid w:val="490F3BD6"/>
    <w:rsid w:val="491312CF"/>
    <w:rsid w:val="491A265E"/>
    <w:rsid w:val="491D5CAA"/>
    <w:rsid w:val="491F1F8A"/>
    <w:rsid w:val="491F7C74"/>
    <w:rsid w:val="492139EC"/>
    <w:rsid w:val="49227764"/>
    <w:rsid w:val="49255DFC"/>
    <w:rsid w:val="492732ED"/>
    <w:rsid w:val="49276B29"/>
    <w:rsid w:val="492D05E3"/>
    <w:rsid w:val="49331971"/>
    <w:rsid w:val="4933371F"/>
    <w:rsid w:val="49357497"/>
    <w:rsid w:val="49362ED7"/>
    <w:rsid w:val="49385C0C"/>
    <w:rsid w:val="493C4382"/>
    <w:rsid w:val="493D3419"/>
    <w:rsid w:val="493F0316"/>
    <w:rsid w:val="493F54EA"/>
    <w:rsid w:val="49410206"/>
    <w:rsid w:val="49442815"/>
    <w:rsid w:val="494816E4"/>
    <w:rsid w:val="494B0A69"/>
    <w:rsid w:val="494B472D"/>
    <w:rsid w:val="494B6CBB"/>
    <w:rsid w:val="49585496"/>
    <w:rsid w:val="495A6EFE"/>
    <w:rsid w:val="495E1254"/>
    <w:rsid w:val="495F2766"/>
    <w:rsid w:val="496D7F4F"/>
    <w:rsid w:val="496F62BB"/>
    <w:rsid w:val="497266D3"/>
    <w:rsid w:val="4977360C"/>
    <w:rsid w:val="49777AB0"/>
    <w:rsid w:val="498015D8"/>
    <w:rsid w:val="49804BB7"/>
    <w:rsid w:val="49815D26"/>
    <w:rsid w:val="49816239"/>
    <w:rsid w:val="49817C4D"/>
    <w:rsid w:val="49875199"/>
    <w:rsid w:val="49885DAF"/>
    <w:rsid w:val="498A77E3"/>
    <w:rsid w:val="499046CE"/>
    <w:rsid w:val="499441BE"/>
    <w:rsid w:val="49946280"/>
    <w:rsid w:val="49951AC7"/>
    <w:rsid w:val="49957F36"/>
    <w:rsid w:val="49973CAE"/>
    <w:rsid w:val="499A452E"/>
    <w:rsid w:val="499B7670"/>
    <w:rsid w:val="499F2B63"/>
    <w:rsid w:val="49A03A49"/>
    <w:rsid w:val="49A32653"/>
    <w:rsid w:val="49A3380F"/>
    <w:rsid w:val="49A50A8A"/>
    <w:rsid w:val="49A81A70"/>
    <w:rsid w:val="49A918FB"/>
    <w:rsid w:val="49AA1FDC"/>
    <w:rsid w:val="49AA31B5"/>
    <w:rsid w:val="49AB775A"/>
    <w:rsid w:val="49AE2DA6"/>
    <w:rsid w:val="49AF0FF8"/>
    <w:rsid w:val="49BA799D"/>
    <w:rsid w:val="49BC2721"/>
    <w:rsid w:val="49C56A6D"/>
    <w:rsid w:val="49CF169A"/>
    <w:rsid w:val="49D2118A"/>
    <w:rsid w:val="49D40682"/>
    <w:rsid w:val="49D61FF8"/>
    <w:rsid w:val="49D7054F"/>
    <w:rsid w:val="49D767A1"/>
    <w:rsid w:val="49D96147"/>
    <w:rsid w:val="49DB5E2A"/>
    <w:rsid w:val="49DC3DB7"/>
    <w:rsid w:val="49DC7715"/>
    <w:rsid w:val="49E01723"/>
    <w:rsid w:val="49E07403"/>
    <w:rsid w:val="49E1317B"/>
    <w:rsid w:val="49E968C3"/>
    <w:rsid w:val="49EC224C"/>
    <w:rsid w:val="49EF3AEA"/>
    <w:rsid w:val="49F033BE"/>
    <w:rsid w:val="49F92273"/>
    <w:rsid w:val="49FB423D"/>
    <w:rsid w:val="49FC1D63"/>
    <w:rsid w:val="49FD6207"/>
    <w:rsid w:val="4A001853"/>
    <w:rsid w:val="4A023139"/>
    <w:rsid w:val="4A0328F9"/>
    <w:rsid w:val="4A044A63"/>
    <w:rsid w:val="4A0B1011"/>
    <w:rsid w:val="4A0D21C2"/>
    <w:rsid w:val="4A0D5D1E"/>
    <w:rsid w:val="4A0F5F3A"/>
    <w:rsid w:val="4A0F7CE8"/>
    <w:rsid w:val="4A11580F"/>
    <w:rsid w:val="4A17094B"/>
    <w:rsid w:val="4A174DEF"/>
    <w:rsid w:val="4A1E5D46"/>
    <w:rsid w:val="4A1E617D"/>
    <w:rsid w:val="4A247CED"/>
    <w:rsid w:val="4A253068"/>
    <w:rsid w:val="4A27000B"/>
    <w:rsid w:val="4A2819C9"/>
    <w:rsid w:val="4A2C2648"/>
    <w:rsid w:val="4A312113"/>
    <w:rsid w:val="4A3239D7"/>
    <w:rsid w:val="4A353E64"/>
    <w:rsid w:val="4A3634C7"/>
    <w:rsid w:val="4A38723F"/>
    <w:rsid w:val="4A392FB7"/>
    <w:rsid w:val="4A3B0ADD"/>
    <w:rsid w:val="4A3C260E"/>
    <w:rsid w:val="4A3C70D0"/>
    <w:rsid w:val="4A435BE4"/>
    <w:rsid w:val="4A4756D4"/>
    <w:rsid w:val="4A492030"/>
    <w:rsid w:val="4A4D606C"/>
    <w:rsid w:val="4A5D6CA6"/>
    <w:rsid w:val="4A600544"/>
    <w:rsid w:val="4A6022F2"/>
    <w:rsid w:val="4A633B90"/>
    <w:rsid w:val="4A6873F9"/>
    <w:rsid w:val="4A695243"/>
    <w:rsid w:val="4A6A3171"/>
    <w:rsid w:val="4A730277"/>
    <w:rsid w:val="4A767D68"/>
    <w:rsid w:val="4A791606"/>
    <w:rsid w:val="4A7A7858"/>
    <w:rsid w:val="4A7B576F"/>
    <w:rsid w:val="4A7D4C52"/>
    <w:rsid w:val="4A7E09CA"/>
    <w:rsid w:val="4A82495E"/>
    <w:rsid w:val="4A82670C"/>
    <w:rsid w:val="4A851D59"/>
    <w:rsid w:val="4A857FAB"/>
    <w:rsid w:val="4A8723E4"/>
    <w:rsid w:val="4A8C38A0"/>
    <w:rsid w:val="4A8E09AD"/>
    <w:rsid w:val="4A8F4985"/>
    <w:rsid w:val="4A914BA1"/>
    <w:rsid w:val="4A987CDE"/>
    <w:rsid w:val="4A9B05A9"/>
    <w:rsid w:val="4A9B77CE"/>
    <w:rsid w:val="4A9D52F4"/>
    <w:rsid w:val="4AA2290B"/>
    <w:rsid w:val="4AA30431"/>
    <w:rsid w:val="4AA743C5"/>
    <w:rsid w:val="4AAA6481"/>
    <w:rsid w:val="4AAD305D"/>
    <w:rsid w:val="4AAE5753"/>
    <w:rsid w:val="4AAF6887"/>
    <w:rsid w:val="4AB04516"/>
    <w:rsid w:val="4AB16FF2"/>
    <w:rsid w:val="4AB50890"/>
    <w:rsid w:val="4ABA7398"/>
    <w:rsid w:val="4ABD30CC"/>
    <w:rsid w:val="4ABE5084"/>
    <w:rsid w:val="4AC07235"/>
    <w:rsid w:val="4AC14F54"/>
    <w:rsid w:val="4ACA3C0F"/>
    <w:rsid w:val="4AD11442"/>
    <w:rsid w:val="4AD36F68"/>
    <w:rsid w:val="4AD5073A"/>
    <w:rsid w:val="4AD60806"/>
    <w:rsid w:val="4AD8632C"/>
    <w:rsid w:val="4ADD0B44"/>
    <w:rsid w:val="4ADE7383"/>
    <w:rsid w:val="4ADF355A"/>
    <w:rsid w:val="4AE051E1"/>
    <w:rsid w:val="4AE5022F"/>
    <w:rsid w:val="4AE7656F"/>
    <w:rsid w:val="4AE76CFB"/>
    <w:rsid w:val="4AEA4061"/>
    <w:rsid w:val="4AEE3DA2"/>
    <w:rsid w:val="4AEE5B50"/>
    <w:rsid w:val="4AF3760A"/>
    <w:rsid w:val="4AF60EA8"/>
    <w:rsid w:val="4AF95AE8"/>
    <w:rsid w:val="4AFB026D"/>
    <w:rsid w:val="4AFE2ACC"/>
    <w:rsid w:val="4B045373"/>
    <w:rsid w:val="4B0B6702"/>
    <w:rsid w:val="4B0E2E17"/>
    <w:rsid w:val="4B117926"/>
    <w:rsid w:val="4B15132F"/>
    <w:rsid w:val="4B1530DD"/>
    <w:rsid w:val="4B182BCD"/>
    <w:rsid w:val="4B187071"/>
    <w:rsid w:val="4B1A06F3"/>
    <w:rsid w:val="4B1A6945"/>
    <w:rsid w:val="4B1C0C8A"/>
    <w:rsid w:val="4B1D4687"/>
    <w:rsid w:val="4B271062"/>
    <w:rsid w:val="4B2A0FBC"/>
    <w:rsid w:val="4B2C48CA"/>
    <w:rsid w:val="4B307F16"/>
    <w:rsid w:val="4B3774F7"/>
    <w:rsid w:val="4B386DCB"/>
    <w:rsid w:val="4B3B7271"/>
    <w:rsid w:val="4B3F0159"/>
    <w:rsid w:val="4B471143"/>
    <w:rsid w:val="4B48362D"/>
    <w:rsid w:val="4B4B4D50"/>
    <w:rsid w:val="4B4C2876"/>
    <w:rsid w:val="4B4E4879"/>
    <w:rsid w:val="4B524331"/>
    <w:rsid w:val="4B5856BF"/>
    <w:rsid w:val="4B591E21"/>
    <w:rsid w:val="4B5C0D0B"/>
    <w:rsid w:val="4B5F07FC"/>
    <w:rsid w:val="4B5F09E6"/>
    <w:rsid w:val="4B6422B6"/>
    <w:rsid w:val="4B6573C5"/>
    <w:rsid w:val="4B667DDC"/>
    <w:rsid w:val="4B6814D6"/>
    <w:rsid w:val="4B681D46"/>
    <w:rsid w:val="4B683B54"/>
    <w:rsid w:val="4B6978CC"/>
    <w:rsid w:val="4B6C4CC7"/>
    <w:rsid w:val="4B6D2F19"/>
    <w:rsid w:val="4B702A09"/>
    <w:rsid w:val="4B777E35"/>
    <w:rsid w:val="4B797B0F"/>
    <w:rsid w:val="4B7C13AE"/>
    <w:rsid w:val="4B7D0C82"/>
    <w:rsid w:val="4B7D55E8"/>
    <w:rsid w:val="4B7F2C4C"/>
    <w:rsid w:val="4B83098E"/>
    <w:rsid w:val="4B842010"/>
    <w:rsid w:val="4B8509FE"/>
    <w:rsid w:val="4B865D88"/>
    <w:rsid w:val="4B9506C1"/>
    <w:rsid w:val="4B977F95"/>
    <w:rsid w:val="4B9A1834"/>
    <w:rsid w:val="4B9E1324"/>
    <w:rsid w:val="4B9F509C"/>
    <w:rsid w:val="4BA10E14"/>
    <w:rsid w:val="4BA34B8C"/>
    <w:rsid w:val="4BA426B2"/>
    <w:rsid w:val="4BA821A3"/>
    <w:rsid w:val="4BA97CC9"/>
    <w:rsid w:val="4BAB57EF"/>
    <w:rsid w:val="4BAD5A0B"/>
    <w:rsid w:val="4BB26B7D"/>
    <w:rsid w:val="4BB328F5"/>
    <w:rsid w:val="4BB5041C"/>
    <w:rsid w:val="4BB52B12"/>
    <w:rsid w:val="4BBA3C84"/>
    <w:rsid w:val="4BBC5C4E"/>
    <w:rsid w:val="4BBF594C"/>
    <w:rsid w:val="4BC863A1"/>
    <w:rsid w:val="4BC93E36"/>
    <w:rsid w:val="4BCE14DD"/>
    <w:rsid w:val="4BD3035B"/>
    <w:rsid w:val="4BD626E7"/>
    <w:rsid w:val="4BD755BD"/>
    <w:rsid w:val="4BD765E4"/>
    <w:rsid w:val="4BD94FE4"/>
    <w:rsid w:val="4BDA60D4"/>
    <w:rsid w:val="4BDE3E16"/>
    <w:rsid w:val="4BDE7972"/>
    <w:rsid w:val="4BE156B5"/>
    <w:rsid w:val="4BE45A77"/>
    <w:rsid w:val="4BE64A79"/>
    <w:rsid w:val="4BEA27BB"/>
    <w:rsid w:val="4BEB6533"/>
    <w:rsid w:val="4BED69DE"/>
    <w:rsid w:val="4BF54CBC"/>
    <w:rsid w:val="4BF70A34"/>
    <w:rsid w:val="4BF74ED8"/>
    <w:rsid w:val="4BF76165"/>
    <w:rsid w:val="4BF90C50"/>
    <w:rsid w:val="4BFC604B"/>
    <w:rsid w:val="4C0118B3"/>
    <w:rsid w:val="4C0D2006"/>
    <w:rsid w:val="4C0D64AA"/>
    <w:rsid w:val="4C107D48"/>
    <w:rsid w:val="4C12586E"/>
    <w:rsid w:val="4C15535E"/>
    <w:rsid w:val="4C177328"/>
    <w:rsid w:val="4C196BFC"/>
    <w:rsid w:val="4C1B2975"/>
    <w:rsid w:val="4C1E2465"/>
    <w:rsid w:val="4C207F8B"/>
    <w:rsid w:val="4C215AB1"/>
    <w:rsid w:val="4C2832E3"/>
    <w:rsid w:val="4C2F01CE"/>
    <w:rsid w:val="4C304E69"/>
    <w:rsid w:val="4C3103EA"/>
    <w:rsid w:val="4C343841"/>
    <w:rsid w:val="4C3B6274"/>
    <w:rsid w:val="4C3C28EB"/>
    <w:rsid w:val="4C42680C"/>
    <w:rsid w:val="4C4338E3"/>
    <w:rsid w:val="4C435948"/>
    <w:rsid w:val="4C4A0649"/>
    <w:rsid w:val="4C4A2479"/>
    <w:rsid w:val="4C4C6FD2"/>
    <w:rsid w:val="4C51283A"/>
    <w:rsid w:val="4C516396"/>
    <w:rsid w:val="4C5E1AE1"/>
    <w:rsid w:val="4C63431C"/>
    <w:rsid w:val="4C675BBA"/>
    <w:rsid w:val="4C6836E0"/>
    <w:rsid w:val="4C6B091A"/>
    <w:rsid w:val="4C716A38"/>
    <w:rsid w:val="4C744019"/>
    <w:rsid w:val="4C786019"/>
    <w:rsid w:val="4C7C718B"/>
    <w:rsid w:val="4C804ECE"/>
    <w:rsid w:val="4C8147A2"/>
    <w:rsid w:val="4C9857B2"/>
    <w:rsid w:val="4C9D782D"/>
    <w:rsid w:val="4CA02E7A"/>
    <w:rsid w:val="4CA26BF2"/>
    <w:rsid w:val="4CA412EE"/>
    <w:rsid w:val="4CA50490"/>
    <w:rsid w:val="4CA961D2"/>
    <w:rsid w:val="4CAE1A3B"/>
    <w:rsid w:val="4CB16E35"/>
    <w:rsid w:val="4CB22BAD"/>
    <w:rsid w:val="4CB32CFF"/>
    <w:rsid w:val="4CBF59F6"/>
    <w:rsid w:val="4CC0176E"/>
    <w:rsid w:val="4CC2206D"/>
    <w:rsid w:val="4CC4300C"/>
    <w:rsid w:val="4CC528E0"/>
    <w:rsid w:val="4CC622E8"/>
    <w:rsid w:val="4CC72AFC"/>
    <w:rsid w:val="4CCE58CF"/>
    <w:rsid w:val="4CCF375F"/>
    <w:rsid w:val="4CD15729"/>
    <w:rsid w:val="4CD40D75"/>
    <w:rsid w:val="4CD62D3F"/>
    <w:rsid w:val="4CD82614"/>
    <w:rsid w:val="4CDD5E7C"/>
    <w:rsid w:val="4CDE0C9F"/>
    <w:rsid w:val="4CDE39A2"/>
    <w:rsid w:val="4CE30FB8"/>
    <w:rsid w:val="4CE42B3C"/>
    <w:rsid w:val="4CE470D3"/>
    <w:rsid w:val="4CEA0599"/>
    <w:rsid w:val="4CEF5BAF"/>
    <w:rsid w:val="4CF077D9"/>
    <w:rsid w:val="4CFB6302"/>
    <w:rsid w:val="4D023C3A"/>
    <w:rsid w:val="4D0347ED"/>
    <w:rsid w:val="4D04450E"/>
    <w:rsid w:val="4D0A4797"/>
    <w:rsid w:val="4D1004F6"/>
    <w:rsid w:val="4D153868"/>
    <w:rsid w:val="4D1D44CA"/>
    <w:rsid w:val="4D20220D"/>
    <w:rsid w:val="4D2770F7"/>
    <w:rsid w:val="4D302450"/>
    <w:rsid w:val="4D355CB8"/>
    <w:rsid w:val="4D3B1C54"/>
    <w:rsid w:val="4D3F481B"/>
    <w:rsid w:val="4D410CA2"/>
    <w:rsid w:val="4D41465D"/>
    <w:rsid w:val="4D4203D5"/>
    <w:rsid w:val="4D430005"/>
    <w:rsid w:val="4D467EC5"/>
    <w:rsid w:val="4D4A6344"/>
    <w:rsid w:val="4D4C3002"/>
    <w:rsid w:val="4D4E5624"/>
    <w:rsid w:val="4D5048A0"/>
    <w:rsid w:val="4D511823"/>
    <w:rsid w:val="4D534390"/>
    <w:rsid w:val="4D53613E"/>
    <w:rsid w:val="4D551EB6"/>
    <w:rsid w:val="4D5C1497"/>
    <w:rsid w:val="4D5D0D6B"/>
    <w:rsid w:val="4D5F2D35"/>
    <w:rsid w:val="4D622825"/>
    <w:rsid w:val="4D6473B4"/>
    <w:rsid w:val="4D6E34CC"/>
    <w:rsid w:val="4D70238D"/>
    <w:rsid w:val="4D73058E"/>
    <w:rsid w:val="4D754306"/>
    <w:rsid w:val="4D7F6F33"/>
    <w:rsid w:val="4D806F98"/>
    <w:rsid w:val="4D814A59"/>
    <w:rsid w:val="4D84279B"/>
    <w:rsid w:val="4D8E361A"/>
    <w:rsid w:val="4D8F45EB"/>
    <w:rsid w:val="4D956757"/>
    <w:rsid w:val="4D986247"/>
    <w:rsid w:val="4D9E78F3"/>
    <w:rsid w:val="4DA326D4"/>
    <w:rsid w:val="4DA60964"/>
    <w:rsid w:val="4DA60C49"/>
    <w:rsid w:val="4DA67FC9"/>
    <w:rsid w:val="4DA70238"/>
    <w:rsid w:val="4DA846DC"/>
    <w:rsid w:val="4DA8622E"/>
    <w:rsid w:val="4DAE0572"/>
    <w:rsid w:val="4DAE15C6"/>
    <w:rsid w:val="4DAE7818"/>
    <w:rsid w:val="4DB43081"/>
    <w:rsid w:val="4DB632A5"/>
    <w:rsid w:val="4DC66910"/>
    <w:rsid w:val="4DCD7C9F"/>
    <w:rsid w:val="4DCE2B1A"/>
    <w:rsid w:val="4DD23507"/>
    <w:rsid w:val="4DDC73DC"/>
    <w:rsid w:val="4DDF5C24"/>
    <w:rsid w:val="4DE21C50"/>
    <w:rsid w:val="4DEC4FB0"/>
    <w:rsid w:val="4DED0341"/>
    <w:rsid w:val="4DED6593"/>
    <w:rsid w:val="4DEF6FAE"/>
    <w:rsid w:val="4DFA0CB0"/>
    <w:rsid w:val="4E037B64"/>
    <w:rsid w:val="4E075D8A"/>
    <w:rsid w:val="4E09200C"/>
    <w:rsid w:val="4E0B07C7"/>
    <w:rsid w:val="4E0F6509"/>
    <w:rsid w:val="4E141D71"/>
    <w:rsid w:val="4E1C6E78"/>
    <w:rsid w:val="4E1E674C"/>
    <w:rsid w:val="4E265601"/>
    <w:rsid w:val="4E2B4904"/>
    <w:rsid w:val="4E2D2E33"/>
    <w:rsid w:val="4E2F00CD"/>
    <w:rsid w:val="4E30022D"/>
    <w:rsid w:val="4E3046D1"/>
    <w:rsid w:val="4E30647F"/>
    <w:rsid w:val="4E361CE8"/>
    <w:rsid w:val="4E377A81"/>
    <w:rsid w:val="4E393586"/>
    <w:rsid w:val="4E3C6BD2"/>
    <w:rsid w:val="4E3E294A"/>
    <w:rsid w:val="4E3E386B"/>
    <w:rsid w:val="4E3E6DEE"/>
    <w:rsid w:val="4E41243B"/>
    <w:rsid w:val="4E4B5067"/>
    <w:rsid w:val="4E4E3531"/>
    <w:rsid w:val="4E4F21B5"/>
    <w:rsid w:val="4E5008D0"/>
    <w:rsid w:val="4E516B22"/>
    <w:rsid w:val="4E52289A"/>
    <w:rsid w:val="4E557B71"/>
    <w:rsid w:val="4E593C28"/>
    <w:rsid w:val="4E5B17E2"/>
    <w:rsid w:val="4E612B82"/>
    <w:rsid w:val="4E65437B"/>
    <w:rsid w:val="4E6C0560"/>
    <w:rsid w:val="4E6C5709"/>
    <w:rsid w:val="4E720DB0"/>
    <w:rsid w:val="4E7445BE"/>
    <w:rsid w:val="4E796078"/>
    <w:rsid w:val="4E870795"/>
    <w:rsid w:val="4E87155B"/>
    <w:rsid w:val="4E87437C"/>
    <w:rsid w:val="4E8C2811"/>
    <w:rsid w:val="4E922C96"/>
    <w:rsid w:val="4E9764FE"/>
    <w:rsid w:val="4E9B7D9D"/>
    <w:rsid w:val="4EA43198"/>
    <w:rsid w:val="4EA84268"/>
    <w:rsid w:val="4EAA6232"/>
    <w:rsid w:val="4EAC3D58"/>
    <w:rsid w:val="4EAF3848"/>
    <w:rsid w:val="4EB3158A"/>
    <w:rsid w:val="4EB64BD7"/>
    <w:rsid w:val="4EB81371"/>
    <w:rsid w:val="4EB90223"/>
    <w:rsid w:val="4EBE7F2F"/>
    <w:rsid w:val="4EC72940"/>
    <w:rsid w:val="4EC8490A"/>
    <w:rsid w:val="4EC927B3"/>
    <w:rsid w:val="4ECA68D4"/>
    <w:rsid w:val="4ED355A0"/>
    <w:rsid w:val="4ED3756D"/>
    <w:rsid w:val="4ED432AF"/>
    <w:rsid w:val="4ED4505D"/>
    <w:rsid w:val="4ED92673"/>
    <w:rsid w:val="4ED96B17"/>
    <w:rsid w:val="4EDB288F"/>
    <w:rsid w:val="4EDB4BC8"/>
    <w:rsid w:val="4EDD03B5"/>
    <w:rsid w:val="4EDE412D"/>
    <w:rsid w:val="4EDF257D"/>
    <w:rsid w:val="4EE17099"/>
    <w:rsid w:val="4EE41F76"/>
    <w:rsid w:val="4EE51C25"/>
    <w:rsid w:val="4EE527CC"/>
    <w:rsid w:val="4EE85483"/>
    <w:rsid w:val="4EEA2AD2"/>
    <w:rsid w:val="4EEE25C2"/>
    <w:rsid w:val="4EF474AD"/>
    <w:rsid w:val="4EF94AC3"/>
    <w:rsid w:val="4EFD45B3"/>
    <w:rsid w:val="4F0022F6"/>
    <w:rsid w:val="4F033DD3"/>
    <w:rsid w:val="4F053468"/>
    <w:rsid w:val="4F0C0C9A"/>
    <w:rsid w:val="4F0D4088"/>
    <w:rsid w:val="4F0E4A13"/>
    <w:rsid w:val="4F0E67C1"/>
    <w:rsid w:val="4F1638C7"/>
    <w:rsid w:val="4F18319B"/>
    <w:rsid w:val="4F18763F"/>
    <w:rsid w:val="4F1D07B2"/>
    <w:rsid w:val="4F1D2EA8"/>
    <w:rsid w:val="4F202C68"/>
    <w:rsid w:val="4F2908FF"/>
    <w:rsid w:val="4F29184C"/>
    <w:rsid w:val="4F297FE9"/>
    <w:rsid w:val="4F2D0968"/>
    <w:rsid w:val="4F2E29BF"/>
    <w:rsid w:val="4F334479"/>
    <w:rsid w:val="4F361873"/>
    <w:rsid w:val="4F3855EC"/>
    <w:rsid w:val="4F3B1580"/>
    <w:rsid w:val="4F3D70A6"/>
    <w:rsid w:val="4F4847FE"/>
    <w:rsid w:val="4F495A4B"/>
    <w:rsid w:val="4F4A531F"/>
    <w:rsid w:val="4F4C1097"/>
    <w:rsid w:val="4F50502B"/>
    <w:rsid w:val="4F552641"/>
    <w:rsid w:val="4F5A30F9"/>
    <w:rsid w:val="4F5A7C58"/>
    <w:rsid w:val="4F5B752C"/>
    <w:rsid w:val="4F5F0DCA"/>
    <w:rsid w:val="4F5F701C"/>
    <w:rsid w:val="4F6005A7"/>
    <w:rsid w:val="4F602D94"/>
    <w:rsid w:val="4F636270"/>
    <w:rsid w:val="4F6603AB"/>
    <w:rsid w:val="4F6E3703"/>
    <w:rsid w:val="4F702FD7"/>
    <w:rsid w:val="4F704CF0"/>
    <w:rsid w:val="4F732AC8"/>
    <w:rsid w:val="4F7506C0"/>
    <w:rsid w:val="4F7B197C"/>
    <w:rsid w:val="4F7D3946"/>
    <w:rsid w:val="4F7F321A"/>
    <w:rsid w:val="4F884993"/>
    <w:rsid w:val="4F885589"/>
    <w:rsid w:val="4F8B1BBF"/>
    <w:rsid w:val="4F8E237C"/>
    <w:rsid w:val="4F9A62A6"/>
    <w:rsid w:val="4F9D5D96"/>
    <w:rsid w:val="4FA40ED3"/>
    <w:rsid w:val="4FA54744"/>
    <w:rsid w:val="4FA7451F"/>
    <w:rsid w:val="4FAC0994"/>
    <w:rsid w:val="4FAC7D88"/>
    <w:rsid w:val="4FAD422B"/>
    <w:rsid w:val="4FB01626"/>
    <w:rsid w:val="4FB44097"/>
    <w:rsid w:val="4FBD3D43"/>
    <w:rsid w:val="4FBF7ABB"/>
    <w:rsid w:val="4FC13833"/>
    <w:rsid w:val="4FC357FD"/>
    <w:rsid w:val="4FC43323"/>
    <w:rsid w:val="4FC62A8C"/>
    <w:rsid w:val="4FC77446"/>
    <w:rsid w:val="4FD96283"/>
    <w:rsid w:val="4FDA2B47"/>
    <w:rsid w:val="4FDD1302"/>
    <w:rsid w:val="4FDE2637"/>
    <w:rsid w:val="4FE20F0D"/>
    <w:rsid w:val="4FE47521"/>
    <w:rsid w:val="4FE87012"/>
    <w:rsid w:val="4FED182E"/>
    <w:rsid w:val="4FED4628"/>
    <w:rsid w:val="4FF37764"/>
    <w:rsid w:val="4FF9121F"/>
    <w:rsid w:val="4FFA5313"/>
    <w:rsid w:val="4FFA6D45"/>
    <w:rsid w:val="4FFD05E3"/>
    <w:rsid w:val="5006393C"/>
    <w:rsid w:val="500656EA"/>
    <w:rsid w:val="500B0F52"/>
    <w:rsid w:val="500B6350"/>
    <w:rsid w:val="500D0826"/>
    <w:rsid w:val="50100316"/>
    <w:rsid w:val="501047BA"/>
    <w:rsid w:val="501279DB"/>
    <w:rsid w:val="50153B7F"/>
    <w:rsid w:val="501B6F55"/>
    <w:rsid w:val="501E5995"/>
    <w:rsid w:val="501F67AB"/>
    <w:rsid w:val="50212524"/>
    <w:rsid w:val="502301D1"/>
    <w:rsid w:val="502618E8"/>
    <w:rsid w:val="5026469F"/>
    <w:rsid w:val="502A587C"/>
    <w:rsid w:val="502D2C76"/>
    <w:rsid w:val="503234D1"/>
    <w:rsid w:val="503A5393"/>
    <w:rsid w:val="50446212"/>
    <w:rsid w:val="50454464"/>
    <w:rsid w:val="504637E5"/>
    <w:rsid w:val="504908E4"/>
    <w:rsid w:val="504A4F1C"/>
    <w:rsid w:val="504D156B"/>
    <w:rsid w:val="50503AAD"/>
    <w:rsid w:val="50504C4B"/>
    <w:rsid w:val="50506965"/>
    <w:rsid w:val="5051105B"/>
    <w:rsid w:val="50521F46"/>
    <w:rsid w:val="50546455"/>
    <w:rsid w:val="505521CD"/>
    <w:rsid w:val="50566671"/>
    <w:rsid w:val="50575F45"/>
    <w:rsid w:val="50593A6B"/>
    <w:rsid w:val="505A5A36"/>
    <w:rsid w:val="505C3EB2"/>
    <w:rsid w:val="505C7A00"/>
    <w:rsid w:val="505F4DFA"/>
    <w:rsid w:val="50616DC4"/>
    <w:rsid w:val="506403BE"/>
    <w:rsid w:val="50650662"/>
    <w:rsid w:val="506955FB"/>
    <w:rsid w:val="506A3ECB"/>
    <w:rsid w:val="506A5C79"/>
    <w:rsid w:val="506B379F"/>
    <w:rsid w:val="506E0C6B"/>
    <w:rsid w:val="506F7733"/>
    <w:rsid w:val="50720FD1"/>
    <w:rsid w:val="50724B2D"/>
    <w:rsid w:val="50753F57"/>
    <w:rsid w:val="5075461D"/>
    <w:rsid w:val="50770396"/>
    <w:rsid w:val="50772144"/>
    <w:rsid w:val="507904F4"/>
    <w:rsid w:val="507A1C34"/>
    <w:rsid w:val="5080549C"/>
    <w:rsid w:val="50867BFF"/>
    <w:rsid w:val="508825A3"/>
    <w:rsid w:val="508B5BEF"/>
    <w:rsid w:val="509176A9"/>
    <w:rsid w:val="509623AA"/>
    <w:rsid w:val="5099030C"/>
    <w:rsid w:val="509947B0"/>
    <w:rsid w:val="509C6E7C"/>
    <w:rsid w:val="509D6FF7"/>
    <w:rsid w:val="509E57AB"/>
    <w:rsid w:val="50A70C7B"/>
    <w:rsid w:val="50A97291"/>
    <w:rsid w:val="50AA42C7"/>
    <w:rsid w:val="50AD3DB7"/>
    <w:rsid w:val="50B43398"/>
    <w:rsid w:val="50B909AE"/>
    <w:rsid w:val="50BE7D72"/>
    <w:rsid w:val="50C15A67"/>
    <w:rsid w:val="50CA3508"/>
    <w:rsid w:val="50CA6717"/>
    <w:rsid w:val="50CD6207"/>
    <w:rsid w:val="50D22EE7"/>
    <w:rsid w:val="50D36B6C"/>
    <w:rsid w:val="50DD32E6"/>
    <w:rsid w:val="50DD469C"/>
    <w:rsid w:val="50E75601"/>
    <w:rsid w:val="50E84F15"/>
    <w:rsid w:val="50EA4404"/>
    <w:rsid w:val="50ED0658"/>
    <w:rsid w:val="50EF617E"/>
    <w:rsid w:val="50F33496"/>
    <w:rsid w:val="50F432F0"/>
    <w:rsid w:val="50F73284"/>
    <w:rsid w:val="50FE4613"/>
    <w:rsid w:val="51002483"/>
    <w:rsid w:val="5100482F"/>
    <w:rsid w:val="51024103"/>
    <w:rsid w:val="51037E7B"/>
    <w:rsid w:val="510559A1"/>
    <w:rsid w:val="51071719"/>
    <w:rsid w:val="51121E6C"/>
    <w:rsid w:val="51143E36"/>
    <w:rsid w:val="511778D1"/>
    <w:rsid w:val="51192505"/>
    <w:rsid w:val="511D0F3D"/>
    <w:rsid w:val="511D718F"/>
    <w:rsid w:val="51206ED5"/>
    <w:rsid w:val="51220612"/>
    <w:rsid w:val="51226553"/>
    <w:rsid w:val="51271F7E"/>
    <w:rsid w:val="51273B6A"/>
    <w:rsid w:val="51275918"/>
    <w:rsid w:val="51281690"/>
    <w:rsid w:val="5131339E"/>
    <w:rsid w:val="513168B9"/>
    <w:rsid w:val="513358DF"/>
    <w:rsid w:val="5139389D"/>
    <w:rsid w:val="513A0C0E"/>
    <w:rsid w:val="513A6B13"/>
    <w:rsid w:val="513D513B"/>
    <w:rsid w:val="513E0EB3"/>
    <w:rsid w:val="513F5357"/>
    <w:rsid w:val="514566E6"/>
    <w:rsid w:val="51493AE0"/>
    <w:rsid w:val="514B18D1"/>
    <w:rsid w:val="514D0982"/>
    <w:rsid w:val="514F4E6E"/>
    <w:rsid w:val="51532BB1"/>
    <w:rsid w:val="51576E82"/>
    <w:rsid w:val="515801C7"/>
    <w:rsid w:val="51591E29"/>
    <w:rsid w:val="5160707C"/>
    <w:rsid w:val="5162104E"/>
    <w:rsid w:val="51631640"/>
    <w:rsid w:val="51674A18"/>
    <w:rsid w:val="5167665C"/>
    <w:rsid w:val="516B614C"/>
    <w:rsid w:val="516E6ED8"/>
    <w:rsid w:val="51702517"/>
    <w:rsid w:val="51711289"/>
    <w:rsid w:val="5176064D"/>
    <w:rsid w:val="517B2107"/>
    <w:rsid w:val="517D214D"/>
    <w:rsid w:val="518014CC"/>
    <w:rsid w:val="51874608"/>
    <w:rsid w:val="518A40F8"/>
    <w:rsid w:val="518A5306"/>
    <w:rsid w:val="519531C9"/>
    <w:rsid w:val="5196484B"/>
    <w:rsid w:val="519A433C"/>
    <w:rsid w:val="519B00B4"/>
    <w:rsid w:val="519F5DF6"/>
    <w:rsid w:val="51A46F68"/>
    <w:rsid w:val="51AE0F7B"/>
    <w:rsid w:val="51B54C13"/>
    <w:rsid w:val="51BA5593"/>
    <w:rsid w:val="51C70EA9"/>
    <w:rsid w:val="51C770FB"/>
    <w:rsid w:val="51CC64BF"/>
    <w:rsid w:val="51D41662"/>
    <w:rsid w:val="51DD06CC"/>
    <w:rsid w:val="51DD247A"/>
    <w:rsid w:val="51DF4444"/>
    <w:rsid w:val="51E33C89"/>
    <w:rsid w:val="51E41A5B"/>
    <w:rsid w:val="51E65239"/>
    <w:rsid w:val="51EE0B2B"/>
    <w:rsid w:val="51EE28D9"/>
    <w:rsid w:val="51F1661C"/>
    <w:rsid w:val="51F25BDA"/>
    <w:rsid w:val="51FB0B52"/>
    <w:rsid w:val="5201085F"/>
    <w:rsid w:val="5204431E"/>
    <w:rsid w:val="52045C59"/>
    <w:rsid w:val="52045EDF"/>
    <w:rsid w:val="52075749"/>
    <w:rsid w:val="52097713"/>
    <w:rsid w:val="520B348B"/>
    <w:rsid w:val="520D7203"/>
    <w:rsid w:val="520E4D2A"/>
    <w:rsid w:val="52122037"/>
    <w:rsid w:val="5215365D"/>
    <w:rsid w:val="521560B8"/>
    <w:rsid w:val="52181704"/>
    <w:rsid w:val="521A547C"/>
    <w:rsid w:val="521C7446"/>
    <w:rsid w:val="521E2410"/>
    <w:rsid w:val="5221680B"/>
    <w:rsid w:val="52217969"/>
    <w:rsid w:val="52224331"/>
    <w:rsid w:val="522400A9"/>
    <w:rsid w:val="52244433"/>
    <w:rsid w:val="5227544C"/>
    <w:rsid w:val="52287B99"/>
    <w:rsid w:val="522D1654"/>
    <w:rsid w:val="522E717A"/>
    <w:rsid w:val="52320A18"/>
    <w:rsid w:val="52374C03"/>
    <w:rsid w:val="5237602E"/>
    <w:rsid w:val="52383B54"/>
    <w:rsid w:val="52416EAD"/>
    <w:rsid w:val="524244DF"/>
    <w:rsid w:val="52462715"/>
    <w:rsid w:val="524644C3"/>
    <w:rsid w:val="52483D98"/>
    <w:rsid w:val="524D13AE"/>
    <w:rsid w:val="524E2FBC"/>
    <w:rsid w:val="524E5126"/>
    <w:rsid w:val="52500E9E"/>
    <w:rsid w:val="525057AA"/>
    <w:rsid w:val="525210BA"/>
    <w:rsid w:val="525700B0"/>
    <w:rsid w:val="52574ECB"/>
    <w:rsid w:val="525941F7"/>
    <w:rsid w:val="525B6CEF"/>
    <w:rsid w:val="525E35BB"/>
    <w:rsid w:val="52636E23"/>
    <w:rsid w:val="52650DED"/>
    <w:rsid w:val="526515A2"/>
    <w:rsid w:val="526F3A1A"/>
    <w:rsid w:val="527A33E5"/>
    <w:rsid w:val="52850AA4"/>
    <w:rsid w:val="528943B0"/>
    <w:rsid w:val="528B4C2D"/>
    <w:rsid w:val="528B637A"/>
    <w:rsid w:val="528C45CC"/>
    <w:rsid w:val="528D3EA0"/>
    <w:rsid w:val="528E597D"/>
    <w:rsid w:val="528F1410"/>
    <w:rsid w:val="52903990"/>
    <w:rsid w:val="52961E90"/>
    <w:rsid w:val="529671F9"/>
    <w:rsid w:val="52976F9A"/>
    <w:rsid w:val="52A64F62"/>
    <w:rsid w:val="52A80CDA"/>
    <w:rsid w:val="52A86F2C"/>
    <w:rsid w:val="52B21B59"/>
    <w:rsid w:val="52B4142D"/>
    <w:rsid w:val="52C33D66"/>
    <w:rsid w:val="52C5188C"/>
    <w:rsid w:val="52C553E8"/>
    <w:rsid w:val="52C8137C"/>
    <w:rsid w:val="52CA50F4"/>
    <w:rsid w:val="52D27B05"/>
    <w:rsid w:val="52D4387D"/>
    <w:rsid w:val="52D73AAB"/>
    <w:rsid w:val="52DD7B03"/>
    <w:rsid w:val="52E53CDC"/>
    <w:rsid w:val="52EB0BC7"/>
    <w:rsid w:val="52EB6EB1"/>
    <w:rsid w:val="52EC33C3"/>
    <w:rsid w:val="52F1442F"/>
    <w:rsid w:val="52F201A7"/>
    <w:rsid w:val="52F67C97"/>
    <w:rsid w:val="52FD1026"/>
    <w:rsid w:val="52FE6B4C"/>
    <w:rsid w:val="5302488E"/>
    <w:rsid w:val="530D4FE1"/>
    <w:rsid w:val="530E3233"/>
    <w:rsid w:val="5310069C"/>
    <w:rsid w:val="532559D6"/>
    <w:rsid w:val="532A16EF"/>
    <w:rsid w:val="532E7431"/>
    <w:rsid w:val="532F31A9"/>
    <w:rsid w:val="5330338D"/>
    <w:rsid w:val="53312A7E"/>
    <w:rsid w:val="53397B84"/>
    <w:rsid w:val="533D58C6"/>
    <w:rsid w:val="533E33EC"/>
    <w:rsid w:val="534053B7"/>
    <w:rsid w:val="53424C8B"/>
    <w:rsid w:val="53563F10"/>
    <w:rsid w:val="535B7AFB"/>
    <w:rsid w:val="535D1AC5"/>
    <w:rsid w:val="535E4EAC"/>
    <w:rsid w:val="535F3A8F"/>
    <w:rsid w:val="53605111"/>
    <w:rsid w:val="536270DB"/>
    <w:rsid w:val="53654E1D"/>
    <w:rsid w:val="53666D3F"/>
    <w:rsid w:val="536746F1"/>
    <w:rsid w:val="53682217"/>
    <w:rsid w:val="536A41E2"/>
    <w:rsid w:val="536E5A80"/>
    <w:rsid w:val="53715570"/>
    <w:rsid w:val="53764934"/>
    <w:rsid w:val="53803A05"/>
    <w:rsid w:val="53853AFB"/>
    <w:rsid w:val="53874D93"/>
    <w:rsid w:val="538A6632"/>
    <w:rsid w:val="538E7ED0"/>
    <w:rsid w:val="538F3C48"/>
    <w:rsid w:val="538F56F6"/>
    <w:rsid w:val="53936B24"/>
    <w:rsid w:val="5394125E"/>
    <w:rsid w:val="539579A4"/>
    <w:rsid w:val="53964FD7"/>
    <w:rsid w:val="53A039CC"/>
    <w:rsid w:val="53A1505A"/>
    <w:rsid w:val="53A169D4"/>
    <w:rsid w:val="53A21BCD"/>
    <w:rsid w:val="53A45945"/>
    <w:rsid w:val="53AA4158"/>
    <w:rsid w:val="53AE2320"/>
    <w:rsid w:val="53B4172F"/>
    <w:rsid w:val="53B62ECA"/>
    <w:rsid w:val="53B92A73"/>
    <w:rsid w:val="53BF452D"/>
    <w:rsid w:val="53C20A91"/>
    <w:rsid w:val="53C25DCC"/>
    <w:rsid w:val="53C32D17"/>
    <w:rsid w:val="53C64D9B"/>
    <w:rsid w:val="53CB1124"/>
    <w:rsid w:val="53D14261"/>
    <w:rsid w:val="53D55AFF"/>
    <w:rsid w:val="53D61877"/>
    <w:rsid w:val="53DD08D8"/>
    <w:rsid w:val="53E05348"/>
    <w:rsid w:val="53E17EDB"/>
    <w:rsid w:val="53E2021C"/>
    <w:rsid w:val="53E43F94"/>
    <w:rsid w:val="53E61ABA"/>
    <w:rsid w:val="53E92248"/>
    <w:rsid w:val="53EB5322"/>
    <w:rsid w:val="53F81956"/>
    <w:rsid w:val="53FF49A6"/>
    <w:rsid w:val="5400590F"/>
    <w:rsid w:val="540168F4"/>
    <w:rsid w:val="540208BE"/>
    <w:rsid w:val="540463E4"/>
    <w:rsid w:val="54063E08"/>
    <w:rsid w:val="54091C4C"/>
    <w:rsid w:val="540A3A7F"/>
    <w:rsid w:val="540B7773"/>
    <w:rsid w:val="540D34EB"/>
    <w:rsid w:val="541F321E"/>
    <w:rsid w:val="541F4FCC"/>
    <w:rsid w:val="5428092D"/>
    <w:rsid w:val="542A5BF1"/>
    <w:rsid w:val="542B3971"/>
    <w:rsid w:val="542D76E9"/>
    <w:rsid w:val="542E520F"/>
    <w:rsid w:val="543162F7"/>
    <w:rsid w:val="543437E8"/>
    <w:rsid w:val="543547EF"/>
    <w:rsid w:val="5435659E"/>
    <w:rsid w:val="54370568"/>
    <w:rsid w:val="54377B7E"/>
    <w:rsid w:val="5438706C"/>
    <w:rsid w:val="54387E3C"/>
    <w:rsid w:val="544D1B39"/>
    <w:rsid w:val="544D7D8B"/>
    <w:rsid w:val="54520EFE"/>
    <w:rsid w:val="545C7FCE"/>
    <w:rsid w:val="545D78A2"/>
    <w:rsid w:val="5461213E"/>
    <w:rsid w:val="546155E5"/>
    <w:rsid w:val="546159B3"/>
    <w:rsid w:val="54617393"/>
    <w:rsid w:val="54660E4D"/>
    <w:rsid w:val="54684BC5"/>
    <w:rsid w:val="546B0211"/>
    <w:rsid w:val="546B4BDF"/>
    <w:rsid w:val="546B6463"/>
    <w:rsid w:val="546E7D01"/>
    <w:rsid w:val="54770964"/>
    <w:rsid w:val="547A0454"/>
    <w:rsid w:val="547A48F8"/>
    <w:rsid w:val="54857525"/>
    <w:rsid w:val="548B440F"/>
    <w:rsid w:val="548E5CAE"/>
    <w:rsid w:val="548F594D"/>
    <w:rsid w:val="54936E88"/>
    <w:rsid w:val="54971006"/>
    <w:rsid w:val="54990ADB"/>
    <w:rsid w:val="549B6D34"/>
    <w:rsid w:val="54A6749B"/>
    <w:rsid w:val="54A85393"/>
    <w:rsid w:val="54AB6860"/>
    <w:rsid w:val="54B03EEA"/>
    <w:rsid w:val="54B25E40"/>
    <w:rsid w:val="54B5164D"/>
    <w:rsid w:val="54B60678"/>
    <w:rsid w:val="54BB2F47"/>
    <w:rsid w:val="54BC0A6D"/>
    <w:rsid w:val="54BC6CBF"/>
    <w:rsid w:val="54C00390"/>
    <w:rsid w:val="54C17E31"/>
    <w:rsid w:val="54C33BA9"/>
    <w:rsid w:val="54C37597"/>
    <w:rsid w:val="54C60539"/>
    <w:rsid w:val="54C70191"/>
    <w:rsid w:val="54C87412"/>
    <w:rsid w:val="54CA13DC"/>
    <w:rsid w:val="54CD2165"/>
    <w:rsid w:val="54CD2404"/>
    <w:rsid w:val="54CE5923"/>
    <w:rsid w:val="54CE6966"/>
    <w:rsid w:val="54D172DA"/>
    <w:rsid w:val="54D97871"/>
    <w:rsid w:val="54DA7145"/>
    <w:rsid w:val="54DB5397"/>
    <w:rsid w:val="54E16725"/>
    <w:rsid w:val="54E24AD7"/>
    <w:rsid w:val="54E46ED9"/>
    <w:rsid w:val="54EA19CC"/>
    <w:rsid w:val="54EA6368"/>
    <w:rsid w:val="54EB1352"/>
    <w:rsid w:val="54EB72AE"/>
    <w:rsid w:val="54EE1700"/>
    <w:rsid w:val="54F010B9"/>
    <w:rsid w:val="54F14BBA"/>
    <w:rsid w:val="54F16968"/>
    <w:rsid w:val="54F71AA5"/>
    <w:rsid w:val="54F86BA1"/>
    <w:rsid w:val="55050666"/>
    <w:rsid w:val="55052414"/>
    <w:rsid w:val="550A7A2A"/>
    <w:rsid w:val="550C37A2"/>
    <w:rsid w:val="550D751A"/>
    <w:rsid w:val="55116D87"/>
    <w:rsid w:val="55191A1B"/>
    <w:rsid w:val="551929DD"/>
    <w:rsid w:val="551D57DB"/>
    <w:rsid w:val="55254864"/>
    <w:rsid w:val="552B0F6D"/>
    <w:rsid w:val="55384597"/>
    <w:rsid w:val="553D1BAE"/>
    <w:rsid w:val="553D6B7E"/>
    <w:rsid w:val="55424033"/>
    <w:rsid w:val="55432F3C"/>
    <w:rsid w:val="554404B8"/>
    <w:rsid w:val="554967A4"/>
    <w:rsid w:val="554B0437"/>
    <w:rsid w:val="554B0F1D"/>
    <w:rsid w:val="554C7040"/>
    <w:rsid w:val="554E3DBB"/>
    <w:rsid w:val="554E7A8C"/>
    <w:rsid w:val="554F18E1"/>
    <w:rsid w:val="554F5B03"/>
    <w:rsid w:val="555313D1"/>
    <w:rsid w:val="5553570E"/>
    <w:rsid w:val="555869E7"/>
    <w:rsid w:val="555962BC"/>
    <w:rsid w:val="55620AD4"/>
    <w:rsid w:val="55652944"/>
    <w:rsid w:val="5566599F"/>
    <w:rsid w:val="556A671B"/>
    <w:rsid w:val="556C5FEF"/>
    <w:rsid w:val="557650C0"/>
    <w:rsid w:val="557C1FAA"/>
    <w:rsid w:val="557F21C6"/>
    <w:rsid w:val="55801A9A"/>
    <w:rsid w:val="558508DF"/>
    <w:rsid w:val="558570B1"/>
    <w:rsid w:val="558772CD"/>
    <w:rsid w:val="55894DF3"/>
    <w:rsid w:val="558C6691"/>
    <w:rsid w:val="558F6A10"/>
    <w:rsid w:val="559106BB"/>
    <w:rsid w:val="55914F40"/>
    <w:rsid w:val="55935C72"/>
    <w:rsid w:val="559B174B"/>
    <w:rsid w:val="559D43FA"/>
    <w:rsid w:val="55A03EEB"/>
    <w:rsid w:val="55A27C63"/>
    <w:rsid w:val="55A41C2D"/>
    <w:rsid w:val="55A75279"/>
    <w:rsid w:val="55A9466F"/>
    <w:rsid w:val="55AC6D33"/>
    <w:rsid w:val="55AE6607"/>
    <w:rsid w:val="55B160F8"/>
    <w:rsid w:val="55B17EA6"/>
    <w:rsid w:val="55B856D8"/>
    <w:rsid w:val="55BF2A09"/>
    <w:rsid w:val="55BF6A67"/>
    <w:rsid w:val="55C207CD"/>
    <w:rsid w:val="55C55AC1"/>
    <w:rsid w:val="55C67DF5"/>
    <w:rsid w:val="55C7591B"/>
    <w:rsid w:val="55C776C9"/>
    <w:rsid w:val="55C94D0E"/>
    <w:rsid w:val="55CE0CF4"/>
    <w:rsid w:val="55D02A22"/>
    <w:rsid w:val="55D3606E"/>
    <w:rsid w:val="55D41DE6"/>
    <w:rsid w:val="55D6790C"/>
    <w:rsid w:val="55D818D6"/>
    <w:rsid w:val="55DD6EED"/>
    <w:rsid w:val="55E6461A"/>
    <w:rsid w:val="55E93AE3"/>
    <w:rsid w:val="55EA33B8"/>
    <w:rsid w:val="55EA5788"/>
    <w:rsid w:val="55EB160A"/>
    <w:rsid w:val="55F304BE"/>
    <w:rsid w:val="55F54236"/>
    <w:rsid w:val="55FF3307"/>
    <w:rsid w:val="56002BDB"/>
    <w:rsid w:val="560921A1"/>
    <w:rsid w:val="560E52F8"/>
    <w:rsid w:val="56130B60"/>
    <w:rsid w:val="56140E4F"/>
    <w:rsid w:val="56156687"/>
    <w:rsid w:val="561641AD"/>
    <w:rsid w:val="561A1EEF"/>
    <w:rsid w:val="561A3C9D"/>
    <w:rsid w:val="561D19DF"/>
    <w:rsid w:val="56237FD6"/>
    <w:rsid w:val="562E14F6"/>
    <w:rsid w:val="562F67CA"/>
    <w:rsid w:val="563053E6"/>
    <w:rsid w:val="56332FB1"/>
    <w:rsid w:val="56351263"/>
    <w:rsid w:val="56356D29"/>
    <w:rsid w:val="563740DE"/>
    <w:rsid w:val="563A433F"/>
    <w:rsid w:val="563F3703"/>
    <w:rsid w:val="5641747C"/>
    <w:rsid w:val="56424FA2"/>
    <w:rsid w:val="564B02FA"/>
    <w:rsid w:val="564B654C"/>
    <w:rsid w:val="564C327E"/>
    <w:rsid w:val="56502E20"/>
    <w:rsid w:val="56505911"/>
    <w:rsid w:val="56513437"/>
    <w:rsid w:val="565151E5"/>
    <w:rsid w:val="56526D83"/>
    <w:rsid w:val="5666172C"/>
    <w:rsid w:val="56665134"/>
    <w:rsid w:val="56666EE2"/>
    <w:rsid w:val="56674A08"/>
    <w:rsid w:val="566D3E5D"/>
    <w:rsid w:val="566D52ED"/>
    <w:rsid w:val="56717635"/>
    <w:rsid w:val="567710EF"/>
    <w:rsid w:val="56794E67"/>
    <w:rsid w:val="567A6461"/>
    <w:rsid w:val="567D5F3E"/>
    <w:rsid w:val="567F3F36"/>
    <w:rsid w:val="567F7FA4"/>
    <w:rsid w:val="56847368"/>
    <w:rsid w:val="56867584"/>
    <w:rsid w:val="56867733"/>
    <w:rsid w:val="568832FC"/>
    <w:rsid w:val="568A7075"/>
    <w:rsid w:val="568B06F7"/>
    <w:rsid w:val="568B6949"/>
    <w:rsid w:val="568D0913"/>
    <w:rsid w:val="56905D0D"/>
    <w:rsid w:val="5691462E"/>
    <w:rsid w:val="56925F29"/>
    <w:rsid w:val="56927CD7"/>
    <w:rsid w:val="56962345"/>
    <w:rsid w:val="569C0B56"/>
    <w:rsid w:val="569F0646"/>
    <w:rsid w:val="56A31EE4"/>
    <w:rsid w:val="56A93273"/>
    <w:rsid w:val="56A96DCF"/>
    <w:rsid w:val="56AE4F0A"/>
    <w:rsid w:val="56B0015D"/>
    <w:rsid w:val="56B13CD2"/>
    <w:rsid w:val="56B14607"/>
    <w:rsid w:val="56B22A9C"/>
    <w:rsid w:val="56BE6D1E"/>
    <w:rsid w:val="56C50A07"/>
    <w:rsid w:val="56C63515"/>
    <w:rsid w:val="56C67981"/>
    <w:rsid w:val="56C9121F"/>
    <w:rsid w:val="56CA3778"/>
    <w:rsid w:val="56CD6741"/>
    <w:rsid w:val="56CE62D0"/>
    <w:rsid w:val="56D54257"/>
    <w:rsid w:val="56D7393C"/>
    <w:rsid w:val="56D976B4"/>
    <w:rsid w:val="56D97F48"/>
    <w:rsid w:val="56DA167E"/>
    <w:rsid w:val="56DF0A43"/>
    <w:rsid w:val="56EE5B8F"/>
    <w:rsid w:val="56EF512A"/>
    <w:rsid w:val="56F42740"/>
    <w:rsid w:val="56F73FDE"/>
    <w:rsid w:val="56FC33A3"/>
    <w:rsid w:val="56FE35BF"/>
    <w:rsid w:val="57007337"/>
    <w:rsid w:val="570510F3"/>
    <w:rsid w:val="570606C5"/>
    <w:rsid w:val="57064221"/>
    <w:rsid w:val="570A1F63"/>
    <w:rsid w:val="57106E4E"/>
    <w:rsid w:val="57122BC6"/>
    <w:rsid w:val="5714693E"/>
    <w:rsid w:val="57154464"/>
    <w:rsid w:val="57196706"/>
    <w:rsid w:val="571B7CCD"/>
    <w:rsid w:val="5721105B"/>
    <w:rsid w:val="57250B4B"/>
    <w:rsid w:val="57270A88"/>
    <w:rsid w:val="572C2786"/>
    <w:rsid w:val="572F127F"/>
    <w:rsid w:val="572F3778"/>
    <w:rsid w:val="57313A27"/>
    <w:rsid w:val="57325016"/>
    <w:rsid w:val="57364B06"/>
    <w:rsid w:val="573963A5"/>
    <w:rsid w:val="573E7E5F"/>
    <w:rsid w:val="573F15EA"/>
    <w:rsid w:val="57430FD1"/>
    <w:rsid w:val="57456BD3"/>
    <w:rsid w:val="57476652"/>
    <w:rsid w:val="57482A8C"/>
    <w:rsid w:val="574C257C"/>
    <w:rsid w:val="574F5BC8"/>
    <w:rsid w:val="57541431"/>
    <w:rsid w:val="575B27BF"/>
    <w:rsid w:val="575B456D"/>
    <w:rsid w:val="575B774B"/>
    <w:rsid w:val="575D644F"/>
    <w:rsid w:val="57601B83"/>
    <w:rsid w:val="57607DD5"/>
    <w:rsid w:val="57623B4D"/>
    <w:rsid w:val="57631674"/>
    <w:rsid w:val="57672F12"/>
    <w:rsid w:val="57680A38"/>
    <w:rsid w:val="57682711"/>
    <w:rsid w:val="57686C8A"/>
    <w:rsid w:val="576B22D6"/>
    <w:rsid w:val="576C64D8"/>
    <w:rsid w:val="576F0018"/>
    <w:rsid w:val="57727B09"/>
    <w:rsid w:val="5774562F"/>
    <w:rsid w:val="57762B00"/>
    <w:rsid w:val="57776ECD"/>
    <w:rsid w:val="577949F3"/>
    <w:rsid w:val="577B4C0F"/>
    <w:rsid w:val="577C44E3"/>
    <w:rsid w:val="577D0987"/>
    <w:rsid w:val="57833AC4"/>
    <w:rsid w:val="57882E88"/>
    <w:rsid w:val="578C0BCA"/>
    <w:rsid w:val="578F2469"/>
    <w:rsid w:val="578F4217"/>
    <w:rsid w:val="57904B13"/>
    <w:rsid w:val="579161E1"/>
    <w:rsid w:val="579B705F"/>
    <w:rsid w:val="579D05A5"/>
    <w:rsid w:val="579E26AC"/>
    <w:rsid w:val="579E445A"/>
    <w:rsid w:val="57A001D2"/>
    <w:rsid w:val="57A203EE"/>
    <w:rsid w:val="57AB72DA"/>
    <w:rsid w:val="57AC6B77"/>
    <w:rsid w:val="57AE6D93"/>
    <w:rsid w:val="57AF2B0B"/>
    <w:rsid w:val="57B65C47"/>
    <w:rsid w:val="57B72A76"/>
    <w:rsid w:val="57BB7557"/>
    <w:rsid w:val="57BC2B32"/>
    <w:rsid w:val="57BE194A"/>
    <w:rsid w:val="57C049B1"/>
    <w:rsid w:val="57C10AC3"/>
    <w:rsid w:val="57C2639A"/>
    <w:rsid w:val="57C96694"/>
    <w:rsid w:val="57CA524F"/>
    <w:rsid w:val="57CA7FC1"/>
    <w:rsid w:val="57CD4D3F"/>
    <w:rsid w:val="57D12A81"/>
    <w:rsid w:val="57D32355"/>
    <w:rsid w:val="57D4589F"/>
    <w:rsid w:val="57D86F9C"/>
    <w:rsid w:val="57D91936"/>
    <w:rsid w:val="57DA3E17"/>
    <w:rsid w:val="57DD31D4"/>
    <w:rsid w:val="57E427B4"/>
    <w:rsid w:val="57E502DB"/>
    <w:rsid w:val="57E52089"/>
    <w:rsid w:val="57E75E01"/>
    <w:rsid w:val="57EC3417"/>
    <w:rsid w:val="57EE41F3"/>
    <w:rsid w:val="57F56CC7"/>
    <w:rsid w:val="57FD5624"/>
    <w:rsid w:val="57FE314A"/>
    <w:rsid w:val="58000703"/>
    <w:rsid w:val="58021527"/>
    <w:rsid w:val="58027680"/>
    <w:rsid w:val="58042493"/>
    <w:rsid w:val="580764A3"/>
    <w:rsid w:val="58077BB0"/>
    <w:rsid w:val="580F2368"/>
    <w:rsid w:val="581110D0"/>
    <w:rsid w:val="5814471C"/>
    <w:rsid w:val="581B5AAA"/>
    <w:rsid w:val="581F1A3E"/>
    <w:rsid w:val="58215A55"/>
    <w:rsid w:val="58256929"/>
    <w:rsid w:val="58273B30"/>
    <w:rsid w:val="5827444F"/>
    <w:rsid w:val="582B03E3"/>
    <w:rsid w:val="582B57B9"/>
    <w:rsid w:val="582E7AAF"/>
    <w:rsid w:val="582F7D68"/>
    <w:rsid w:val="583077A8"/>
    <w:rsid w:val="58315248"/>
    <w:rsid w:val="583542BF"/>
    <w:rsid w:val="583628E4"/>
    <w:rsid w:val="583E06A5"/>
    <w:rsid w:val="583F3E8F"/>
    <w:rsid w:val="584204B6"/>
    <w:rsid w:val="58421289"/>
    <w:rsid w:val="584274DB"/>
    <w:rsid w:val="58432AE1"/>
    <w:rsid w:val="58496ABB"/>
    <w:rsid w:val="584E019A"/>
    <w:rsid w:val="5851771E"/>
    <w:rsid w:val="585B059D"/>
    <w:rsid w:val="586438F5"/>
    <w:rsid w:val="586C27AA"/>
    <w:rsid w:val="586D5636"/>
    <w:rsid w:val="58704048"/>
    <w:rsid w:val="58737694"/>
    <w:rsid w:val="5875165E"/>
    <w:rsid w:val="5875340D"/>
    <w:rsid w:val="587753D7"/>
    <w:rsid w:val="58783407"/>
    <w:rsid w:val="58791C73"/>
    <w:rsid w:val="58816255"/>
    <w:rsid w:val="58847AF3"/>
    <w:rsid w:val="588E0972"/>
    <w:rsid w:val="589046EA"/>
    <w:rsid w:val="58923090"/>
    <w:rsid w:val="589870FB"/>
    <w:rsid w:val="589C1963"/>
    <w:rsid w:val="589C4E3D"/>
    <w:rsid w:val="589E10DE"/>
    <w:rsid w:val="58A106A5"/>
    <w:rsid w:val="58A3441E"/>
    <w:rsid w:val="58A610F9"/>
    <w:rsid w:val="58AB1524"/>
    <w:rsid w:val="58AB5080"/>
    <w:rsid w:val="58AD0727"/>
    <w:rsid w:val="58AE691E"/>
    <w:rsid w:val="58B303D9"/>
    <w:rsid w:val="58B57CAD"/>
    <w:rsid w:val="58B73A25"/>
    <w:rsid w:val="58B959EF"/>
    <w:rsid w:val="58BC54DF"/>
    <w:rsid w:val="58BE32CF"/>
    <w:rsid w:val="58CD2411"/>
    <w:rsid w:val="58D04AE7"/>
    <w:rsid w:val="58D2085F"/>
    <w:rsid w:val="58D345D7"/>
    <w:rsid w:val="58D42829"/>
    <w:rsid w:val="58D74519"/>
    <w:rsid w:val="58DA7713"/>
    <w:rsid w:val="58DF2F7C"/>
    <w:rsid w:val="58E14F46"/>
    <w:rsid w:val="58E16CF4"/>
    <w:rsid w:val="58E90251"/>
    <w:rsid w:val="58EE31BF"/>
    <w:rsid w:val="58F06F37"/>
    <w:rsid w:val="58F509F1"/>
    <w:rsid w:val="58F5279F"/>
    <w:rsid w:val="59044790"/>
    <w:rsid w:val="590649AC"/>
    <w:rsid w:val="59077622"/>
    <w:rsid w:val="590824D3"/>
    <w:rsid w:val="590A1848"/>
    <w:rsid w:val="590A49E9"/>
    <w:rsid w:val="590D5D3B"/>
    <w:rsid w:val="590D7AE9"/>
    <w:rsid w:val="590F3E15"/>
    <w:rsid w:val="591075D9"/>
    <w:rsid w:val="591250FF"/>
    <w:rsid w:val="59142C25"/>
    <w:rsid w:val="5915699E"/>
    <w:rsid w:val="591623EB"/>
    <w:rsid w:val="591946E0"/>
    <w:rsid w:val="591C2557"/>
    <w:rsid w:val="591C7D2C"/>
    <w:rsid w:val="591F6730"/>
    <w:rsid w:val="592310BA"/>
    <w:rsid w:val="59282B75"/>
    <w:rsid w:val="592D1D9B"/>
    <w:rsid w:val="593212FE"/>
    <w:rsid w:val="59350DEE"/>
    <w:rsid w:val="59352B9C"/>
    <w:rsid w:val="59372DB8"/>
    <w:rsid w:val="593A6404"/>
    <w:rsid w:val="593E7CA2"/>
    <w:rsid w:val="593F3A1A"/>
    <w:rsid w:val="59411DC7"/>
    <w:rsid w:val="5943350B"/>
    <w:rsid w:val="59464DA9"/>
    <w:rsid w:val="594A4899"/>
    <w:rsid w:val="59527BF2"/>
    <w:rsid w:val="59544FF5"/>
    <w:rsid w:val="595A2F5E"/>
    <w:rsid w:val="595B4CF8"/>
    <w:rsid w:val="595B6AA6"/>
    <w:rsid w:val="59653481"/>
    <w:rsid w:val="596A6FB5"/>
    <w:rsid w:val="596D0588"/>
    <w:rsid w:val="596D2336"/>
    <w:rsid w:val="596D67DA"/>
    <w:rsid w:val="597263D6"/>
    <w:rsid w:val="59796F2C"/>
    <w:rsid w:val="5980650D"/>
    <w:rsid w:val="59822285"/>
    <w:rsid w:val="598237B0"/>
    <w:rsid w:val="598633F7"/>
    <w:rsid w:val="5987789B"/>
    <w:rsid w:val="5988716F"/>
    <w:rsid w:val="598A738C"/>
    <w:rsid w:val="598B25B9"/>
    <w:rsid w:val="598B7AD8"/>
    <w:rsid w:val="598D29D8"/>
    <w:rsid w:val="5991071A"/>
    <w:rsid w:val="599124C8"/>
    <w:rsid w:val="5999312B"/>
    <w:rsid w:val="599C2C1B"/>
    <w:rsid w:val="599C4367"/>
    <w:rsid w:val="599E2524"/>
    <w:rsid w:val="59A246D5"/>
    <w:rsid w:val="59A541C5"/>
    <w:rsid w:val="59A57D21"/>
    <w:rsid w:val="59A850C5"/>
    <w:rsid w:val="59A87812"/>
    <w:rsid w:val="59A939DF"/>
    <w:rsid w:val="59AA453F"/>
    <w:rsid w:val="59AA5338"/>
    <w:rsid w:val="59AC7302"/>
    <w:rsid w:val="59AF6DF2"/>
    <w:rsid w:val="59B14918"/>
    <w:rsid w:val="59B2243E"/>
    <w:rsid w:val="59B526F2"/>
    <w:rsid w:val="59B63CDD"/>
    <w:rsid w:val="59BB5797"/>
    <w:rsid w:val="59BE231D"/>
    <w:rsid w:val="59BE7035"/>
    <w:rsid w:val="59C12681"/>
    <w:rsid w:val="59C3464B"/>
    <w:rsid w:val="59C77C98"/>
    <w:rsid w:val="59C82CB8"/>
    <w:rsid w:val="59C97EB4"/>
    <w:rsid w:val="59CA7788"/>
    <w:rsid w:val="59CF4D9E"/>
    <w:rsid w:val="59D03A04"/>
    <w:rsid w:val="59D12BC9"/>
    <w:rsid w:val="59D2488F"/>
    <w:rsid w:val="59D57095"/>
    <w:rsid w:val="59DD6583"/>
    <w:rsid w:val="59E051FD"/>
    <w:rsid w:val="59E51BA8"/>
    <w:rsid w:val="59E7658C"/>
    <w:rsid w:val="59EA1BD8"/>
    <w:rsid w:val="59EC3BA2"/>
    <w:rsid w:val="59EC5950"/>
    <w:rsid w:val="59EC76FE"/>
    <w:rsid w:val="59F6007B"/>
    <w:rsid w:val="59F73AC1"/>
    <w:rsid w:val="59F8263F"/>
    <w:rsid w:val="5A00764E"/>
    <w:rsid w:val="5A094754"/>
    <w:rsid w:val="5A0C5FF2"/>
    <w:rsid w:val="5A113609"/>
    <w:rsid w:val="5A1629CD"/>
    <w:rsid w:val="5A1E1882"/>
    <w:rsid w:val="5A202EC7"/>
    <w:rsid w:val="5A2275C4"/>
    <w:rsid w:val="5A277C43"/>
    <w:rsid w:val="5A296BA4"/>
    <w:rsid w:val="5A2E1F00"/>
    <w:rsid w:val="5A306BA3"/>
    <w:rsid w:val="5A3115B5"/>
    <w:rsid w:val="5A380B96"/>
    <w:rsid w:val="5A3A490E"/>
    <w:rsid w:val="5A3C747D"/>
    <w:rsid w:val="5A3D61AC"/>
    <w:rsid w:val="5A3D7F5A"/>
    <w:rsid w:val="5A407A4A"/>
    <w:rsid w:val="5A4455DB"/>
    <w:rsid w:val="5A4532B2"/>
    <w:rsid w:val="5A490FF5"/>
    <w:rsid w:val="5A4A4609"/>
    <w:rsid w:val="5A50597F"/>
    <w:rsid w:val="5A555C7D"/>
    <w:rsid w:val="5A6019BB"/>
    <w:rsid w:val="5A6730BD"/>
    <w:rsid w:val="5A690D4F"/>
    <w:rsid w:val="5A6951F3"/>
    <w:rsid w:val="5A6E45B7"/>
    <w:rsid w:val="5A716D8E"/>
    <w:rsid w:val="5A72070E"/>
    <w:rsid w:val="5A7410C5"/>
    <w:rsid w:val="5A805270"/>
    <w:rsid w:val="5A875679"/>
    <w:rsid w:val="5A89083A"/>
    <w:rsid w:val="5A8913F1"/>
    <w:rsid w:val="5A8C2C8F"/>
    <w:rsid w:val="5A902780"/>
    <w:rsid w:val="5A951B44"/>
    <w:rsid w:val="5A971D60"/>
    <w:rsid w:val="5A9C7376"/>
    <w:rsid w:val="5AA13774"/>
    <w:rsid w:val="5AA1498D"/>
    <w:rsid w:val="5AA47FD9"/>
    <w:rsid w:val="5AB02E22"/>
    <w:rsid w:val="5AB3021C"/>
    <w:rsid w:val="5ABC3575"/>
    <w:rsid w:val="5ABE2233"/>
    <w:rsid w:val="5ABF12B7"/>
    <w:rsid w:val="5AC02939"/>
    <w:rsid w:val="5AC061CA"/>
    <w:rsid w:val="5AC81FAD"/>
    <w:rsid w:val="5ACD5782"/>
    <w:rsid w:val="5ACD7DA0"/>
    <w:rsid w:val="5ACF5F69"/>
    <w:rsid w:val="5AD22D98"/>
    <w:rsid w:val="5AD52888"/>
    <w:rsid w:val="5AD63B1B"/>
    <w:rsid w:val="5ADA1D1F"/>
    <w:rsid w:val="5AE55CE6"/>
    <w:rsid w:val="5AE605F2"/>
    <w:rsid w:val="5AEC41CD"/>
    <w:rsid w:val="5AF160F4"/>
    <w:rsid w:val="5AF30F60"/>
    <w:rsid w:val="5AF32C10"/>
    <w:rsid w:val="5AF56A87"/>
    <w:rsid w:val="5AFC6067"/>
    <w:rsid w:val="5AFC7E15"/>
    <w:rsid w:val="5AFE1DDF"/>
    <w:rsid w:val="5AFE3B8D"/>
    <w:rsid w:val="5B01542B"/>
    <w:rsid w:val="5B070568"/>
    <w:rsid w:val="5B0B62AA"/>
    <w:rsid w:val="5B1769FD"/>
    <w:rsid w:val="5B1909C7"/>
    <w:rsid w:val="5B1F079D"/>
    <w:rsid w:val="5B1F58B2"/>
    <w:rsid w:val="5B276D18"/>
    <w:rsid w:val="5B280C0A"/>
    <w:rsid w:val="5B297096"/>
    <w:rsid w:val="5B33135D"/>
    <w:rsid w:val="5B363143"/>
    <w:rsid w:val="5B4D5DFB"/>
    <w:rsid w:val="5B535F4C"/>
    <w:rsid w:val="5B5437AD"/>
    <w:rsid w:val="5B57329D"/>
    <w:rsid w:val="5B597015"/>
    <w:rsid w:val="5B5A2D8E"/>
    <w:rsid w:val="5B5A4B3C"/>
    <w:rsid w:val="5B5B0FE0"/>
    <w:rsid w:val="5B5C08B4"/>
    <w:rsid w:val="5B5C7E50"/>
    <w:rsid w:val="5B5F2152"/>
    <w:rsid w:val="5B6065F6"/>
    <w:rsid w:val="5B61236E"/>
    <w:rsid w:val="5B6139D7"/>
    <w:rsid w:val="5B61411C"/>
    <w:rsid w:val="5B6C3CDC"/>
    <w:rsid w:val="5B7200D7"/>
    <w:rsid w:val="5B745BFD"/>
    <w:rsid w:val="5B765E19"/>
    <w:rsid w:val="5B7C0F56"/>
    <w:rsid w:val="5B7C4516"/>
    <w:rsid w:val="5B7E082A"/>
    <w:rsid w:val="5B800A46"/>
    <w:rsid w:val="5B804F69"/>
    <w:rsid w:val="5B8322E4"/>
    <w:rsid w:val="5B8C73EB"/>
    <w:rsid w:val="5B8D3163"/>
    <w:rsid w:val="5B8D6CBF"/>
    <w:rsid w:val="5B922527"/>
    <w:rsid w:val="5B9444F1"/>
    <w:rsid w:val="5B951068"/>
    <w:rsid w:val="5B962018"/>
    <w:rsid w:val="5B9718EC"/>
    <w:rsid w:val="5B977B3E"/>
    <w:rsid w:val="5B9938B6"/>
    <w:rsid w:val="5B995664"/>
    <w:rsid w:val="5B9960CD"/>
    <w:rsid w:val="5B9C5154"/>
    <w:rsid w:val="5B9E711E"/>
    <w:rsid w:val="5BA04C44"/>
    <w:rsid w:val="5BAC15F8"/>
    <w:rsid w:val="5BAC2986"/>
    <w:rsid w:val="5BAC35E9"/>
    <w:rsid w:val="5BB02677"/>
    <w:rsid w:val="5BB22BCA"/>
    <w:rsid w:val="5BB5294E"/>
    <w:rsid w:val="5BB93F58"/>
    <w:rsid w:val="5BC00E43"/>
    <w:rsid w:val="5BC546AB"/>
    <w:rsid w:val="5BCD1E2F"/>
    <w:rsid w:val="5BCF72D8"/>
    <w:rsid w:val="5BD42B40"/>
    <w:rsid w:val="5BD67531"/>
    <w:rsid w:val="5BD75AB2"/>
    <w:rsid w:val="5BD91B0B"/>
    <w:rsid w:val="5BDF5D95"/>
    <w:rsid w:val="5BE00642"/>
    <w:rsid w:val="5BE03293"/>
    <w:rsid w:val="5BE70AC5"/>
    <w:rsid w:val="5BEA5EBF"/>
    <w:rsid w:val="5BEC1C38"/>
    <w:rsid w:val="5BED775E"/>
    <w:rsid w:val="5BF136F2"/>
    <w:rsid w:val="5BF31960"/>
    <w:rsid w:val="5BF40AEC"/>
    <w:rsid w:val="5BF64864"/>
    <w:rsid w:val="5BF8281F"/>
    <w:rsid w:val="5C0827EA"/>
    <w:rsid w:val="5C0A47B4"/>
    <w:rsid w:val="5C0E3BCB"/>
    <w:rsid w:val="5C0F5926"/>
    <w:rsid w:val="5C1271C4"/>
    <w:rsid w:val="5C142F3C"/>
    <w:rsid w:val="5C176419"/>
    <w:rsid w:val="5C1B076F"/>
    <w:rsid w:val="5C2238AB"/>
    <w:rsid w:val="5C225659"/>
    <w:rsid w:val="5C2313D1"/>
    <w:rsid w:val="5C237623"/>
    <w:rsid w:val="5C2440E9"/>
    <w:rsid w:val="5C277114"/>
    <w:rsid w:val="5C2B0664"/>
    <w:rsid w:val="5C2D3FFE"/>
    <w:rsid w:val="5C2F421A"/>
    <w:rsid w:val="5C34538D"/>
    <w:rsid w:val="5C3559D8"/>
    <w:rsid w:val="5C361105"/>
    <w:rsid w:val="5C3933B5"/>
    <w:rsid w:val="5C485468"/>
    <w:rsid w:val="5C4952DC"/>
    <w:rsid w:val="5C4E28BC"/>
    <w:rsid w:val="5C4E28F2"/>
    <w:rsid w:val="5C5305C6"/>
    <w:rsid w:val="5C5617A7"/>
    <w:rsid w:val="5C58551F"/>
    <w:rsid w:val="5C594DF3"/>
    <w:rsid w:val="5C5C1087"/>
    <w:rsid w:val="5C62639E"/>
    <w:rsid w:val="5C65155C"/>
    <w:rsid w:val="5C663787"/>
    <w:rsid w:val="5C675762"/>
    <w:rsid w:val="5C6914DA"/>
    <w:rsid w:val="5C6E7D9F"/>
    <w:rsid w:val="5C702869"/>
    <w:rsid w:val="5C71213D"/>
    <w:rsid w:val="5C757E7F"/>
    <w:rsid w:val="5C7D31D8"/>
    <w:rsid w:val="5C7D4F86"/>
    <w:rsid w:val="5C7E4CC3"/>
    <w:rsid w:val="5C8509BC"/>
    <w:rsid w:val="5C853E3A"/>
    <w:rsid w:val="5C86208C"/>
    <w:rsid w:val="5C877BB2"/>
    <w:rsid w:val="5C8D1F38"/>
    <w:rsid w:val="5C9119F8"/>
    <w:rsid w:val="5C9E33F5"/>
    <w:rsid w:val="5C9F4EFC"/>
    <w:rsid w:val="5CA16EC6"/>
    <w:rsid w:val="5CA42512"/>
    <w:rsid w:val="5CA442C0"/>
    <w:rsid w:val="5CA64CDB"/>
    <w:rsid w:val="5CA64D62"/>
    <w:rsid w:val="5CA93FCD"/>
    <w:rsid w:val="5CAB49EC"/>
    <w:rsid w:val="5CB47963"/>
    <w:rsid w:val="5CB85FBE"/>
    <w:rsid w:val="5CBC5AAE"/>
    <w:rsid w:val="5CBF10FA"/>
    <w:rsid w:val="5CC05F06"/>
    <w:rsid w:val="5CC26E3C"/>
    <w:rsid w:val="5CC606DB"/>
    <w:rsid w:val="5CC6692D"/>
    <w:rsid w:val="5CC932A2"/>
    <w:rsid w:val="5CCB3F43"/>
    <w:rsid w:val="5CCB7A9F"/>
    <w:rsid w:val="5CCD7CBB"/>
    <w:rsid w:val="5CCE758F"/>
    <w:rsid w:val="5CD1707F"/>
    <w:rsid w:val="5CD32DF8"/>
    <w:rsid w:val="5CD54DC2"/>
    <w:rsid w:val="5CD76373"/>
    <w:rsid w:val="5CDC7EFE"/>
    <w:rsid w:val="5CE172C2"/>
    <w:rsid w:val="5CEA4796"/>
    <w:rsid w:val="5CEB3BAF"/>
    <w:rsid w:val="5CEC5C67"/>
    <w:rsid w:val="5CEE378D"/>
    <w:rsid w:val="5CF54079"/>
    <w:rsid w:val="5CFB5EAA"/>
    <w:rsid w:val="5D042FB1"/>
    <w:rsid w:val="5D082FB3"/>
    <w:rsid w:val="5D096819"/>
    <w:rsid w:val="5D101956"/>
    <w:rsid w:val="5D1256CE"/>
    <w:rsid w:val="5D1551BE"/>
    <w:rsid w:val="5D170F36"/>
    <w:rsid w:val="5D1A6C78"/>
    <w:rsid w:val="5D1B2582"/>
    <w:rsid w:val="5D1D22C5"/>
    <w:rsid w:val="5D1D3926"/>
    <w:rsid w:val="5D1D77F0"/>
    <w:rsid w:val="5D1F428F"/>
    <w:rsid w:val="5D207DB2"/>
    <w:rsid w:val="5D235B2D"/>
    <w:rsid w:val="5D2469F6"/>
    <w:rsid w:val="5D2D075A"/>
    <w:rsid w:val="5D2E6280"/>
    <w:rsid w:val="5D347D3A"/>
    <w:rsid w:val="5D35760E"/>
    <w:rsid w:val="5D3767E9"/>
    <w:rsid w:val="5D395350"/>
    <w:rsid w:val="5D3A2E77"/>
    <w:rsid w:val="5D3C099D"/>
    <w:rsid w:val="5D3F223B"/>
    <w:rsid w:val="5D431D2B"/>
    <w:rsid w:val="5D494E68"/>
    <w:rsid w:val="5D4E501B"/>
    <w:rsid w:val="5D526412"/>
    <w:rsid w:val="5D535812"/>
    <w:rsid w:val="5D564448"/>
    <w:rsid w:val="5D616655"/>
    <w:rsid w:val="5D641CA2"/>
    <w:rsid w:val="5D671EF3"/>
    <w:rsid w:val="5D681B10"/>
    <w:rsid w:val="5D6A375C"/>
    <w:rsid w:val="5D6D7849"/>
    <w:rsid w:val="5D704AEA"/>
    <w:rsid w:val="5D7235D2"/>
    <w:rsid w:val="5D730D16"/>
    <w:rsid w:val="5D7C523D"/>
    <w:rsid w:val="5D7E0FB5"/>
    <w:rsid w:val="5D7F0889"/>
    <w:rsid w:val="5D814602"/>
    <w:rsid w:val="5D821189"/>
    <w:rsid w:val="5D883BE2"/>
    <w:rsid w:val="5D8972C7"/>
    <w:rsid w:val="5D9200D4"/>
    <w:rsid w:val="5D92680F"/>
    <w:rsid w:val="5D94616F"/>
    <w:rsid w:val="5D955EEB"/>
    <w:rsid w:val="5D9A7B05"/>
    <w:rsid w:val="5DA86032"/>
    <w:rsid w:val="5DA87DE0"/>
    <w:rsid w:val="5DAF5613"/>
    <w:rsid w:val="5DB171DF"/>
    <w:rsid w:val="5DB577BD"/>
    <w:rsid w:val="5DB76275"/>
    <w:rsid w:val="5DB93D9B"/>
    <w:rsid w:val="5DBC6D53"/>
    <w:rsid w:val="5DC866D4"/>
    <w:rsid w:val="5DCA7D57"/>
    <w:rsid w:val="5DCD7847"/>
    <w:rsid w:val="5DD1456E"/>
    <w:rsid w:val="5DDB1F64"/>
    <w:rsid w:val="5DDD2180"/>
    <w:rsid w:val="5DE057CC"/>
    <w:rsid w:val="5DE0757A"/>
    <w:rsid w:val="5DEB5F1F"/>
    <w:rsid w:val="5DEB63BE"/>
    <w:rsid w:val="5DEC4171"/>
    <w:rsid w:val="5DF3340F"/>
    <w:rsid w:val="5DF41277"/>
    <w:rsid w:val="5DF64FF0"/>
    <w:rsid w:val="5DF87A0F"/>
    <w:rsid w:val="5DF87F7B"/>
    <w:rsid w:val="5DFF2729"/>
    <w:rsid w:val="5E044CCE"/>
    <w:rsid w:val="5E070FAB"/>
    <w:rsid w:val="5E0C4813"/>
    <w:rsid w:val="5E0F35C8"/>
    <w:rsid w:val="5E122843"/>
    <w:rsid w:val="5E145476"/>
    <w:rsid w:val="5E167440"/>
    <w:rsid w:val="5E176D14"/>
    <w:rsid w:val="5E18501A"/>
    <w:rsid w:val="5E1B4A56"/>
    <w:rsid w:val="5E2733FB"/>
    <w:rsid w:val="5E2B548C"/>
    <w:rsid w:val="5E2C6C63"/>
    <w:rsid w:val="5E337FF2"/>
    <w:rsid w:val="5E3E0745"/>
    <w:rsid w:val="5E3E24F3"/>
    <w:rsid w:val="5E40270F"/>
    <w:rsid w:val="5E40626B"/>
    <w:rsid w:val="5E473A9D"/>
    <w:rsid w:val="5E483371"/>
    <w:rsid w:val="5E4C10B3"/>
    <w:rsid w:val="5E512226"/>
    <w:rsid w:val="5E5341F0"/>
    <w:rsid w:val="5E541D16"/>
    <w:rsid w:val="5E547F68"/>
    <w:rsid w:val="5E56783C"/>
    <w:rsid w:val="5E5D506F"/>
    <w:rsid w:val="5E624433"/>
    <w:rsid w:val="5E653F23"/>
    <w:rsid w:val="5E6737F7"/>
    <w:rsid w:val="5E6774CF"/>
    <w:rsid w:val="5E68756F"/>
    <w:rsid w:val="5E695530"/>
    <w:rsid w:val="5E6C7060"/>
    <w:rsid w:val="5E710B1A"/>
    <w:rsid w:val="5E745F14"/>
    <w:rsid w:val="5E781EA8"/>
    <w:rsid w:val="5E7A1EB6"/>
    <w:rsid w:val="5E7A3283"/>
    <w:rsid w:val="5E7B278E"/>
    <w:rsid w:val="5E7D126D"/>
    <w:rsid w:val="5E7F4FE5"/>
    <w:rsid w:val="5E8048B9"/>
    <w:rsid w:val="5E806C53"/>
    <w:rsid w:val="5E8343A9"/>
    <w:rsid w:val="5E856373"/>
    <w:rsid w:val="5E892B2C"/>
    <w:rsid w:val="5E8B1BDC"/>
    <w:rsid w:val="5E8E347A"/>
    <w:rsid w:val="5E913942"/>
    <w:rsid w:val="5E916AC6"/>
    <w:rsid w:val="5E9842F9"/>
    <w:rsid w:val="5E987E55"/>
    <w:rsid w:val="5EA20CD3"/>
    <w:rsid w:val="5EA66A16"/>
    <w:rsid w:val="5EA92062"/>
    <w:rsid w:val="5EA92521"/>
    <w:rsid w:val="5EAB5E7A"/>
    <w:rsid w:val="5EAE58CA"/>
    <w:rsid w:val="5EB033F0"/>
    <w:rsid w:val="5EB4159E"/>
    <w:rsid w:val="5EB8071E"/>
    <w:rsid w:val="5EB80AF2"/>
    <w:rsid w:val="5EC073AC"/>
    <w:rsid w:val="5EC450EE"/>
    <w:rsid w:val="5EC7073A"/>
    <w:rsid w:val="5EC92704"/>
    <w:rsid w:val="5ECF37B3"/>
    <w:rsid w:val="5ECF75EF"/>
    <w:rsid w:val="5ED05ACE"/>
    <w:rsid w:val="5ED115B9"/>
    <w:rsid w:val="5ED6097D"/>
    <w:rsid w:val="5ED66BCF"/>
    <w:rsid w:val="5ED846F5"/>
    <w:rsid w:val="5ED97AB4"/>
    <w:rsid w:val="5EDC303D"/>
    <w:rsid w:val="5EE27322"/>
    <w:rsid w:val="5EE4753E"/>
    <w:rsid w:val="5EE65064"/>
    <w:rsid w:val="5EE66E12"/>
    <w:rsid w:val="5EE80859"/>
    <w:rsid w:val="5EE82168"/>
    <w:rsid w:val="5EEE5CC7"/>
    <w:rsid w:val="5EF4086E"/>
    <w:rsid w:val="5EF62DCD"/>
    <w:rsid w:val="5EF77271"/>
    <w:rsid w:val="5EF808F3"/>
    <w:rsid w:val="5EFC4888"/>
    <w:rsid w:val="5F0059FA"/>
    <w:rsid w:val="5F013C4C"/>
    <w:rsid w:val="5F061E42"/>
    <w:rsid w:val="5F08322C"/>
    <w:rsid w:val="5F092B01"/>
    <w:rsid w:val="5F0A783A"/>
    <w:rsid w:val="5F0B0627"/>
    <w:rsid w:val="5F0B6879"/>
    <w:rsid w:val="5F0E0117"/>
    <w:rsid w:val="5F0E45BB"/>
    <w:rsid w:val="5F0E7E34"/>
    <w:rsid w:val="5F1576F7"/>
    <w:rsid w:val="5F182D44"/>
    <w:rsid w:val="5F1A2B43"/>
    <w:rsid w:val="5F1D035A"/>
    <w:rsid w:val="5F1F2324"/>
    <w:rsid w:val="5F21088D"/>
    <w:rsid w:val="5F245B8C"/>
    <w:rsid w:val="5F294F51"/>
    <w:rsid w:val="5F2C67EF"/>
    <w:rsid w:val="5F30008D"/>
    <w:rsid w:val="5F304531"/>
    <w:rsid w:val="5F3F4090"/>
    <w:rsid w:val="5F405364"/>
    <w:rsid w:val="5F4104EC"/>
    <w:rsid w:val="5F4A7642"/>
    <w:rsid w:val="5F5226F9"/>
    <w:rsid w:val="5F546472"/>
    <w:rsid w:val="5F577D10"/>
    <w:rsid w:val="5F5F4E16"/>
    <w:rsid w:val="5F630463"/>
    <w:rsid w:val="5F675A73"/>
    <w:rsid w:val="5F681F1D"/>
    <w:rsid w:val="5F685A79"/>
    <w:rsid w:val="5F6B7317"/>
    <w:rsid w:val="5F6D12E1"/>
    <w:rsid w:val="5F700DD2"/>
    <w:rsid w:val="5F702B80"/>
    <w:rsid w:val="5F75455E"/>
    <w:rsid w:val="5F761608"/>
    <w:rsid w:val="5F7D704B"/>
    <w:rsid w:val="5F7E34EF"/>
    <w:rsid w:val="5F8623A3"/>
    <w:rsid w:val="5F8D4DCC"/>
    <w:rsid w:val="5F8D54E0"/>
    <w:rsid w:val="5F8E1258"/>
    <w:rsid w:val="5F9024A8"/>
    <w:rsid w:val="5F926F9A"/>
    <w:rsid w:val="5F97010C"/>
    <w:rsid w:val="5F9F5213"/>
    <w:rsid w:val="5FA32F55"/>
    <w:rsid w:val="5FA34D03"/>
    <w:rsid w:val="5FA42829"/>
    <w:rsid w:val="5FA8056B"/>
    <w:rsid w:val="5FAA6092"/>
    <w:rsid w:val="5FAB1E0A"/>
    <w:rsid w:val="5FAD000C"/>
    <w:rsid w:val="5FB31BE9"/>
    <w:rsid w:val="5FB36ECE"/>
    <w:rsid w:val="5FB707AE"/>
    <w:rsid w:val="5FB837BB"/>
    <w:rsid w:val="5FBA204D"/>
    <w:rsid w:val="5FBD3482"/>
    <w:rsid w:val="5FBE38EB"/>
    <w:rsid w:val="5FC15189"/>
    <w:rsid w:val="5FC773F1"/>
    <w:rsid w:val="5FCB6008"/>
    <w:rsid w:val="5FCD1D80"/>
    <w:rsid w:val="5FD27396"/>
    <w:rsid w:val="5FD44EBD"/>
    <w:rsid w:val="5FDF3861"/>
    <w:rsid w:val="5FE23F34"/>
    <w:rsid w:val="5FE315A4"/>
    <w:rsid w:val="5FED41D0"/>
    <w:rsid w:val="5FEF1CF6"/>
    <w:rsid w:val="5FEF619A"/>
    <w:rsid w:val="5FF732A1"/>
    <w:rsid w:val="5FF7504F"/>
    <w:rsid w:val="60002155"/>
    <w:rsid w:val="60017C7C"/>
    <w:rsid w:val="600357A2"/>
    <w:rsid w:val="60065E0F"/>
    <w:rsid w:val="600D44FB"/>
    <w:rsid w:val="60125EE4"/>
    <w:rsid w:val="6017124D"/>
    <w:rsid w:val="601A63AB"/>
    <w:rsid w:val="602045A6"/>
    <w:rsid w:val="602A0F80"/>
    <w:rsid w:val="602A71D2"/>
    <w:rsid w:val="602F2A3B"/>
    <w:rsid w:val="603242D9"/>
    <w:rsid w:val="603911C4"/>
    <w:rsid w:val="603F3EAD"/>
    <w:rsid w:val="603F6369"/>
    <w:rsid w:val="60402552"/>
    <w:rsid w:val="6042276E"/>
    <w:rsid w:val="60432479"/>
    <w:rsid w:val="6044257D"/>
    <w:rsid w:val="60477D84"/>
    <w:rsid w:val="604D4C6F"/>
    <w:rsid w:val="604E1113"/>
    <w:rsid w:val="6051475F"/>
    <w:rsid w:val="60520CB5"/>
    <w:rsid w:val="60593614"/>
    <w:rsid w:val="60594A54"/>
    <w:rsid w:val="606A75CF"/>
    <w:rsid w:val="607D004F"/>
    <w:rsid w:val="607E307A"/>
    <w:rsid w:val="60805044"/>
    <w:rsid w:val="60870181"/>
    <w:rsid w:val="608F34D9"/>
    <w:rsid w:val="60910B83"/>
    <w:rsid w:val="60912DAE"/>
    <w:rsid w:val="60917251"/>
    <w:rsid w:val="6098413C"/>
    <w:rsid w:val="60997EB4"/>
    <w:rsid w:val="609D069B"/>
    <w:rsid w:val="609D11F2"/>
    <w:rsid w:val="609D79A4"/>
    <w:rsid w:val="609E371C"/>
    <w:rsid w:val="60A056E7"/>
    <w:rsid w:val="60A07495"/>
    <w:rsid w:val="60A56859"/>
    <w:rsid w:val="60A76A75"/>
    <w:rsid w:val="60A96349"/>
    <w:rsid w:val="60AC1FF9"/>
    <w:rsid w:val="60AE14F9"/>
    <w:rsid w:val="60B13450"/>
    <w:rsid w:val="60B13610"/>
    <w:rsid w:val="60B30F76"/>
    <w:rsid w:val="60B46A9C"/>
    <w:rsid w:val="60B66CA1"/>
    <w:rsid w:val="60B66CB8"/>
    <w:rsid w:val="60C677C2"/>
    <w:rsid w:val="60C969EB"/>
    <w:rsid w:val="60D55390"/>
    <w:rsid w:val="60D64C64"/>
    <w:rsid w:val="60D84E80"/>
    <w:rsid w:val="60DF1D6B"/>
    <w:rsid w:val="60E37E0A"/>
    <w:rsid w:val="60E76E71"/>
    <w:rsid w:val="60E94998"/>
    <w:rsid w:val="60E9572D"/>
    <w:rsid w:val="60EE1FAE"/>
    <w:rsid w:val="60EF48AF"/>
    <w:rsid w:val="60F34B93"/>
    <w:rsid w:val="60F872D1"/>
    <w:rsid w:val="60F9034D"/>
    <w:rsid w:val="60F90953"/>
    <w:rsid w:val="60FD6695"/>
    <w:rsid w:val="60FF41BB"/>
    <w:rsid w:val="61016185"/>
    <w:rsid w:val="610417D1"/>
    <w:rsid w:val="61045C75"/>
    <w:rsid w:val="6109328C"/>
    <w:rsid w:val="61094D17"/>
    <w:rsid w:val="610C68D8"/>
    <w:rsid w:val="610D1BF1"/>
    <w:rsid w:val="610E08A2"/>
    <w:rsid w:val="610F7301"/>
    <w:rsid w:val="61165902"/>
    <w:rsid w:val="611759A9"/>
    <w:rsid w:val="611834CF"/>
    <w:rsid w:val="611A2DA3"/>
    <w:rsid w:val="6129748A"/>
    <w:rsid w:val="612B4CC9"/>
    <w:rsid w:val="612B4FB0"/>
    <w:rsid w:val="612F6F8F"/>
    <w:rsid w:val="613025C6"/>
    <w:rsid w:val="6139071C"/>
    <w:rsid w:val="613A51D4"/>
    <w:rsid w:val="613F0A5C"/>
    <w:rsid w:val="6144421A"/>
    <w:rsid w:val="615053A3"/>
    <w:rsid w:val="6151253D"/>
    <w:rsid w:val="6152204F"/>
    <w:rsid w:val="61595DDF"/>
    <w:rsid w:val="615A3AE7"/>
    <w:rsid w:val="615D7134"/>
    <w:rsid w:val="615F10FE"/>
    <w:rsid w:val="61602923"/>
    <w:rsid w:val="6162299C"/>
    <w:rsid w:val="61652C96"/>
    <w:rsid w:val="61677FB2"/>
    <w:rsid w:val="61693D2A"/>
    <w:rsid w:val="616B7AA3"/>
    <w:rsid w:val="61700C15"/>
    <w:rsid w:val="6170768E"/>
    <w:rsid w:val="617701F5"/>
    <w:rsid w:val="61783F6D"/>
    <w:rsid w:val="6178408E"/>
    <w:rsid w:val="617A7CE6"/>
    <w:rsid w:val="617E77D6"/>
    <w:rsid w:val="61834DEC"/>
    <w:rsid w:val="618446C0"/>
    <w:rsid w:val="61857721"/>
    <w:rsid w:val="61897F29"/>
    <w:rsid w:val="618B5A4F"/>
    <w:rsid w:val="618C6A88"/>
    <w:rsid w:val="618D23D7"/>
    <w:rsid w:val="61907509"/>
    <w:rsid w:val="61A15272"/>
    <w:rsid w:val="61A170E7"/>
    <w:rsid w:val="61A42FB4"/>
    <w:rsid w:val="61A66D2D"/>
    <w:rsid w:val="61A905CB"/>
    <w:rsid w:val="61AD3C17"/>
    <w:rsid w:val="61B2122D"/>
    <w:rsid w:val="61B551C2"/>
    <w:rsid w:val="61B56F70"/>
    <w:rsid w:val="61B96A60"/>
    <w:rsid w:val="61BE4076"/>
    <w:rsid w:val="61BF1B9C"/>
    <w:rsid w:val="61C80A51"/>
    <w:rsid w:val="61CA2A1B"/>
    <w:rsid w:val="61CB46C0"/>
    <w:rsid w:val="61CB62CF"/>
    <w:rsid w:val="61D373F6"/>
    <w:rsid w:val="61D70C94"/>
    <w:rsid w:val="61D86D49"/>
    <w:rsid w:val="61DA619C"/>
    <w:rsid w:val="61E03976"/>
    <w:rsid w:val="61E32DD8"/>
    <w:rsid w:val="61E37639"/>
    <w:rsid w:val="61E57855"/>
    <w:rsid w:val="61E84C4F"/>
    <w:rsid w:val="61EB473F"/>
    <w:rsid w:val="61ED04B8"/>
    <w:rsid w:val="61EF4230"/>
    <w:rsid w:val="61F01D56"/>
    <w:rsid w:val="61F950AE"/>
    <w:rsid w:val="61F96E5C"/>
    <w:rsid w:val="61FE26C5"/>
    <w:rsid w:val="62020581"/>
    <w:rsid w:val="62033E14"/>
    <w:rsid w:val="620A72BB"/>
    <w:rsid w:val="62145A44"/>
    <w:rsid w:val="621D3F2C"/>
    <w:rsid w:val="6220263B"/>
    <w:rsid w:val="622A5268"/>
    <w:rsid w:val="6232236E"/>
    <w:rsid w:val="62364782"/>
    <w:rsid w:val="62375AF0"/>
    <w:rsid w:val="62375BD7"/>
    <w:rsid w:val="62397551"/>
    <w:rsid w:val="623A66C4"/>
    <w:rsid w:val="623E47E2"/>
    <w:rsid w:val="623E6F65"/>
    <w:rsid w:val="623F6839"/>
    <w:rsid w:val="62426A55"/>
    <w:rsid w:val="62483940"/>
    <w:rsid w:val="624A1848"/>
    <w:rsid w:val="624C78D4"/>
    <w:rsid w:val="624D53FA"/>
    <w:rsid w:val="62540537"/>
    <w:rsid w:val="625422E5"/>
    <w:rsid w:val="625B18C5"/>
    <w:rsid w:val="625B3673"/>
    <w:rsid w:val="625C563D"/>
    <w:rsid w:val="62636AC5"/>
    <w:rsid w:val="62647CEB"/>
    <w:rsid w:val="626B762E"/>
    <w:rsid w:val="626F35C2"/>
    <w:rsid w:val="626F778E"/>
    <w:rsid w:val="627012E0"/>
    <w:rsid w:val="62726C0F"/>
    <w:rsid w:val="62740BD9"/>
    <w:rsid w:val="62764951"/>
    <w:rsid w:val="62783599"/>
    <w:rsid w:val="62791D4B"/>
    <w:rsid w:val="627D7A8D"/>
    <w:rsid w:val="627E3805"/>
    <w:rsid w:val="62830581"/>
    <w:rsid w:val="6286301C"/>
    <w:rsid w:val="62864468"/>
    <w:rsid w:val="628662A2"/>
    <w:rsid w:val="628801E0"/>
    <w:rsid w:val="62881A95"/>
    <w:rsid w:val="62890576"/>
    <w:rsid w:val="62894684"/>
    <w:rsid w:val="628A21AA"/>
    <w:rsid w:val="628C7CD0"/>
    <w:rsid w:val="62946DCA"/>
    <w:rsid w:val="62950184"/>
    <w:rsid w:val="62975F54"/>
    <w:rsid w:val="629F3071"/>
    <w:rsid w:val="62A052B7"/>
    <w:rsid w:val="62A27CA7"/>
    <w:rsid w:val="62A327BB"/>
    <w:rsid w:val="62A768B8"/>
    <w:rsid w:val="62AA63A9"/>
    <w:rsid w:val="62AC2121"/>
    <w:rsid w:val="62AE5E99"/>
    <w:rsid w:val="62B2525D"/>
    <w:rsid w:val="62B47227"/>
    <w:rsid w:val="62B66AFB"/>
    <w:rsid w:val="62B80AC5"/>
    <w:rsid w:val="62BD2580"/>
    <w:rsid w:val="62BF7FA3"/>
    <w:rsid w:val="62C05BCC"/>
    <w:rsid w:val="62C0797A"/>
    <w:rsid w:val="62C236F2"/>
    <w:rsid w:val="62C456BC"/>
    <w:rsid w:val="62C751AC"/>
    <w:rsid w:val="62CC4571"/>
    <w:rsid w:val="62CE3B87"/>
    <w:rsid w:val="62D022B3"/>
    <w:rsid w:val="62D376AD"/>
    <w:rsid w:val="62D84CC4"/>
    <w:rsid w:val="62D94DD2"/>
    <w:rsid w:val="62DB155F"/>
    <w:rsid w:val="62DE6052"/>
    <w:rsid w:val="62E23D94"/>
    <w:rsid w:val="62E418BB"/>
    <w:rsid w:val="62E551E2"/>
    <w:rsid w:val="62EC4C13"/>
    <w:rsid w:val="62F0280B"/>
    <w:rsid w:val="62F5014F"/>
    <w:rsid w:val="62FD297C"/>
    <w:rsid w:val="63021D41"/>
    <w:rsid w:val="6308735D"/>
    <w:rsid w:val="630A6E47"/>
    <w:rsid w:val="630B4F5E"/>
    <w:rsid w:val="630E06E5"/>
    <w:rsid w:val="630E4B89"/>
    <w:rsid w:val="631101D6"/>
    <w:rsid w:val="63185A08"/>
    <w:rsid w:val="631A1780"/>
    <w:rsid w:val="631B1054"/>
    <w:rsid w:val="631B69F2"/>
    <w:rsid w:val="631F28F3"/>
    <w:rsid w:val="63205C13"/>
    <w:rsid w:val="63225184"/>
    <w:rsid w:val="63235063"/>
    <w:rsid w:val="6324615B"/>
    <w:rsid w:val="63260125"/>
    <w:rsid w:val="63286F28"/>
    <w:rsid w:val="632A1297"/>
    <w:rsid w:val="63332842"/>
    <w:rsid w:val="633914DA"/>
    <w:rsid w:val="633D18C0"/>
    <w:rsid w:val="633D2BD8"/>
    <w:rsid w:val="63416D0D"/>
    <w:rsid w:val="63436152"/>
    <w:rsid w:val="63446617"/>
    <w:rsid w:val="634632A4"/>
    <w:rsid w:val="63471E49"/>
    <w:rsid w:val="63473653"/>
    <w:rsid w:val="63493E13"/>
    <w:rsid w:val="634C7460"/>
    <w:rsid w:val="634E142A"/>
    <w:rsid w:val="63554566"/>
    <w:rsid w:val="63556314"/>
    <w:rsid w:val="635D78BF"/>
    <w:rsid w:val="63650337"/>
    <w:rsid w:val="6367429A"/>
    <w:rsid w:val="636B1FDC"/>
    <w:rsid w:val="636C365E"/>
    <w:rsid w:val="636E0EF6"/>
    <w:rsid w:val="637013A0"/>
    <w:rsid w:val="6370314E"/>
    <w:rsid w:val="63711839"/>
    <w:rsid w:val="637349EC"/>
    <w:rsid w:val="637644DD"/>
    <w:rsid w:val="637864A7"/>
    <w:rsid w:val="637C31BE"/>
    <w:rsid w:val="637C7D45"/>
    <w:rsid w:val="637D1D0F"/>
    <w:rsid w:val="637D2E87"/>
    <w:rsid w:val="63811F35"/>
    <w:rsid w:val="63881DBD"/>
    <w:rsid w:val="63883103"/>
    <w:rsid w:val="638D4E7E"/>
    <w:rsid w:val="638E7A78"/>
    <w:rsid w:val="639130C5"/>
    <w:rsid w:val="63952BB5"/>
    <w:rsid w:val="639808F7"/>
    <w:rsid w:val="639A466F"/>
    <w:rsid w:val="639B1A12"/>
    <w:rsid w:val="63A252D2"/>
    <w:rsid w:val="63A46FFC"/>
    <w:rsid w:val="63A849D2"/>
    <w:rsid w:val="63AB4186"/>
    <w:rsid w:val="63B05C41"/>
    <w:rsid w:val="63B3128D"/>
    <w:rsid w:val="63B76FCF"/>
    <w:rsid w:val="63B948A0"/>
    <w:rsid w:val="63C24D92"/>
    <w:rsid w:val="63C419B3"/>
    <w:rsid w:val="63C4349A"/>
    <w:rsid w:val="63C811DC"/>
    <w:rsid w:val="63C86A2B"/>
    <w:rsid w:val="63D054A9"/>
    <w:rsid w:val="63D40BE9"/>
    <w:rsid w:val="63D47F9E"/>
    <w:rsid w:val="63D86F45"/>
    <w:rsid w:val="63DD455C"/>
    <w:rsid w:val="63E0211F"/>
    <w:rsid w:val="63E1404C"/>
    <w:rsid w:val="63E37DC4"/>
    <w:rsid w:val="63E678B4"/>
    <w:rsid w:val="63E8362C"/>
    <w:rsid w:val="63EB4ECB"/>
    <w:rsid w:val="63EC4EF3"/>
    <w:rsid w:val="63ED29F1"/>
    <w:rsid w:val="63FE69AC"/>
    <w:rsid w:val="64032214"/>
    <w:rsid w:val="6405643E"/>
    <w:rsid w:val="64061D04"/>
    <w:rsid w:val="640815D9"/>
    <w:rsid w:val="6408782B"/>
    <w:rsid w:val="640A35A3"/>
    <w:rsid w:val="640F0BB9"/>
    <w:rsid w:val="640F2D98"/>
    <w:rsid w:val="6410048D"/>
    <w:rsid w:val="64137F7D"/>
    <w:rsid w:val="64144421"/>
    <w:rsid w:val="64191A38"/>
    <w:rsid w:val="64195594"/>
    <w:rsid w:val="641C5084"/>
    <w:rsid w:val="641E704E"/>
    <w:rsid w:val="64210077"/>
    <w:rsid w:val="642167B4"/>
    <w:rsid w:val="642B3519"/>
    <w:rsid w:val="642F125B"/>
    <w:rsid w:val="643028DD"/>
    <w:rsid w:val="64337E72"/>
    <w:rsid w:val="64370110"/>
    <w:rsid w:val="64393E88"/>
    <w:rsid w:val="643C5726"/>
    <w:rsid w:val="643E0E5C"/>
    <w:rsid w:val="643E5117"/>
    <w:rsid w:val="64432611"/>
    <w:rsid w:val="64485E79"/>
    <w:rsid w:val="6449399F"/>
    <w:rsid w:val="644B034C"/>
    <w:rsid w:val="644B15DB"/>
    <w:rsid w:val="644C3BBB"/>
    <w:rsid w:val="644E3D19"/>
    <w:rsid w:val="644F0FB6"/>
    <w:rsid w:val="64524F4A"/>
    <w:rsid w:val="64534785"/>
    <w:rsid w:val="64552344"/>
    <w:rsid w:val="645667E8"/>
    <w:rsid w:val="645B3DFE"/>
    <w:rsid w:val="645C7B76"/>
    <w:rsid w:val="645E38EF"/>
    <w:rsid w:val="645F0A48"/>
    <w:rsid w:val="64654C7D"/>
    <w:rsid w:val="64684E3B"/>
    <w:rsid w:val="646A2293"/>
    <w:rsid w:val="647535D9"/>
    <w:rsid w:val="647640BA"/>
    <w:rsid w:val="647C1FC7"/>
    <w:rsid w:val="647C3D75"/>
    <w:rsid w:val="647F4AE8"/>
    <w:rsid w:val="6483767E"/>
    <w:rsid w:val="6487551C"/>
    <w:rsid w:val="648917D7"/>
    <w:rsid w:val="648A46E4"/>
    <w:rsid w:val="648A7941"/>
    <w:rsid w:val="649308CA"/>
    <w:rsid w:val="649317EA"/>
    <w:rsid w:val="64933ABF"/>
    <w:rsid w:val="649B069F"/>
    <w:rsid w:val="649E3CEB"/>
    <w:rsid w:val="64A4355C"/>
    <w:rsid w:val="64AD3F2E"/>
    <w:rsid w:val="64AF414A"/>
    <w:rsid w:val="64B41760"/>
    <w:rsid w:val="64B452BD"/>
    <w:rsid w:val="64B55F14"/>
    <w:rsid w:val="64BD6E3E"/>
    <w:rsid w:val="64BE438D"/>
    <w:rsid w:val="64C00105"/>
    <w:rsid w:val="64C45AF8"/>
    <w:rsid w:val="64C574CA"/>
    <w:rsid w:val="64C64FF0"/>
    <w:rsid w:val="64C84907"/>
    <w:rsid w:val="64C97967"/>
    <w:rsid w:val="64CA0F84"/>
    <w:rsid w:val="64CB5679"/>
    <w:rsid w:val="64CC2606"/>
    <w:rsid w:val="64D836A1"/>
    <w:rsid w:val="64DB6CED"/>
    <w:rsid w:val="64DF43D9"/>
    <w:rsid w:val="64E060B2"/>
    <w:rsid w:val="64E41150"/>
    <w:rsid w:val="64E75692"/>
    <w:rsid w:val="64EA33D4"/>
    <w:rsid w:val="64EC08CE"/>
    <w:rsid w:val="64EC2CA8"/>
    <w:rsid w:val="64EC4A56"/>
    <w:rsid w:val="64EF09EB"/>
    <w:rsid w:val="64F66EBC"/>
    <w:rsid w:val="64FB738F"/>
    <w:rsid w:val="64FD4EB5"/>
    <w:rsid w:val="64FF0C2E"/>
    <w:rsid w:val="6502071E"/>
    <w:rsid w:val="65085608"/>
    <w:rsid w:val="650B6F5C"/>
    <w:rsid w:val="650C50F9"/>
    <w:rsid w:val="650F65D3"/>
    <w:rsid w:val="65110961"/>
    <w:rsid w:val="65136487"/>
    <w:rsid w:val="651569E0"/>
    <w:rsid w:val="651D5558"/>
    <w:rsid w:val="6522491C"/>
    <w:rsid w:val="65230BB9"/>
    <w:rsid w:val="6525705F"/>
    <w:rsid w:val="652B54CB"/>
    <w:rsid w:val="652C16E9"/>
    <w:rsid w:val="652C579B"/>
    <w:rsid w:val="652E1513"/>
    <w:rsid w:val="65332685"/>
    <w:rsid w:val="653463FD"/>
    <w:rsid w:val="65373578"/>
    <w:rsid w:val="65384140"/>
    <w:rsid w:val="653A02CF"/>
    <w:rsid w:val="653D52B2"/>
    <w:rsid w:val="65427699"/>
    <w:rsid w:val="65436640"/>
    <w:rsid w:val="65442AE4"/>
    <w:rsid w:val="65494C94"/>
    <w:rsid w:val="654C3747"/>
    <w:rsid w:val="654E74BF"/>
    <w:rsid w:val="65532D27"/>
    <w:rsid w:val="655467D1"/>
    <w:rsid w:val="6560179B"/>
    <w:rsid w:val="65624D19"/>
    <w:rsid w:val="65652A5B"/>
    <w:rsid w:val="65654809"/>
    <w:rsid w:val="656B0D13"/>
    <w:rsid w:val="656D4024"/>
    <w:rsid w:val="65705687"/>
    <w:rsid w:val="65711400"/>
    <w:rsid w:val="65711DFC"/>
    <w:rsid w:val="65717652"/>
    <w:rsid w:val="65747D87"/>
    <w:rsid w:val="65756075"/>
    <w:rsid w:val="657809E0"/>
    <w:rsid w:val="657A4758"/>
    <w:rsid w:val="657A6A22"/>
    <w:rsid w:val="657F1404"/>
    <w:rsid w:val="657F3B1C"/>
    <w:rsid w:val="65835ADB"/>
    <w:rsid w:val="65856C59"/>
    <w:rsid w:val="658630FD"/>
    <w:rsid w:val="65896749"/>
    <w:rsid w:val="658C6239"/>
    <w:rsid w:val="65921AA2"/>
    <w:rsid w:val="65943D2E"/>
    <w:rsid w:val="65960165"/>
    <w:rsid w:val="65997102"/>
    <w:rsid w:val="659D21F5"/>
    <w:rsid w:val="659F5F6D"/>
    <w:rsid w:val="65A05841"/>
    <w:rsid w:val="65A101C8"/>
    <w:rsid w:val="65A11CE5"/>
    <w:rsid w:val="65A307FF"/>
    <w:rsid w:val="65A45331"/>
    <w:rsid w:val="65A610A9"/>
    <w:rsid w:val="65A74E21"/>
    <w:rsid w:val="65AB2B63"/>
    <w:rsid w:val="65B4371E"/>
    <w:rsid w:val="65B5753E"/>
    <w:rsid w:val="65BD4645"/>
    <w:rsid w:val="65C038BF"/>
    <w:rsid w:val="65C459D3"/>
    <w:rsid w:val="65C47781"/>
    <w:rsid w:val="65C71020"/>
    <w:rsid w:val="65C94D98"/>
    <w:rsid w:val="65CC6636"/>
    <w:rsid w:val="65D025CA"/>
    <w:rsid w:val="65D16249"/>
    <w:rsid w:val="65D8147F"/>
    <w:rsid w:val="65E25E59"/>
    <w:rsid w:val="65E472BA"/>
    <w:rsid w:val="65E6594A"/>
    <w:rsid w:val="65EB7404"/>
    <w:rsid w:val="65F004D2"/>
    <w:rsid w:val="65F067C8"/>
    <w:rsid w:val="65F07C46"/>
    <w:rsid w:val="65F57307"/>
    <w:rsid w:val="65F71905"/>
    <w:rsid w:val="65F938CF"/>
    <w:rsid w:val="65FC516D"/>
    <w:rsid w:val="65FD2C93"/>
    <w:rsid w:val="65FE1159"/>
    <w:rsid w:val="65FF6A0B"/>
    <w:rsid w:val="66017C1F"/>
    <w:rsid w:val="66025313"/>
    <w:rsid w:val="6603474E"/>
    <w:rsid w:val="66063C4D"/>
    <w:rsid w:val="660B1854"/>
    <w:rsid w:val="660C375D"/>
    <w:rsid w:val="66122D27"/>
    <w:rsid w:val="6612673F"/>
    <w:rsid w:val="66140709"/>
    <w:rsid w:val="66154481"/>
    <w:rsid w:val="661C3F42"/>
    <w:rsid w:val="661F2C0A"/>
    <w:rsid w:val="662045C9"/>
    <w:rsid w:val="66236B9E"/>
    <w:rsid w:val="6624697A"/>
    <w:rsid w:val="66280D11"/>
    <w:rsid w:val="662841B4"/>
    <w:rsid w:val="662A1D70"/>
    <w:rsid w:val="662D5327"/>
    <w:rsid w:val="663027F3"/>
    <w:rsid w:val="66315A7A"/>
    <w:rsid w:val="66342B59"/>
    <w:rsid w:val="66377F53"/>
    <w:rsid w:val="663E0BF4"/>
    <w:rsid w:val="663E5786"/>
    <w:rsid w:val="663F0955"/>
    <w:rsid w:val="66434B4A"/>
    <w:rsid w:val="66476DEF"/>
    <w:rsid w:val="66482160"/>
    <w:rsid w:val="664B1C51"/>
    <w:rsid w:val="664B7EA3"/>
    <w:rsid w:val="664D7777"/>
    <w:rsid w:val="66544FA9"/>
    <w:rsid w:val="6655487D"/>
    <w:rsid w:val="66564873"/>
    <w:rsid w:val="665E3732"/>
    <w:rsid w:val="665E7BD6"/>
    <w:rsid w:val="66660838"/>
    <w:rsid w:val="666F1DE3"/>
    <w:rsid w:val="66703465"/>
    <w:rsid w:val="667967BE"/>
    <w:rsid w:val="667B0788"/>
    <w:rsid w:val="667B2536"/>
    <w:rsid w:val="667F5A9A"/>
    <w:rsid w:val="6680501B"/>
    <w:rsid w:val="668313EA"/>
    <w:rsid w:val="66833198"/>
    <w:rsid w:val="668533B4"/>
    <w:rsid w:val="66854445"/>
    <w:rsid w:val="668A09CB"/>
    <w:rsid w:val="668D2269"/>
    <w:rsid w:val="668D7512"/>
    <w:rsid w:val="668E3573"/>
    <w:rsid w:val="668F5FE1"/>
    <w:rsid w:val="669B2BD8"/>
    <w:rsid w:val="669B6734"/>
    <w:rsid w:val="669E7FD2"/>
    <w:rsid w:val="669F1927"/>
    <w:rsid w:val="66A15D14"/>
    <w:rsid w:val="66A23F66"/>
    <w:rsid w:val="66A3383B"/>
    <w:rsid w:val="66A6332B"/>
    <w:rsid w:val="66A870A3"/>
    <w:rsid w:val="66AB0941"/>
    <w:rsid w:val="66AF3F8D"/>
    <w:rsid w:val="66B141AA"/>
    <w:rsid w:val="66B772E6"/>
    <w:rsid w:val="66BB7D21"/>
    <w:rsid w:val="66C51A03"/>
    <w:rsid w:val="66C57C55"/>
    <w:rsid w:val="66CD4D5B"/>
    <w:rsid w:val="66CF4630"/>
    <w:rsid w:val="66CF63DE"/>
    <w:rsid w:val="66D165FA"/>
    <w:rsid w:val="66D439F4"/>
    <w:rsid w:val="66D63C10"/>
    <w:rsid w:val="66DD63E5"/>
    <w:rsid w:val="66DF76D4"/>
    <w:rsid w:val="66E16111"/>
    <w:rsid w:val="66E225B5"/>
    <w:rsid w:val="66EA76BB"/>
    <w:rsid w:val="66EC6F90"/>
    <w:rsid w:val="66F01F82"/>
    <w:rsid w:val="66F05F34"/>
    <w:rsid w:val="66F26570"/>
    <w:rsid w:val="66F26971"/>
    <w:rsid w:val="66F4477F"/>
    <w:rsid w:val="66F85A07"/>
    <w:rsid w:val="66FD73EF"/>
    <w:rsid w:val="67000C8D"/>
    <w:rsid w:val="67006EDF"/>
    <w:rsid w:val="67145898"/>
    <w:rsid w:val="671A2875"/>
    <w:rsid w:val="671B1623"/>
    <w:rsid w:val="672030DD"/>
    <w:rsid w:val="67211A19"/>
    <w:rsid w:val="67220C03"/>
    <w:rsid w:val="6723497B"/>
    <w:rsid w:val="67295A58"/>
    <w:rsid w:val="672A5D0A"/>
    <w:rsid w:val="672C6851"/>
    <w:rsid w:val="672D4457"/>
    <w:rsid w:val="672F1572"/>
    <w:rsid w:val="67380715"/>
    <w:rsid w:val="673D77EB"/>
    <w:rsid w:val="673F2C7A"/>
    <w:rsid w:val="673F7A07"/>
    <w:rsid w:val="674072DB"/>
    <w:rsid w:val="674A094A"/>
    <w:rsid w:val="675016C2"/>
    <w:rsid w:val="67522FB5"/>
    <w:rsid w:val="67530DBD"/>
    <w:rsid w:val="67540894"/>
    <w:rsid w:val="67566EED"/>
    <w:rsid w:val="67580AC9"/>
    <w:rsid w:val="67584625"/>
    <w:rsid w:val="676254A4"/>
    <w:rsid w:val="6765041B"/>
    <w:rsid w:val="676E3E49"/>
    <w:rsid w:val="676F196F"/>
    <w:rsid w:val="6773320D"/>
    <w:rsid w:val="67746F85"/>
    <w:rsid w:val="677551D7"/>
    <w:rsid w:val="677671A1"/>
    <w:rsid w:val="67786A75"/>
    <w:rsid w:val="67790AF4"/>
    <w:rsid w:val="677B6565"/>
    <w:rsid w:val="677F5452"/>
    <w:rsid w:val="677F6056"/>
    <w:rsid w:val="6780592A"/>
    <w:rsid w:val="678278F4"/>
    <w:rsid w:val="678418BE"/>
    <w:rsid w:val="67841F6B"/>
    <w:rsid w:val="6784366C"/>
    <w:rsid w:val="67883798"/>
    <w:rsid w:val="67896ED4"/>
    <w:rsid w:val="678B49FB"/>
    <w:rsid w:val="678C0773"/>
    <w:rsid w:val="678E0047"/>
    <w:rsid w:val="678E6299"/>
    <w:rsid w:val="67900263"/>
    <w:rsid w:val="67915D89"/>
    <w:rsid w:val="679413D5"/>
    <w:rsid w:val="67982C74"/>
    <w:rsid w:val="679A2E90"/>
    <w:rsid w:val="679B1BC9"/>
    <w:rsid w:val="67A05409"/>
    <w:rsid w:val="67A20640"/>
    <w:rsid w:val="67A21D44"/>
    <w:rsid w:val="67A26575"/>
    <w:rsid w:val="67AC2BC3"/>
    <w:rsid w:val="67B33F51"/>
    <w:rsid w:val="67B75622"/>
    <w:rsid w:val="67BD72E9"/>
    <w:rsid w:val="67BF46A4"/>
    <w:rsid w:val="67C5088E"/>
    <w:rsid w:val="67C63C85"/>
    <w:rsid w:val="67CB3049"/>
    <w:rsid w:val="67CC0B6F"/>
    <w:rsid w:val="67CF2049"/>
    <w:rsid w:val="67D11A4E"/>
    <w:rsid w:val="67D22629"/>
    <w:rsid w:val="67D411EB"/>
    <w:rsid w:val="67DD4B2A"/>
    <w:rsid w:val="67E1286C"/>
    <w:rsid w:val="67E301C9"/>
    <w:rsid w:val="67E4235D"/>
    <w:rsid w:val="67E660D5"/>
    <w:rsid w:val="67E97973"/>
    <w:rsid w:val="67EB7247"/>
    <w:rsid w:val="67EC1211"/>
    <w:rsid w:val="67EC27B5"/>
    <w:rsid w:val="67F51E74"/>
    <w:rsid w:val="67F568AB"/>
    <w:rsid w:val="67F84BAC"/>
    <w:rsid w:val="67F87BB6"/>
    <w:rsid w:val="67FF2CF3"/>
    <w:rsid w:val="68012F0F"/>
    <w:rsid w:val="68016A6B"/>
    <w:rsid w:val="6804655B"/>
    <w:rsid w:val="680622D3"/>
    <w:rsid w:val="68071BA7"/>
    <w:rsid w:val="680B5B3B"/>
    <w:rsid w:val="680E1188"/>
    <w:rsid w:val="68106CAE"/>
    <w:rsid w:val="6818054C"/>
    <w:rsid w:val="68183DB4"/>
    <w:rsid w:val="68191A91"/>
    <w:rsid w:val="681A7B2C"/>
    <w:rsid w:val="681B464D"/>
    <w:rsid w:val="681E4308"/>
    <w:rsid w:val="681F15E7"/>
    <w:rsid w:val="681F5143"/>
    <w:rsid w:val="681F6961"/>
    <w:rsid w:val="682054F9"/>
    <w:rsid w:val="68240B89"/>
    <w:rsid w:val="6826136B"/>
    <w:rsid w:val="68297D70"/>
    <w:rsid w:val="682B1D3A"/>
    <w:rsid w:val="682B7F8C"/>
    <w:rsid w:val="683F3A37"/>
    <w:rsid w:val="683F7593"/>
    <w:rsid w:val="684352D5"/>
    <w:rsid w:val="685017A0"/>
    <w:rsid w:val="68541CB5"/>
    <w:rsid w:val="68570199"/>
    <w:rsid w:val="68570D81"/>
    <w:rsid w:val="68610A2F"/>
    <w:rsid w:val="686A0AB4"/>
    <w:rsid w:val="686A5863"/>
    <w:rsid w:val="686F7E78"/>
    <w:rsid w:val="68721717"/>
    <w:rsid w:val="687F3E33"/>
    <w:rsid w:val="68805514"/>
    <w:rsid w:val="6881195A"/>
    <w:rsid w:val="688171D5"/>
    <w:rsid w:val="688B0A2A"/>
    <w:rsid w:val="688C138F"/>
    <w:rsid w:val="68905759"/>
    <w:rsid w:val="68953657"/>
    <w:rsid w:val="689A15B9"/>
    <w:rsid w:val="68A13DAA"/>
    <w:rsid w:val="68A36A6C"/>
    <w:rsid w:val="68A45648"/>
    <w:rsid w:val="68A839E0"/>
    <w:rsid w:val="68A84B24"/>
    <w:rsid w:val="68AA7FC8"/>
    <w:rsid w:val="68AE0E91"/>
    <w:rsid w:val="68AF296B"/>
    <w:rsid w:val="68B03FED"/>
    <w:rsid w:val="68B2355C"/>
    <w:rsid w:val="68BA52A2"/>
    <w:rsid w:val="68BE2BAE"/>
    <w:rsid w:val="68BE495C"/>
    <w:rsid w:val="68C006D4"/>
    <w:rsid w:val="68C1444C"/>
    <w:rsid w:val="68C55CEA"/>
    <w:rsid w:val="68D43ED1"/>
    <w:rsid w:val="68D979E8"/>
    <w:rsid w:val="68DB72BC"/>
    <w:rsid w:val="68E31C7D"/>
    <w:rsid w:val="68E343C2"/>
    <w:rsid w:val="68E36170"/>
    <w:rsid w:val="68E57D0D"/>
    <w:rsid w:val="68EC771B"/>
    <w:rsid w:val="68ED5241"/>
    <w:rsid w:val="68F00A95"/>
    <w:rsid w:val="68F465CF"/>
    <w:rsid w:val="68F55EA4"/>
    <w:rsid w:val="68F760C0"/>
    <w:rsid w:val="68FB795E"/>
    <w:rsid w:val="68FC5484"/>
    <w:rsid w:val="68FE744E"/>
    <w:rsid w:val="6905258B"/>
    <w:rsid w:val="69076303"/>
    <w:rsid w:val="690D040B"/>
    <w:rsid w:val="691643B3"/>
    <w:rsid w:val="69180510"/>
    <w:rsid w:val="69196036"/>
    <w:rsid w:val="691F4FA3"/>
    <w:rsid w:val="692549DB"/>
    <w:rsid w:val="692F717A"/>
    <w:rsid w:val="69310AF9"/>
    <w:rsid w:val="693654E7"/>
    <w:rsid w:val="69382960"/>
    <w:rsid w:val="693C5C0C"/>
    <w:rsid w:val="693D7F76"/>
    <w:rsid w:val="694110E9"/>
    <w:rsid w:val="69432AB6"/>
    <w:rsid w:val="69450BD9"/>
    <w:rsid w:val="69490210"/>
    <w:rsid w:val="694C1F68"/>
    <w:rsid w:val="694E2071"/>
    <w:rsid w:val="69535A05"/>
    <w:rsid w:val="69561038"/>
    <w:rsid w:val="69562DE6"/>
    <w:rsid w:val="69586B5E"/>
    <w:rsid w:val="695B21AB"/>
    <w:rsid w:val="695E1C9B"/>
    <w:rsid w:val="695E7B16"/>
    <w:rsid w:val="69603C65"/>
    <w:rsid w:val="69603DA2"/>
    <w:rsid w:val="69683798"/>
    <w:rsid w:val="69690D6B"/>
    <w:rsid w:val="696A6E60"/>
    <w:rsid w:val="69715E72"/>
    <w:rsid w:val="69747710"/>
    <w:rsid w:val="697A3B33"/>
    <w:rsid w:val="697E40EB"/>
    <w:rsid w:val="69852275"/>
    <w:rsid w:val="69855479"/>
    <w:rsid w:val="69881641"/>
    <w:rsid w:val="698A0CE2"/>
    <w:rsid w:val="698C6808"/>
    <w:rsid w:val="698E2580"/>
    <w:rsid w:val="69912070"/>
    <w:rsid w:val="69993B96"/>
    <w:rsid w:val="699D238C"/>
    <w:rsid w:val="699D6C67"/>
    <w:rsid w:val="699E2456"/>
    <w:rsid w:val="69A200AE"/>
    <w:rsid w:val="69A2602B"/>
    <w:rsid w:val="69A26117"/>
    <w:rsid w:val="69AA3132"/>
    <w:rsid w:val="69AB0181"/>
    <w:rsid w:val="69AE2C22"/>
    <w:rsid w:val="69AE49D0"/>
    <w:rsid w:val="69B0699A"/>
    <w:rsid w:val="69B144C0"/>
    <w:rsid w:val="69B33D95"/>
    <w:rsid w:val="69B47B0D"/>
    <w:rsid w:val="69BA15C7"/>
    <w:rsid w:val="69BA59A8"/>
    <w:rsid w:val="69BD4C2B"/>
    <w:rsid w:val="69BE2739"/>
    <w:rsid w:val="69C441F4"/>
    <w:rsid w:val="69C46CC3"/>
    <w:rsid w:val="69C97A5C"/>
    <w:rsid w:val="69CC12FA"/>
    <w:rsid w:val="69CE5072"/>
    <w:rsid w:val="69D0459A"/>
    <w:rsid w:val="69D16911"/>
    <w:rsid w:val="69D361E5"/>
    <w:rsid w:val="69D72179"/>
    <w:rsid w:val="69D97A59"/>
    <w:rsid w:val="69DB153D"/>
    <w:rsid w:val="69DD7064"/>
    <w:rsid w:val="69DF4B8A"/>
    <w:rsid w:val="69E46644"/>
    <w:rsid w:val="69E525A6"/>
    <w:rsid w:val="69E84666"/>
    <w:rsid w:val="69ED735F"/>
    <w:rsid w:val="69EE301F"/>
    <w:rsid w:val="69F30635"/>
    <w:rsid w:val="69F66377"/>
    <w:rsid w:val="69FA5E67"/>
    <w:rsid w:val="69FC345A"/>
    <w:rsid w:val="69FC398E"/>
    <w:rsid w:val="69FF522C"/>
    <w:rsid w:val="6A0A597F"/>
    <w:rsid w:val="6A0C7949"/>
    <w:rsid w:val="6A0F3344"/>
    <w:rsid w:val="6A143C4B"/>
    <w:rsid w:val="6A19173C"/>
    <w:rsid w:val="6A197154"/>
    <w:rsid w:val="6A25348F"/>
    <w:rsid w:val="6A2627B9"/>
    <w:rsid w:val="6A2904FB"/>
    <w:rsid w:val="6A294057"/>
    <w:rsid w:val="6A2B4273"/>
    <w:rsid w:val="6A2C58F8"/>
    <w:rsid w:val="6A2E78BF"/>
    <w:rsid w:val="6A2F590D"/>
    <w:rsid w:val="6A30161E"/>
    <w:rsid w:val="6A330AD1"/>
    <w:rsid w:val="6A356EA0"/>
    <w:rsid w:val="6A372C18"/>
    <w:rsid w:val="6A386990"/>
    <w:rsid w:val="6A3C3973"/>
    <w:rsid w:val="6A42336B"/>
    <w:rsid w:val="6A481A52"/>
    <w:rsid w:val="6A4B0471"/>
    <w:rsid w:val="6A4B06F6"/>
    <w:rsid w:val="6A575068"/>
    <w:rsid w:val="6A5A06B4"/>
    <w:rsid w:val="6A611A43"/>
    <w:rsid w:val="6A624A2F"/>
    <w:rsid w:val="6A627569"/>
    <w:rsid w:val="6A640209"/>
    <w:rsid w:val="6A652FD8"/>
    <w:rsid w:val="6A6534F3"/>
    <w:rsid w:val="6A682DD1"/>
    <w:rsid w:val="6A6921D7"/>
    <w:rsid w:val="6A696B49"/>
    <w:rsid w:val="6A6A3122"/>
    <w:rsid w:val="6A731776"/>
    <w:rsid w:val="6A796A9F"/>
    <w:rsid w:val="6A7A2B04"/>
    <w:rsid w:val="6A7E25F5"/>
    <w:rsid w:val="6A813E93"/>
    <w:rsid w:val="6A883473"/>
    <w:rsid w:val="6A90057A"/>
    <w:rsid w:val="6A9260A0"/>
    <w:rsid w:val="6A9516EC"/>
    <w:rsid w:val="6A995680"/>
    <w:rsid w:val="6A9E0AB3"/>
    <w:rsid w:val="6AA302AD"/>
    <w:rsid w:val="6AA72412"/>
    <w:rsid w:val="6AAB7162"/>
    <w:rsid w:val="6AAD2EDA"/>
    <w:rsid w:val="6AB06526"/>
    <w:rsid w:val="6AB627B0"/>
    <w:rsid w:val="6AB75B07"/>
    <w:rsid w:val="6AB9362D"/>
    <w:rsid w:val="6ABA7372"/>
    <w:rsid w:val="6ABC577D"/>
    <w:rsid w:val="6AC326FD"/>
    <w:rsid w:val="6AC344AB"/>
    <w:rsid w:val="6ACA583A"/>
    <w:rsid w:val="6ACF10A2"/>
    <w:rsid w:val="6AD05952"/>
    <w:rsid w:val="6AD12861"/>
    <w:rsid w:val="6AD246EE"/>
    <w:rsid w:val="6AD77F57"/>
    <w:rsid w:val="6ADA2581"/>
    <w:rsid w:val="6ADB13C7"/>
    <w:rsid w:val="6AE74904"/>
    <w:rsid w:val="6AEB755E"/>
    <w:rsid w:val="6AF02DC7"/>
    <w:rsid w:val="6AF86168"/>
    <w:rsid w:val="6AFA64AC"/>
    <w:rsid w:val="6AFE54E3"/>
    <w:rsid w:val="6B00125C"/>
    <w:rsid w:val="6B0E1E52"/>
    <w:rsid w:val="6B0F4184"/>
    <w:rsid w:val="6B0F71E2"/>
    <w:rsid w:val="6B170353"/>
    <w:rsid w:val="6B1747F7"/>
    <w:rsid w:val="6B1B42E7"/>
    <w:rsid w:val="6B1E5B86"/>
    <w:rsid w:val="6B1F5FA9"/>
    <w:rsid w:val="6B217424"/>
    <w:rsid w:val="6B2A277C"/>
    <w:rsid w:val="6B322639"/>
    <w:rsid w:val="6B347157"/>
    <w:rsid w:val="6B364C7D"/>
    <w:rsid w:val="6B413622"/>
    <w:rsid w:val="6B427C02"/>
    <w:rsid w:val="6B43739A"/>
    <w:rsid w:val="6B4C48E8"/>
    <w:rsid w:val="6B5363CE"/>
    <w:rsid w:val="6B5430AF"/>
    <w:rsid w:val="6B56531F"/>
    <w:rsid w:val="6B572E46"/>
    <w:rsid w:val="6B572E49"/>
    <w:rsid w:val="6B581098"/>
    <w:rsid w:val="6B59096C"/>
    <w:rsid w:val="6B5949F9"/>
    <w:rsid w:val="6B5B2936"/>
    <w:rsid w:val="6B5C220A"/>
    <w:rsid w:val="6B637A3C"/>
    <w:rsid w:val="6B6932A5"/>
    <w:rsid w:val="6B6A2B79"/>
    <w:rsid w:val="6B6C3431"/>
    <w:rsid w:val="6B7439F8"/>
    <w:rsid w:val="6B76151E"/>
    <w:rsid w:val="6B7B4D86"/>
    <w:rsid w:val="6B7E5284"/>
    <w:rsid w:val="6B824366"/>
    <w:rsid w:val="6B881251"/>
    <w:rsid w:val="6B8D6867"/>
    <w:rsid w:val="6B8F438D"/>
    <w:rsid w:val="6B8F513C"/>
    <w:rsid w:val="6B910106"/>
    <w:rsid w:val="6B930322"/>
    <w:rsid w:val="6B952F78"/>
    <w:rsid w:val="6B981494"/>
    <w:rsid w:val="6B9A16B0"/>
    <w:rsid w:val="6B9B2D32"/>
    <w:rsid w:val="6B9D2F4E"/>
    <w:rsid w:val="6B9F6CC6"/>
    <w:rsid w:val="6BAC3191"/>
    <w:rsid w:val="6BB40298"/>
    <w:rsid w:val="6BB43DF4"/>
    <w:rsid w:val="6BB81B36"/>
    <w:rsid w:val="6BB838E4"/>
    <w:rsid w:val="6BB9765C"/>
    <w:rsid w:val="6BBA3B00"/>
    <w:rsid w:val="6BBD0EFB"/>
    <w:rsid w:val="6BBF1117"/>
    <w:rsid w:val="6BCE3108"/>
    <w:rsid w:val="6BCE4EB6"/>
    <w:rsid w:val="6BD12AD1"/>
    <w:rsid w:val="6BD526E8"/>
    <w:rsid w:val="6BDD7547"/>
    <w:rsid w:val="6BE40B7D"/>
    <w:rsid w:val="6BEA5A68"/>
    <w:rsid w:val="6BF3491C"/>
    <w:rsid w:val="6BF5165A"/>
    <w:rsid w:val="6BF568E6"/>
    <w:rsid w:val="6BF8342F"/>
    <w:rsid w:val="6BF95CAB"/>
    <w:rsid w:val="6BFB3FCD"/>
    <w:rsid w:val="6BFD1C3F"/>
    <w:rsid w:val="6BFF1513"/>
    <w:rsid w:val="6C005EAC"/>
    <w:rsid w:val="6C0528A2"/>
    <w:rsid w:val="6C0E1756"/>
    <w:rsid w:val="6C0E79A8"/>
    <w:rsid w:val="6C0F54CE"/>
    <w:rsid w:val="6C101972"/>
    <w:rsid w:val="6C117498"/>
    <w:rsid w:val="6C136D6D"/>
    <w:rsid w:val="6C155E31"/>
    <w:rsid w:val="6C165A05"/>
    <w:rsid w:val="6C170751"/>
    <w:rsid w:val="6C1F3963"/>
    <w:rsid w:val="6C214EA2"/>
    <w:rsid w:val="6C223454"/>
    <w:rsid w:val="6C264CF2"/>
    <w:rsid w:val="6C2B2308"/>
    <w:rsid w:val="6C2B3654"/>
    <w:rsid w:val="6C2B67AC"/>
    <w:rsid w:val="6C2C6080"/>
    <w:rsid w:val="6C2E004A"/>
    <w:rsid w:val="6C30791F"/>
    <w:rsid w:val="6C33740F"/>
    <w:rsid w:val="6C3513D9"/>
    <w:rsid w:val="6C376EFF"/>
    <w:rsid w:val="6C3867D3"/>
    <w:rsid w:val="6C3D028D"/>
    <w:rsid w:val="6C3F7B62"/>
    <w:rsid w:val="6C417D7E"/>
    <w:rsid w:val="6C496C32"/>
    <w:rsid w:val="6C4C0AD1"/>
    <w:rsid w:val="6C4C5516"/>
    <w:rsid w:val="6C4E140D"/>
    <w:rsid w:val="6C4E742C"/>
    <w:rsid w:val="6C537AB1"/>
    <w:rsid w:val="6C5B1319"/>
    <w:rsid w:val="6C5B6D25"/>
    <w:rsid w:val="6C5C0714"/>
    <w:rsid w:val="6C5E2E70"/>
    <w:rsid w:val="6C621AA2"/>
    <w:rsid w:val="6C636C38"/>
    <w:rsid w:val="6C6677E4"/>
    <w:rsid w:val="6C731F01"/>
    <w:rsid w:val="6C733CAF"/>
    <w:rsid w:val="6C757A27"/>
    <w:rsid w:val="6C7A503E"/>
    <w:rsid w:val="6C7C1405"/>
    <w:rsid w:val="6C7C2B64"/>
    <w:rsid w:val="6C7F4402"/>
    <w:rsid w:val="6C804DEF"/>
    <w:rsid w:val="6C81017A"/>
    <w:rsid w:val="6C847C6A"/>
    <w:rsid w:val="6C8639E2"/>
    <w:rsid w:val="6C8E6D3B"/>
    <w:rsid w:val="6C9102FF"/>
    <w:rsid w:val="6C92218A"/>
    <w:rsid w:val="6C937EAD"/>
    <w:rsid w:val="6C9500C9"/>
    <w:rsid w:val="6C960867"/>
    <w:rsid w:val="6C97174C"/>
    <w:rsid w:val="6C9D2ADA"/>
    <w:rsid w:val="6CA125CA"/>
    <w:rsid w:val="6CA34594"/>
    <w:rsid w:val="6CA9147F"/>
    <w:rsid w:val="6CAE6A95"/>
    <w:rsid w:val="6CB06CB1"/>
    <w:rsid w:val="6CBC27DF"/>
    <w:rsid w:val="6CBC3901"/>
    <w:rsid w:val="6CBC5656"/>
    <w:rsid w:val="6CBD4F2A"/>
    <w:rsid w:val="6CC16DF1"/>
    <w:rsid w:val="6CC462B9"/>
    <w:rsid w:val="6CC664D5"/>
    <w:rsid w:val="6CC81212"/>
    <w:rsid w:val="6CD26C28"/>
    <w:rsid w:val="6CD3474E"/>
    <w:rsid w:val="6CE26D5D"/>
    <w:rsid w:val="6CE32BE3"/>
    <w:rsid w:val="6CE4695B"/>
    <w:rsid w:val="6CE60925"/>
    <w:rsid w:val="6CE81FA7"/>
    <w:rsid w:val="6CEB0E5F"/>
    <w:rsid w:val="6CEB120D"/>
    <w:rsid w:val="6CED5810"/>
    <w:rsid w:val="6CF22E26"/>
    <w:rsid w:val="6CF52916"/>
    <w:rsid w:val="6CF63A92"/>
    <w:rsid w:val="6CF941B4"/>
    <w:rsid w:val="6CFC32B8"/>
    <w:rsid w:val="6CFC4F20"/>
    <w:rsid w:val="6CFC5A53"/>
    <w:rsid w:val="6CFF0B45"/>
    <w:rsid w:val="6D0112BB"/>
    <w:rsid w:val="6D013776"/>
    <w:rsid w:val="6D026DC6"/>
    <w:rsid w:val="6D0512FF"/>
    <w:rsid w:val="6D0B038C"/>
    <w:rsid w:val="6D0B4F67"/>
    <w:rsid w:val="6D154D66"/>
    <w:rsid w:val="6D194857"/>
    <w:rsid w:val="6D1B05CF"/>
    <w:rsid w:val="6D1C7EA3"/>
    <w:rsid w:val="6D1E1E6D"/>
    <w:rsid w:val="6D205BE5"/>
    <w:rsid w:val="6D2154B9"/>
    <w:rsid w:val="6D267B26"/>
    <w:rsid w:val="6D2A6A64"/>
    <w:rsid w:val="6D2C27DC"/>
    <w:rsid w:val="6D34343E"/>
    <w:rsid w:val="6D372F2F"/>
    <w:rsid w:val="6D3A657B"/>
    <w:rsid w:val="6D3C1731"/>
    <w:rsid w:val="6D3E42BD"/>
    <w:rsid w:val="6D435308"/>
    <w:rsid w:val="6D4573FA"/>
    <w:rsid w:val="6D4A2C62"/>
    <w:rsid w:val="6D4A4A10"/>
    <w:rsid w:val="6D4B3F19"/>
    <w:rsid w:val="6D515941"/>
    <w:rsid w:val="6D543AE1"/>
    <w:rsid w:val="6D5910F7"/>
    <w:rsid w:val="6D602485"/>
    <w:rsid w:val="6D605FE2"/>
    <w:rsid w:val="6D617FAC"/>
    <w:rsid w:val="6D667370"/>
    <w:rsid w:val="6D673814"/>
    <w:rsid w:val="6D6A6E60"/>
    <w:rsid w:val="6D6C0832"/>
    <w:rsid w:val="6D6C0E2A"/>
    <w:rsid w:val="6D6E6E45"/>
    <w:rsid w:val="6D723F67"/>
    <w:rsid w:val="6D741A8D"/>
    <w:rsid w:val="6D7766CE"/>
    <w:rsid w:val="6D7970A3"/>
    <w:rsid w:val="6D7D4DE5"/>
    <w:rsid w:val="6D7E290C"/>
    <w:rsid w:val="6D836174"/>
    <w:rsid w:val="6D864791"/>
    <w:rsid w:val="6D8A7502"/>
    <w:rsid w:val="6D8C14BB"/>
    <w:rsid w:val="6D8D2B4F"/>
    <w:rsid w:val="6D8F4B19"/>
    <w:rsid w:val="6D967C55"/>
    <w:rsid w:val="6D997745"/>
    <w:rsid w:val="6D9A2D85"/>
    <w:rsid w:val="6D9C0FE4"/>
    <w:rsid w:val="6DA265FA"/>
    <w:rsid w:val="6DA34120"/>
    <w:rsid w:val="6DA41B00"/>
    <w:rsid w:val="6DA55B4E"/>
    <w:rsid w:val="6DAA1953"/>
    <w:rsid w:val="6DB157EC"/>
    <w:rsid w:val="6DB225B5"/>
    <w:rsid w:val="6DB34098"/>
    <w:rsid w:val="6DB545B6"/>
    <w:rsid w:val="6DB93944"/>
    <w:rsid w:val="6DBC594E"/>
    <w:rsid w:val="6DBE0F5A"/>
    <w:rsid w:val="6DC02C1E"/>
    <w:rsid w:val="6DC04CD2"/>
    <w:rsid w:val="6DC16B04"/>
    <w:rsid w:val="6DC42A14"/>
    <w:rsid w:val="6DC9627D"/>
    <w:rsid w:val="6DCA3DA3"/>
    <w:rsid w:val="6DD51ED2"/>
    <w:rsid w:val="6DD54C21"/>
    <w:rsid w:val="6DD86E68"/>
    <w:rsid w:val="6DD9192B"/>
    <w:rsid w:val="6DDA1931"/>
    <w:rsid w:val="6DDA2238"/>
    <w:rsid w:val="6DDD7632"/>
    <w:rsid w:val="6DDF4286"/>
    <w:rsid w:val="6DE07122"/>
    <w:rsid w:val="6DE309C1"/>
    <w:rsid w:val="6DE50BDD"/>
    <w:rsid w:val="6DE9247B"/>
    <w:rsid w:val="6DE94229"/>
    <w:rsid w:val="6DEE2714"/>
    <w:rsid w:val="6DF130DE"/>
    <w:rsid w:val="6DF350A8"/>
    <w:rsid w:val="6DF80910"/>
    <w:rsid w:val="6DF826BE"/>
    <w:rsid w:val="6DF901E4"/>
    <w:rsid w:val="6DFA4688"/>
    <w:rsid w:val="6DFB1424"/>
    <w:rsid w:val="6E04380A"/>
    <w:rsid w:val="6E072901"/>
    <w:rsid w:val="6E0948CB"/>
    <w:rsid w:val="6E0A6EA2"/>
    <w:rsid w:val="6E0B4EFC"/>
    <w:rsid w:val="6E0F17B6"/>
    <w:rsid w:val="6E13574A"/>
    <w:rsid w:val="6E1B281B"/>
    <w:rsid w:val="6E22598D"/>
    <w:rsid w:val="6E22773B"/>
    <w:rsid w:val="6E2407C0"/>
    <w:rsid w:val="6E2434B3"/>
    <w:rsid w:val="6E245261"/>
    <w:rsid w:val="6E2A4841"/>
    <w:rsid w:val="6E2B2A93"/>
    <w:rsid w:val="6E2C2368"/>
    <w:rsid w:val="6E3336F6"/>
    <w:rsid w:val="6E3F02ED"/>
    <w:rsid w:val="6E430122"/>
    <w:rsid w:val="6E4375A0"/>
    <w:rsid w:val="6E46167B"/>
    <w:rsid w:val="6E4771A1"/>
    <w:rsid w:val="6E493F8C"/>
    <w:rsid w:val="6E496F01"/>
    <w:rsid w:val="6E4E6782"/>
    <w:rsid w:val="6E5024FA"/>
    <w:rsid w:val="6E514CED"/>
    <w:rsid w:val="6E5518BE"/>
    <w:rsid w:val="6E565636"/>
    <w:rsid w:val="6E587601"/>
    <w:rsid w:val="6E597DC9"/>
    <w:rsid w:val="6E5D4C17"/>
    <w:rsid w:val="6E5D6D8A"/>
    <w:rsid w:val="6E625D89"/>
    <w:rsid w:val="6E650E15"/>
    <w:rsid w:val="6E6623CD"/>
    <w:rsid w:val="6E663ACB"/>
    <w:rsid w:val="6E6C7882"/>
    <w:rsid w:val="6E755ABD"/>
    <w:rsid w:val="6E76798E"/>
    <w:rsid w:val="6E786E93"/>
    <w:rsid w:val="6E79491A"/>
    <w:rsid w:val="6E82467D"/>
    <w:rsid w:val="6E8E6B7E"/>
    <w:rsid w:val="6E906D9A"/>
    <w:rsid w:val="6E91666F"/>
    <w:rsid w:val="6E941144"/>
    <w:rsid w:val="6E985C4F"/>
    <w:rsid w:val="6E9C573F"/>
    <w:rsid w:val="6E9F6FDD"/>
    <w:rsid w:val="6EA37E3E"/>
    <w:rsid w:val="6EA445F4"/>
    <w:rsid w:val="6EA510B2"/>
    <w:rsid w:val="6EA6211A"/>
    <w:rsid w:val="6EB1286D"/>
    <w:rsid w:val="6EB20ABF"/>
    <w:rsid w:val="6EB41E64"/>
    <w:rsid w:val="6EB563D5"/>
    <w:rsid w:val="6EBA6F09"/>
    <w:rsid w:val="6EBD7464"/>
    <w:rsid w:val="6EC30F1E"/>
    <w:rsid w:val="6EC407F2"/>
    <w:rsid w:val="6EC425A0"/>
    <w:rsid w:val="6EC46A44"/>
    <w:rsid w:val="6EC66318"/>
    <w:rsid w:val="6EC72090"/>
    <w:rsid w:val="6EC86534"/>
    <w:rsid w:val="6ECA1007"/>
    <w:rsid w:val="6ED21161"/>
    <w:rsid w:val="6ED50C51"/>
    <w:rsid w:val="6EDA0016"/>
    <w:rsid w:val="6EDC0332"/>
    <w:rsid w:val="6EDE1721"/>
    <w:rsid w:val="6EDF562C"/>
    <w:rsid w:val="6EE127E5"/>
    <w:rsid w:val="6EE3336E"/>
    <w:rsid w:val="6EED1FF5"/>
    <w:rsid w:val="6EED5F9B"/>
    <w:rsid w:val="6EF235B1"/>
    <w:rsid w:val="6EF54E4F"/>
    <w:rsid w:val="6EF820EC"/>
    <w:rsid w:val="6EFF182A"/>
    <w:rsid w:val="6EFF440A"/>
    <w:rsid w:val="6EFF7A7C"/>
    <w:rsid w:val="6F0137F4"/>
    <w:rsid w:val="6F082DD5"/>
    <w:rsid w:val="6F086931"/>
    <w:rsid w:val="6F0D03EB"/>
    <w:rsid w:val="6F0F7D5C"/>
    <w:rsid w:val="6F1144B0"/>
    <w:rsid w:val="6F126B79"/>
    <w:rsid w:val="6F152DFC"/>
    <w:rsid w:val="6F1C1F3D"/>
    <w:rsid w:val="6F225983"/>
    <w:rsid w:val="6F2319BD"/>
    <w:rsid w:val="6F287F6F"/>
    <w:rsid w:val="6F2D45E9"/>
    <w:rsid w:val="6F2F65B3"/>
    <w:rsid w:val="6F345978"/>
    <w:rsid w:val="6F394D3C"/>
    <w:rsid w:val="6F3C2A7E"/>
    <w:rsid w:val="6F3E67F6"/>
    <w:rsid w:val="6F433E0D"/>
    <w:rsid w:val="6F481423"/>
    <w:rsid w:val="6F490CF7"/>
    <w:rsid w:val="6F4A519B"/>
    <w:rsid w:val="6F4B0F13"/>
    <w:rsid w:val="6F4B2CC1"/>
    <w:rsid w:val="6F4D07E7"/>
    <w:rsid w:val="6F4D4C8B"/>
    <w:rsid w:val="6F4D6F96"/>
    <w:rsid w:val="6F4F630E"/>
    <w:rsid w:val="6F5007E2"/>
    <w:rsid w:val="6F5A4CB2"/>
    <w:rsid w:val="6F5D2C01"/>
    <w:rsid w:val="6F5E0C47"/>
    <w:rsid w:val="6F60676D"/>
    <w:rsid w:val="6F6124E5"/>
    <w:rsid w:val="6F644787"/>
    <w:rsid w:val="6F673B85"/>
    <w:rsid w:val="6F6D491A"/>
    <w:rsid w:val="6F72517F"/>
    <w:rsid w:val="6F725BBB"/>
    <w:rsid w:val="6F745D74"/>
    <w:rsid w:val="6F751AEC"/>
    <w:rsid w:val="6F7904EA"/>
    <w:rsid w:val="6F795A80"/>
    <w:rsid w:val="6F7F743C"/>
    <w:rsid w:val="6F885CC3"/>
    <w:rsid w:val="6F8F1B70"/>
    <w:rsid w:val="6F901390"/>
    <w:rsid w:val="6F934682"/>
    <w:rsid w:val="6F9B1553"/>
    <w:rsid w:val="6FA279E0"/>
    <w:rsid w:val="6FA34A20"/>
    <w:rsid w:val="6FA80114"/>
    <w:rsid w:val="6FAA3E8C"/>
    <w:rsid w:val="6FAC19B2"/>
    <w:rsid w:val="6FAD74D8"/>
    <w:rsid w:val="6FB03B79"/>
    <w:rsid w:val="6FB12BB4"/>
    <w:rsid w:val="6FB371D3"/>
    <w:rsid w:val="6FB66A33"/>
    <w:rsid w:val="6FB70357"/>
    <w:rsid w:val="6FC247B9"/>
    <w:rsid w:val="6FC30AAA"/>
    <w:rsid w:val="6FC50CC6"/>
    <w:rsid w:val="6FC82564"/>
    <w:rsid w:val="6FCA62DC"/>
    <w:rsid w:val="6FD0251F"/>
    <w:rsid w:val="6FD11419"/>
    <w:rsid w:val="6FD20CED"/>
    <w:rsid w:val="6FD311BE"/>
    <w:rsid w:val="6FD35191"/>
    <w:rsid w:val="6FD809F9"/>
    <w:rsid w:val="6FDF69AC"/>
    <w:rsid w:val="6FE27A2C"/>
    <w:rsid w:val="6FE3114C"/>
    <w:rsid w:val="6FE50A20"/>
    <w:rsid w:val="6FE543B9"/>
    <w:rsid w:val="6FE7243C"/>
    <w:rsid w:val="6FE85244"/>
    <w:rsid w:val="6FEA072C"/>
    <w:rsid w:val="6FEA4288"/>
    <w:rsid w:val="6FED3D79"/>
    <w:rsid w:val="6FED5B27"/>
    <w:rsid w:val="6FEE1FCA"/>
    <w:rsid w:val="6FEF2BB1"/>
    <w:rsid w:val="6FF5548D"/>
    <w:rsid w:val="6FF70753"/>
    <w:rsid w:val="6FF84BF7"/>
    <w:rsid w:val="6FF869A5"/>
    <w:rsid w:val="6FFA3B3C"/>
    <w:rsid w:val="6FFB0243"/>
    <w:rsid w:val="6FFC5590"/>
    <w:rsid w:val="6FFD3FBC"/>
    <w:rsid w:val="6FFE7D34"/>
    <w:rsid w:val="70003AAC"/>
    <w:rsid w:val="7003534A"/>
    <w:rsid w:val="7003546C"/>
    <w:rsid w:val="70111815"/>
    <w:rsid w:val="701337DF"/>
    <w:rsid w:val="70141305"/>
    <w:rsid w:val="70144C09"/>
    <w:rsid w:val="70175A87"/>
    <w:rsid w:val="70186826"/>
    <w:rsid w:val="701B08E6"/>
    <w:rsid w:val="701B2694"/>
    <w:rsid w:val="701D640C"/>
    <w:rsid w:val="70221C74"/>
    <w:rsid w:val="70231548"/>
    <w:rsid w:val="702459EC"/>
    <w:rsid w:val="702754DC"/>
    <w:rsid w:val="7029639C"/>
    <w:rsid w:val="702C664F"/>
    <w:rsid w:val="702E0844"/>
    <w:rsid w:val="702E3539"/>
    <w:rsid w:val="702E686B"/>
    <w:rsid w:val="702F4391"/>
    <w:rsid w:val="702F4530"/>
    <w:rsid w:val="70301DA3"/>
    <w:rsid w:val="7036571F"/>
    <w:rsid w:val="70383246"/>
    <w:rsid w:val="70384FF4"/>
    <w:rsid w:val="704240C4"/>
    <w:rsid w:val="70473489"/>
    <w:rsid w:val="70497201"/>
    <w:rsid w:val="704C0A9F"/>
    <w:rsid w:val="704E0B73"/>
    <w:rsid w:val="70531E2E"/>
    <w:rsid w:val="70567B70"/>
    <w:rsid w:val="70585696"/>
    <w:rsid w:val="70593891"/>
    <w:rsid w:val="705F4C76"/>
    <w:rsid w:val="70666005"/>
    <w:rsid w:val="70691651"/>
    <w:rsid w:val="70696F3D"/>
    <w:rsid w:val="706A63CD"/>
    <w:rsid w:val="706D1DD0"/>
    <w:rsid w:val="706D7810"/>
    <w:rsid w:val="706E6C67"/>
    <w:rsid w:val="7075449A"/>
    <w:rsid w:val="70765B1C"/>
    <w:rsid w:val="707A2A9F"/>
    <w:rsid w:val="707A560C"/>
    <w:rsid w:val="707A59BC"/>
    <w:rsid w:val="707B3132"/>
    <w:rsid w:val="708244C1"/>
    <w:rsid w:val="70840239"/>
    <w:rsid w:val="70856B87"/>
    <w:rsid w:val="70877D29"/>
    <w:rsid w:val="70891CF3"/>
    <w:rsid w:val="708C752D"/>
    <w:rsid w:val="708E25E0"/>
    <w:rsid w:val="708E730A"/>
    <w:rsid w:val="708F6BDE"/>
    <w:rsid w:val="70935816"/>
    <w:rsid w:val="70974410"/>
    <w:rsid w:val="70986DE0"/>
    <w:rsid w:val="709A5CAE"/>
    <w:rsid w:val="709B291A"/>
    <w:rsid w:val="709D754D"/>
    <w:rsid w:val="709E4AA2"/>
    <w:rsid w:val="709E5582"/>
    <w:rsid w:val="70A00DEB"/>
    <w:rsid w:val="70A32137"/>
    <w:rsid w:val="70AC7790"/>
    <w:rsid w:val="70B328CC"/>
    <w:rsid w:val="70B34FC2"/>
    <w:rsid w:val="70B54896"/>
    <w:rsid w:val="70B623BC"/>
    <w:rsid w:val="70BF74C3"/>
    <w:rsid w:val="70C42D2B"/>
    <w:rsid w:val="70C660AD"/>
    <w:rsid w:val="70C8281B"/>
    <w:rsid w:val="70CC398E"/>
    <w:rsid w:val="70D171F6"/>
    <w:rsid w:val="70D2369A"/>
    <w:rsid w:val="70D527EE"/>
    <w:rsid w:val="70DF5DB7"/>
    <w:rsid w:val="70E1568B"/>
    <w:rsid w:val="70E231B1"/>
    <w:rsid w:val="70E7115A"/>
    <w:rsid w:val="70F30C50"/>
    <w:rsid w:val="70F3716D"/>
    <w:rsid w:val="70F80C27"/>
    <w:rsid w:val="70F829D5"/>
    <w:rsid w:val="70F84783"/>
    <w:rsid w:val="70FF5B11"/>
    <w:rsid w:val="70FF7B05"/>
    <w:rsid w:val="71025602"/>
    <w:rsid w:val="7104581E"/>
    <w:rsid w:val="71053EA6"/>
    <w:rsid w:val="710851C5"/>
    <w:rsid w:val="710A276A"/>
    <w:rsid w:val="710E3140"/>
    <w:rsid w:val="71105F71"/>
    <w:rsid w:val="7113780F"/>
    <w:rsid w:val="71186BD3"/>
    <w:rsid w:val="71213CDA"/>
    <w:rsid w:val="71285068"/>
    <w:rsid w:val="71311217"/>
    <w:rsid w:val="71347EB1"/>
    <w:rsid w:val="7137174F"/>
    <w:rsid w:val="713A4D9B"/>
    <w:rsid w:val="713F0604"/>
    <w:rsid w:val="714025F2"/>
    <w:rsid w:val="71410FFA"/>
    <w:rsid w:val="714125CE"/>
    <w:rsid w:val="7141612A"/>
    <w:rsid w:val="714479C8"/>
    <w:rsid w:val="71494FDF"/>
    <w:rsid w:val="714E77C7"/>
    <w:rsid w:val="7150636D"/>
    <w:rsid w:val="71542301"/>
    <w:rsid w:val="715A71EC"/>
    <w:rsid w:val="715B3690"/>
    <w:rsid w:val="715B5300"/>
    <w:rsid w:val="715D3781"/>
    <w:rsid w:val="715F4BD7"/>
    <w:rsid w:val="71685DAD"/>
    <w:rsid w:val="71692DEE"/>
    <w:rsid w:val="71695F16"/>
    <w:rsid w:val="716A5681"/>
    <w:rsid w:val="716B764B"/>
    <w:rsid w:val="716C66CF"/>
    <w:rsid w:val="71702252"/>
    <w:rsid w:val="717958C4"/>
    <w:rsid w:val="717C41F3"/>
    <w:rsid w:val="718524BB"/>
    <w:rsid w:val="71864485"/>
    <w:rsid w:val="718E4C5A"/>
    <w:rsid w:val="71946BA2"/>
    <w:rsid w:val="71950224"/>
    <w:rsid w:val="71956476"/>
    <w:rsid w:val="71985ADC"/>
    <w:rsid w:val="71995F66"/>
    <w:rsid w:val="719E357C"/>
    <w:rsid w:val="719E474F"/>
    <w:rsid w:val="71A52274"/>
    <w:rsid w:val="71A67840"/>
    <w:rsid w:val="71A861A9"/>
    <w:rsid w:val="71AB48B1"/>
    <w:rsid w:val="71B132B0"/>
    <w:rsid w:val="71B52674"/>
    <w:rsid w:val="71BC7EA6"/>
    <w:rsid w:val="71BD7E79"/>
    <w:rsid w:val="71C56D5B"/>
    <w:rsid w:val="71C6373E"/>
    <w:rsid w:val="71C72AD3"/>
    <w:rsid w:val="71CD3E62"/>
    <w:rsid w:val="71CD79BE"/>
    <w:rsid w:val="71D27F8A"/>
    <w:rsid w:val="71E13469"/>
    <w:rsid w:val="71E511AB"/>
    <w:rsid w:val="71EC078C"/>
    <w:rsid w:val="71ED21B3"/>
    <w:rsid w:val="71EF202A"/>
    <w:rsid w:val="71F413EE"/>
    <w:rsid w:val="71F744C6"/>
    <w:rsid w:val="71F92EA9"/>
    <w:rsid w:val="71F960CF"/>
    <w:rsid w:val="71FE04BF"/>
    <w:rsid w:val="71FE0CFF"/>
    <w:rsid w:val="72037883"/>
    <w:rsid w:val="72084E9A"/>
    <w:rsid w:val="72090091"/>
    <w:rsid w:val="720F4AB6"/>
    <w:rsid w:val="72113D47"/>
    <w:rsid w:val="72135089"/>
    <w:rsid w:val="7214383E"/>
    <w:rsid w:val="72144E11"/>
    <w:rsid w:val="72165809"/>
    <w:rsid w:val="72190E55"/>
    <w:rsid w:val="72203F91"/>
    <w:rsid w:val="72206F55"/>
    <w:rsid w:val="72226347"/>
    <w:rsid w:val="72232B8E"/>
    <w:rsid w:val="722515A8"/>
    <w:rsid w:val="722577FA"/>
    <w:rsid w:val="722717C4"/>
    <w:rsid w:val="722A3062"/>
    <w:rsid w:val="722D2858"/>
    <w:rsid w:val="72330169"/>
    <w:rsid w:val="723B526F"/>
    <w:rsid w:val="7243340D"/>
    <w:rsid w:val="72435ED2"/>
    <w:rsid w:val="72442376"/>
    <w:rsid w:val="72457E9C"/>
    <w:rsid w:val="72483C2E"/>
    <w:rsid w:val="7249040E"/>
    <w:rsid w:val="7249798C"/>
    <w:rsid w:val="724A3704"/>
    <w:rsid w:val="724C2FD8"/>
    <w:rsid w:val="724C4D86"/>
    <w:rsid w:val="724C706C"/>
    <w:rsid w:val="724D0AFE"/>
    <w:rsid w:val="724F7474"/>
    <w:rsid w:val="725132DC"/>
    <w:rsid w:val="72516841"/>
    <w:rsid w:val="72563E57"/>
    <w:rsid w:val="725E2D0C"/>
    <w:rsid w:val="72620A4E"/>
    <w:rsid w:val="7264459B"/>
    <w:rsid w:val="72646574"/>
    <w:rsid w:val="72655E48"/>
    <w:rsid w:val="726B1116"/>
    <w:rsid w:val="726F6CC7"/>
    <w:rsid w:val="7275721E"/>
    <w:rsid w:val="727A5D97"/>
    <w:rsid w:val="72800ED4"/>
    <w:rsid w:val="72842772"/>
    <w:rsid w:val="728564EA"/>
    <w:rsid w:val="72862DE7"/>
    <w:rsid w:val="728E091D"/>
    <w:rsid w:val="72914E8F"/>
    <w:rsid w:val="72930C07"/>
    <w:rsid w:val="729329B5"/>
    <w:rsid w:val="729606F7"/>
    <w:rsid w:val="72966949"/>
    <w:rsid w:val="7297664B"/>
    <w:rsid w:val="7298446F"/>
    <w:rsid w:val="72A03324"/>
    <w:rsid w:val="72A44BC2"/>
    <w:rsid w:val="72A46970"/>
    <w:rsid w:val="72A9418F"/>
    <w:rsid w:val="72A9667D"/>
    <w:rsid w:val="72AF5690"/>
    <w:rsid w:val="72B172DF"/>
    <w:rsid w:val="72B56DCF"/>
    <w:rsid w:val="72BB015E"/>
    <w:rsid w:val="72C131B2"/>
    <w:rsid w:val="72C214EC"/>
    <w:rsid w:val="72C76912"/>
    <w:rsid w:val="72C963D7"/>
    <w:rsid w:val="72CC236B"/>
    <w:rsid w:val="72CC4119"/>
    <w:rsid w:val="72CE60E3"/>
    <w:rsid w:val="72CE7E91"/>
    <w:rsid w:val="72D00517"/>
    <w:rsid w:val="72D644DE"/>
    <w:rsid w:val="72D73968"/>
    <w:rsid w:val="72D80D10"/>
    <w:rsid w:val="72DA3A73"/>
    <w:rsid w:val="72DD00D4"/>
    <w:rsid w:val="72DD5F01"/>
    <w:rsid w:val="72E75119"/>
    <w:rsid w:val="72E94CCB"/>
    <w:rsid w:val="72E96A79"/>
    <w:rsid w:val="72EB27F1"/>
    <w:rsid w:val="72F258C2"/>
    <w:rsid w:val="72F31907"/>
    <w:rsid w:val="72FA0C86"/>
    <w:rsid w:val="72FA74C9"/>
    <w:rsid w:val="72FB055A"/>
    <w:rsid w:val="72FD42D3"/>
    <w:rsid w:val="73027B3B"/>
    <w:rsid w:val="730613D9"/>
    <w:rsid w:val="7306762B"/>
    <w:rsid w:val="73076EFF"/>
    <w:rsid w:val="730833A3"/>
    <w:rsid w:val="73117D7E"/>
    <w:rsid w:val="73142E27"/>
    <w:rsid w:val="7316181C"/>
    <w:rsid w:val="731A30D6"/>
    <w:rsid w:val="731C2459"/>
    <w:rsid w:val="731F5D5E"/>
    <w:rsid w:val="73216213"/>
    <w:rsid w:val="73221F8B"/>
    <w:rsid w:val="73263829"/>
    <w:rsid w:val="7327064F"/>
    <w:rsid w:val="732C5510"/>
    <w:rsid w:val="733817AF"/>
    <w:rsid w:val="7338355D"/>
    <w:rsid w:val="73397A01"/>
    <w:rsid w:val="733F2B3D"/>
    <w:rsid w:val="73426189"/>
    <w:rsid w:val="7346211D"/>
    <w:rsid w:val="73465C7A"/>
    <w:rsid w:val="734A7BDE"/>
    <w:rsid w:val="734E2D80"/>
    <w:rsid w:val="734E4B2E"/>
    <w:rsid w:val="73530396"/>
    <w:rsid w:val="735465E8"/>
    <w:rsid w:val="735635E4"/>
    <w:rsid w:val="7359395E"/>
    <w:rsid w:val="735D79A5"/>
    <w:rsid w:val="735E1215"/>
    <w:rsid w:val="735E1E53"/>
    <w:rsid w:val="736305DA"/>
    <w:rsid w:val="736A5E0C"/>
    <w:rsid w:val="736C790B"/>
    <w:rsid w:val="736D76AA"/>
    <w:rsid w:val="73700F48"/>
    <w:rsid w:val="73702CF6"/>
    <w:rsid w:val="737062B6"/>
    <w:rsid w:val="737462E1"/>
    <w:rsid w:val="7379604F"/>
    <w:rsid w:val="737F73DD"/>
    <w:rsid w:val="7382588D"/>
    <w:rsid w:val="7383282E"/>
    <w:rsid w:val="73840550"/>
    <w:rsid w:val="7386076C"/>
    <w:rsid w:val="73886292"/>
    <w:rsid w:val="738F520D"/>
    <w:rsid w:val="7398711B"/>
    <w:rsid w:val="739C1D3D"/>
    <w:rsid w:val="739C3AEB"/>
    <w:rsid w:val="73A115C0"/>
    <w:rsid w:val="73A3131E"/>
    <w:rsid w:val="73A40BF2"/>
    <w:rsid w:val="73AB01D2"/>
    <w:rsid w:val="73AB1F81"/>
    <w:rsid w:val="73B01345"/>
    <w:rsid w:val="73B726D3"/>
    <w:rsid w:val="73BB1DFB"/>
    <w:rsid w:val="73BE3A62"/>
    <w:rsid w:val="73BF31E9"/>
    <w:rsid w:val="73C13552"/>
    <w:rsid w:val="73C179F6"/>
    <w:rsid w:val="73C60B68"/>
    <w:rsid w:val="73CC2623"/>
    <w:rsid w:val="73CC79FC"/>
    <w:rsid w:val="73D028F7"/>
    <w:rsid w:val="73D03795"/>
    <w:rsid w:val="73D2575F"/>
    <w:rsid w:val="73D45432"/>
    <w:rsid w:val="73D72D76"/>
    <w:rsid w:val="73DB2866"/>
    <w:rsid w:val="73DC213A"/>
    <w:rsid w:val="73DC4E36"/>
    <w:rsid w:val="73DE4104"/>
    <w:rsid w:val="73DE5EB2"/>
    <w:rsid w:val="73DF2727"/>
    <w:rsid w:val="73E01C2A"/>
    <w:rsid w:val="73E32748"/>
    <w:rsid w:val="73EA3012"/>
    <w:rsid w:val="73EF4563"/>
    <w:rsid w:val="73F2195D"/>
    <w:rsid w:val="73F27BAF"/>
    <w:rsid w:val="73F61F09"/>
    <w:rsid w:val="73F676A0"/>
    <w:rsid w:val="73F819A5"/>
    <w:rsid w:val="73F97190"/>
    <w:rsid w:val="74017DF2"/>
    <w:rsid w:val="74024296"/>
    <w:rsid w:val="74031DBD"/>
    <w:rsid w:val="740718AD"/>
    <w:rsid w:val="74082FD3"/>
    <w:rsid w:val="740C48D9"/>
    <w:rsid w:val="7416564C"/>
    <w:rsid w:val="741915E0"/>
    <w:rsid w:val="741E793C"/>
    <w:rsid w:val="74213FF1"/>
    <w:rsid w:val="742400E9"/>
    <w:rsid w:val="74275AAB"/>
    <w:rsid w:val="74277E3A"/>
    <w:rsid w:val="742C30C1"/>
    <w:rsid w:val="74324450"/>
    <w:rsid w:val="743326A2"/>
    <w:rsid w:val="74381A66"/>
    <w:rsid w:val="743C0E2B"/>
    <w:rsid w:val="743D707D"/>
    <w:rsid w:val="74410A17"/>
    <w:rsid w:val="744523D5"/>
    <w:rsid w:val="74457850"/>
    <w:rsid w:val="74471CA9"/>
    <w:rsid w:val="7447614D"/>
    <w:rsid w:val="74487DCD"/>
    <w:rsid w:val="744C3764"/>
    <w:rsid w:val="744C5512"/>
    <w:rsid w:val="744C72C0"/>
    <w:rsid w:val="744E128A"/>
    <w:rsid w:val="744F4C3F"/>
    <w:rsid w:val="744F5FE5"/>
    <w:rsid w:val="74566390"/>
    <w:rsid w:val="74575798"/>
    <w:rsid w:val="745B5755"/>
    <w:rsid w:val="74604B19"/>
    <w:rsid w:val="74631ADE"/>
    <w:rsid w:val="74640AAD"/>
    <w:rsid w:val="746565D3"/>
    <w:rsid w:val="746740F9"/>
    <w:rsid w:val="74675EA7"/>
    <w:rsid w:val="746A5998"/>
    <w:rsid w:val="746C7962"/>
    <w:rsid w:val="746D092B"/>
    <w:rsid w:val="74734539"/>
    <w:rsid w:val="74746816"/>
    <w:rsid w:val="7476301D"/>
    <w:rsid w:val="74784559"/>
    <w:rsid w:val="74793E2D"/>
    <w:rsid w:val="747B5DF7"/>
    <w:rsid w:val="747C2324"/>
    <w:rsid w:val="74806E03"/>
    <w:rsid w:val="748527D2"/>
    <w:rsid w:val="748C0004"/>
    <w:rsid w:val="748C2B39"/>
    <w:rsid w:val="748C590E"/>
    <w:rsid w:val="748D49CD"/>
    <w:rsid w:val="748F1AFC"/>
    <w:rsid w:val="74934EEE"/>
    <w:rsid w:val="74980757"/>
    <w:rsid w:val="7499002B"/>
    <w:rsid w:val="749B0247"/>
    <w:rsid w:val="749B1FF5"/>
    <w:rsid w:val="749B5C86"/>
    <w:rsid w:val="749D6880"/>
    <w:rsid w:val="749D7B1B"/>
    <w:rsid w:val="74A4534E"/>
    <w:rsid w:val="74A50BEC"/>
    <w:rsid w:val="74A52E74"/>
    <w:rsid w:val="74AC35B3"/>
    <w:rsid w:val="74AE3AD6"/>
    <w:rsid w:val="74AE4B4E"/>
    <w:rsid w:val="74B135C7"/>
    <w:rsid w:val="74B314A3"/>
    <w:rsid w:val="74B64406"/>
    <w:rsid w:val="74BA31C7"/>
    <w:rsid w:val="74BE7A92"/>
    <w:rsid w:val="74C351B8"/>
    <w:rsid w:val="74C4154C"/>
    <w:rsid w:val="74C432FA"/>
    <w:rsid w:val="74C4779E"/>
    <w:rsid w:val="74C833E3"/>
    <w:rsid w:val="74CC2B9D"/>
    <w:rsid w:val="74CC7FCC"/>
    <w:rsid w:val="74D97E42"/>
    <w:rsid w:val="74DB6895"/>
    <w:rsid w:val="74DD6779"/>
    <w:rsid w:val="74DE2DFA"/>
    <w:rsid w:val="74E03EAC"/>
    <w:rsid w:val="74E05C5A"/>
    <w:rsid w:val="74E221F2"/>
    <w:rsid w:val="74E25E76"/>
    <w:rsid w:val="74E90AEC"/>
    <w:rsid w:val="74E97204"/>
    <w:rsid w:val="74EC45FF"/>
    <w:rsid w:val="74EF50AE"/>
    <w:rsid w:val="74F87447"/>
    <w:rsid w:val="74FC2045"/>
    <w:rsid w:val="74FD4A5E"/>
    <w:rsid w:val="75022074"/>
    <w:rsid w:val="75022368"/>
    <w:rsid w:val="7503583D"/>
    <w:rsid w:val="75061B64"/>
    <w:rsid w:val="75071439"/>
    <w:rsid w:val="750D643F"/>
    <w:rsid w:val="7513602F"/>
    <w:rsid w:val="7524023C"/>
    <w:rsid w:val="75241FEA"/>
    <w:rsid w:val="752975C2"/>
    <w:rsid w:val="752C70F1"/>
    <w:rsid w:val="752D5343"/>
    <w:rsid w:val="752D7D55"/>
    <w:rsid w:val="752F1C88"/>
    <w:rsid w:val="7532211D"/>
    <w:rsid w:val="75363ACC"/>
    <w:rsid w:val="75394CD8"/>
    <w:rsid w:val="753B10E2"/>
    <w:rsid w:val="753F0BD2"/>
    <w:rsid w:val="753F6E24"/>
    <w:rsid w:val="75410DEE"/>
    <w:rsid w:val="75412B9C"/>
    <w:rsid w:val="7544268D"/>
    <w:rsid w:val="75461F61"/>
    <w:rsid w:val="75491A51"/>
    <w:rsid w:val="754B7577"/>
    <w:rsid w:val="75530B22"/>
    <w:rsid w:val="7553467E"/>
    <w:rsid w:val="755521A4"/>
    <w:rsid w:val="755A5A0C"/>
    <w:rsid w:val="75616E6D"/>
    <w:rsid w:val="75630D65"/>
    <w:rsid w:val="75662603"/>
    <w:rsid w:val="756B19C7"/>
    <w:rsid w:val="75703448"/>
    <w:rsid w:val="75734D20"/>
    <w:rsid w:val="75752846"/>
    <w:rsid w:val="75792336"/>
    <w:rsid w:val="757B16F4"/>
    <w:rsid w:val="757C3BD5"/>
    <w:rsid w:val="757C5983"/>
    <w:rsid w:val="757F36C5"/>
    <w:rsid w:val="7581743D"/>
    <w:rsid w:val="75874327"/>
    <w:rsid w:val="75894543"/>
    <w:rsid w:val="758D193E"/>
    <w:rsid w:val="758D75E2"/>
    <w:rsid w:val="758F1B5A"/>
    <w:rsid w:val="7590669F"/>
    <w:rsid w:val="75986327"/>
    <w:rsid w:val="75994786"/>
    <w:rsid w:val="759A04FF"/>
    <w:rsid w:val="759C7DD3"/>
    <w:rsid w:val="759F4EC0"/>
    <w:rsid w:val="75AA17D7"/>
    <w:rsid w:val="75AD1FE0"/>
    <w:rsid w:val="75AE7B06"/>
    <w:rsid w:val="75B415C0"/>
    <w:rsid w:val="75BC0475"/>
    <w:rsid w:val="75BE0ADD"/>
    <w:rsid w:val="75C31803"/>
    <w:rsid w:val="75C630A2"/>
    <w:rsid w:val="75C67E24"/>
    <w:rsid w:val="75C8506C"/>
    <w:rsid w:val="75CA04F1"/>
    <w:rsid w:val="75CB4B5C"/>
    <w:rsid w:val="75CF008B"/>
    <w:rsid w:val="75D25EEA"/>
    <w:rsid w:val="75D752AF"/>
    <w:rsid w:val="75DF5F11"/>
    <w:rsid w:val="75E33C54"/>
    <w:rsid w:val="75E4177A"/>
    <w:rsid w:val="75E8126A"/>
    <w:rsid w:val="75EA6D90"/>
    <w:rsid w:val="75EF0F06"/>
    <w:rsid w:val="75F06371"/>
    <w:rsid w:val="75F25C45"/>
    <w:rsid w:val="75F93477"/>
    <w:rsid w:val="75FE45EA"/>
    <w:rsid w:val="75FE6CDF"/>
    <w:rsid w:val="760140DA"/>
    <w:rsid w:val="76024A7F"/>
    <w:rsid w:val="760C31AA"/>
    <w:rsid w:val="7610431D"/>
    <w:rsid w:val="76120323"/>
    <w:rsid w:val="761262E7"/>
    <w:rsid w:val="7613626B"/>
    <w:rsid w:val="76157B85"/>
    <w:rsid w:val="761734C3"/>
    <w:rsid w:val="761C7166"/>
    <w:rsid w:val="76200A04"/>
    <w:rsid w:val="76206C56"/>
    <w:rsid w:val="762229CE"/>
    <w:rsid w:val="76263B40"/>
    <w:rsid w:val="76312C11"/>
    <w:rsid w:val="76341118"/>
    <w:rsid w:val="7634625D"/>
    <w:rsid w:val="763E532E"/>
    <w:rsid w:val="76465F91"/>
    <w:rsid w:val="76472434"/>
    <w:rsid w:val="764865EB"/>
    <w:rsid w:val="764A5A81"/>
    <w:rsid w:val="764A782F"/>
    <w:rsid w:val="764D19B8"/>
    <w:rsid w:val="765B4728"/>
    <w:rsid w:val="765C7562"/>
    <w:rsid w:val="765E777E"/>
    <w:rsid w:val="765F7301"/>
    <w:rsid w:val="76673004"/>
    <w:rsid w:val="766823AB"/>
    <w:rsid w:val="766E5C13"/>
    <w:rsid w:val="76736211"/>
    <w:rsid w:val="76746FA2"/>
    <w:rsid w:val="76760624"/>
    <w:rsid w:val="767945B8"/>
    <w:rsid w:val="767A350B"/>
    <w:rsid w:val="767D197B"/>
    <w:rsid w:val="767E008B"/>
    <w:rsid w:val="767E397C"/>
    <w:rsid w:val="76880357"/>
    <w:rsid w:val="7688510D"/>
    <w:rsid w:val="768C7E47"/>
    <w:rsid w:val="768E0063"/>
    <w:rsid w:val="76927701"/>
    <w:rsid w:val="76937428"/>
    <w:rsid w:val="769413F2"/>
    <w:rsid w:val="76960CC6"/>
    <w:rsid w:val="76984A3E"/>
    <w:rsid w:val="769A6A08"/>
    <w:rsid w:val="769B008A"/>
    <w:rsid w:val="76A258BD"/>
    <w:rsid w:val="76A333E3"/>
    <w:rsid w:val="76A553AD"/>
    <w:rsid w:val="76A71125"/>
    <w:rsid w:val="76AA651F"/>
    <w:rsid w:val="76AB19E8"/>
    <w:rsid w:val="76AE24B4"/>
    <w:rsid w:val="76AE6010"/>
    <w:rsid w:val="76BD44A5"/>
    <w:rsid w:val="76BD6253"/>
    <w:rsid w:val="76C269AB"/>
    <w:rsid w:val="76C27D0D"/>
    <w:rsid w:val="76C37C6F"/>
    <w:rsid w:val="76CE1B2D"/>
    <w:rsid w:val="76D206BD"/>
    <w:rsid w:val="76D31F1A"/>
    <w:rsid w:val="76D33CC8"/>
    <w:rsid w:val="76D717A6"/>
    <w:rsid w:val="76D90FCE"/>
    <w:rsid w:val="76DA32A9"/>
    <w:rsid w:val="76DA5057"/>
    <w:rsid w:val="76DB2B7D"/>
    <w:rsid w:val="76DD06A3"/>
    <w:rsid w:val="76DE441B"/>
    <w:rsid w:val="76E131F8"/>
    <w:rsid w:val="76E45ED5"/>
    <w:rsid w:val="76E6765B"/>
    <w:rsid w:val="76E77774"/>
    <w:rsid w:val="76E9529A"/>
    <w:rsid w:val="76E97048"/>
    <w:rsid w:val="76EA1012"/>
    <w:rsid w:val="76ED1FB3"/>
    <w:rsid w:val="76F61765"/>
    <w:rsid w:val="76F62D49"/>
    <w:rsid w:val="76F65C09"/>
    <w:rsid w:val="76F679B7"/>
    <w:rsid w:val="76FB4FCD"/>
    <w:rsid w:val="76FD2AF3"/>
    <w:rsid w:val="770220A6"/>
    <w:rsid w:val="77043E82"/>
    <w:rsid w:val="77101B8D"/>
    <w:rsid w:val="771542E1"/>
    <w:rsid w:val="771A18F7"/>
    <w:rsid w:val="771C566F"/>
    <w:rsid w:val="771D36E6"/>
    <w:rsid w:val="771F319A"/>
    <w:rsid w:val="77274014"/>
    <w:rsid w:val="77274B25"/>
    <w:rsid w:val="772766B1"/>
    <w:rsid w:val="772938E8"/>
    <w:rsid w:val="77297EB7"/>
    <w:rsid w:val="772C33D8"/>
    <w:rsid w:val="772C5186"/>
    <w:rsid w:val="772D6C40"/>
    <w:rsid w:val="772E7150"/>
    <w:rsid w:val="77324E93"/>
    <w:rsid w:val="773504DF"/>
    <w:rsid w:val="7735567E"/>
    <w:rsid w:val="77364257"/>
    <w:rsid w:val="77387FCF"/>
    <w:rsid w:val="77426B90"/>
    <w:rsid w:val="774271E1"/>
    <w:rsid w:val="774C75D7"/>
    <w:rsid w:val="774D25F6"/>
    <w:rsid w:val="774E334F"/>
    <w:rsid w:val="775947BB"/>
    <w:rsid w:val="77597468"/>
    <w:rsid w:val="775A7F45"/>
    <w:rsid w:val="775D17E4"/>
    <w:rsid w:val="775F555C"/>
    <w:rsid w:val="77613082"/>
    <w:rsid w:val="77652D5E"/>
    <w:rsid w:val="77664B3C"/>
    <w:rsid w:val="776D5ECB"/>
    <w:rsid w:val="77707E71"/>
    <w:rsid w:val="77723F18"/>
    <w:rsid w:val="77735147"/>
    <w:rsid w:val="77762421"/>
    <w:rsid w:val="77784870"/>
    <w:rsid w:val="77796881"/>
    <w:rsid w:val="778154D2"/>
    <w:rsid w:val="77833BF7"/>
    <w:rsid w:val="7783749C"/>
    <w:rsid w:val="77846CDF"/>
    <w:rsid w:val="77846D70"/>
    <w:rsid w:val="778B00FF"/>
    <w:rsid w:val="778E33FA"/>
    <w:rsid w:val="778E7BEF"/>
    <w:rsid w:val="77901BB9"/>
    <w:rsid w:val="779276DF"/>
    <w:rsid w:val="77935205"/>
    <w:rsid w:val="779571D0"/>
    <w:rsid w:val="779A6594"/>
    <w:rsid w:val="779E0807"/>
    <w:rsid w:val="779F004E"/>
    <w:rsid w:val="77A15B74"/>
    <w:rsid w:val="77A45665"/>
    <w:rsid w:val="77AB69F3"/>
    <w:rsid w:val="77AD4519"/>
    <w:rsid w:val="77B6195A"/>
    <w:rsid w:val="77B95E16"/>
    <w:rsid w:val="77BA0F87"/>
    <w:rsid w:val="77BC475C"/>
    <w:rsid w:val="77C27899"/>
    <w:rsid w:val="77CB499F"/>
    <w:rsid w:val="77CC444C"/>
    <w:rsid w:val="77CD6969"/>
    <w:rsid w:val="77CF345E"/>
    <w:rsid w:val="77D53A70"/>
    <w:rsid w:val="77D655BF"/>
    <w:rsid w:val="77D777E8"/>
    <w:rsid w:val="77D96FB3"/>
    <w:rsid w:val="77E048EF"/>
    <w:rsid w:val="77E37AD6"/>
    <w:rsid w:val="77E421DC"/>
    <w:rsid w:val="77E77FA4"/>
    <w:rsid w:val="77EA751B"/>
    <w:rsid w:val="77ED2B68"/>
    <w:rsid w:val="77F32090"/>
    <w:rsid w:val="780103C1"/>
    <w:rsid w:val="78016613"/>
    <w:rsid w:val="780600CD"/>
    <w:rsid w:val="78063C29"/>
    <w:rsid w:val="7808174F"/>
    <w:rsid w:val="78085BF3"/>
    <w:rsid w:val="780B1240"/>
    <w:rsid w:val="780D4FB8"/>
    <w:rsid w:val="780F09F4"/>
    <w:rsid w:val="78153E6C"/>
    <w:rsid w:val="78186399"/>
    <w:rsid w:val="781A1483"/>
    <w:rsid w:val="781C169F"/>
    <w:rsid w:val="782B18E2"/>
    <w:rsid w:val="782D565A"/>
    <w:rsid w:val="782F1C1A"/>
    <w:rsid w:val="7831514A"/>
    <w:rsid w:val="78324A1E"/>
    <w:rsid w:val="78342545"/>
    <w:rsid w:val="78397B5B"/>
    <w:rsid w:val="783C1535"/>
    <w:rsid w:val="78435FB8"/>
    <w:rsid w:val="78454752"/>
    <w:rsid w:val="784F02E1"/>
    <w:rsid w:val="7851759A"/>
    <w:rsid w:val="785229A8"/>
    <w:rsid w:val="785901FD"/>
    <w:rsid w:val="785E75C1"/>
    <w:rsid w:val="785F0F7A"/>
    <w:rsid w:val="7860333A"/>
    <w:rsid w:val="7866354D"/>
    <w:rsid w:val="786B1CDE"/>
    <w:rsid w:val="78760DAF"/>
    <w:rsid w:val="78793171"/>
    <w:rsid w:val="787943FB"/>
    <w:rsid w:val="787D20B0"/>
    <w:rsid w:val="787E5EB6"/>
    <w:rsid w:val="78810287"/>
    <w:rsid w:val="78824593"/>
    <w:rsid w:val="788860C0"/>
    <w:rsid w:val="788A6608"/>
    <w:rsid w:val="788D434B"/>
    <w:rsid w:val="788F1E71"/>
    <w:rsid w:val="788F3C1F"/>
    <w:rsid w:val="789254BD"/>
    <w:rsid w:val="78964FAD"/>
    <w:rsid w:val="789C4F47"/>
    <w:rsid w:val="789C633C"/>
    <w:rsid w:val="78A11715"/>
    <w:rsid w:val="78A37DFC"/>
    <w:rsid w:val="78A551F0"/>
    <w:rsid w:val="78A90480"/>
    <w:rsid w:val="78AC0BE6"/>
    <w:rsid w:val="78B1554E"/>
    <w:rsid w:val="78B35B5F"/>
    <w:rsid w:val="78B43685"/>
    <w:rsid w:val="78BD69DE"/>
    <w:rsid w:val="78C31B1A"/>
    <w:rsid w:val="78C57641"/>
    <w:rsid w:val="78C7785D"/>
    <w:rsid w:val="78CA4586"/>
    <w:rsid w:val="78CC351E"/>
    <w:rsid w:val="78D35BBD"/>
    <w:rsid w:val="78D36201"/>
    <w:rsid w:val="78D37FAF"/>
    <w:rsid w:val="78D646F6"/>
    <w:rsid w:val="78D67AA0"/>
    <w:rsid w:val="78DA7590"/>
    <w:rsid w:val="78E0447A"/>
    <w:rsid w:val="78E163DA"/>
    <w:rsid w:val="78E20A03"/>
    <w:rsid w:val="78E26444"/>
    <w:rsid w:val="78E30EC4"/>
    <w:rsid w:val="78E8315E"/>
    <w:rsid w:val="78F0388A"/>
    <w:rsid w:val="78F10436"/>
    <w:rsid w:val="78F36279"/>
    <w:rsid w:val="78F65A4C"/>
    <w:rsid w:val="78F817C4"/>
    <w:rsid w:val="78F9201C"/>
    <w:rsid w:val="78F92F18"/>
    <w:rsid w:val="78FD0B56"/>
    <w:rsid w:val="7904104F"/>
    <w:rsid w:val="790463BB"/>
    <w:rsid w:val="7906211F"/>
    <w:rsid w:val="790939D1"/>
    <w:rsid w:val="790A14F7"/>
    <w:rsid w:val="790D1571"/>
    <w:rsid w:val="79122B54"/>
    <w:rsid w:val="791650FE"/>
    <w:rsid w:val="791660EE"/>
    <w:rsid w:val="79175833"/>
    <w:rsid w:val="7919798C"/>
    <w:rsid w:val="791B3704"/>
    <w:rsid w:val="791D747D"/>
    <w:rsid w:val="791F1447"/>
    <w:rsid w:val="79246A5D"/>
    <w:rsid w:val="79297BCF"/>
    <w:rsid w:val="792A1B99"/>
    <w:rsid w:val="792C4CC9"/>
    <w:rsid w:val="792F0F5E"/>
    <w:rsid w:val="79312F28"/>
    <w:rsid w:val="79330A4E"/>
    <w:rsid w:val="79350C82"/>
    <w:rsid w:val="79352A18"/>
    <w:rsid w:val="7936053E"/>
    <w:rsid w:val="79394A97"/>
    <w:rsid w:val="793B7903"/>
    <w:rsid w:val="7940316B"/>
    <w:rsid w:val="79404F19"/>
    <w:rsid w:val="79426EE3"/>
    <w:rsid w:val="79442C5B"/>
    <w:rsid w:val="79490AB5"/>
    <w:rsid w:val="794C38BE"/>
    <w:rsid w:val="794E7636"/>
    <w:rsid w:val="79507900"/>
    <w:rsid w:val="79594081"/>
    <w:rsid w:val="7967694A"/>
    <w:rsid w:val="796B49DC"/>
    <w:rsid w:val="796D289A"/>
    <w:rsid w:val="796E46DA"/>
    <w:rsid w:val="797057FE"/>
    <w:rsid w:val="79717E77"/>
    <w:rsid w:val="7973484F"/>
    <w:rsid w:val="7973709D"/>
    <w:rsid w:val="79752E15"/>
    <w:rsid w:val="79761652"/>
    <w:rsid w:val="79780B57"/>
    <w:rsid w:val="797A042B"/>
    <w:rsid w:val="797C0647"/>
    <w:rsid w:val="797C23F5"/>
    <w:rsid w:val="79811327"/>
    <w:rsid w:val="798219D5"/>
    <w:rsid w:val="79863274"/>
    <w:rsid w:val="79876FEC"/>
    <w:rsid w:val="798C63B0"/>
    <w:rsid w:val="798D4602"/>
    <w:rsid w:val="798E3ED6"/>
    <w:rsid w:val="798E437D"/>
    <w:rsid w:val="79905EA0"/>
    <w:rsid w:val="799314ED"/>
    <w:rsid w:val="79935991"/>
    <w:rsid w:val="79951709"/>
    <w:rsid w:val="79974728"/>
    <w:rsid w:val="79983E20"/>
    <w:rsid w:val="799D236B"/>
    <w:rsid w:val="79A11E5C"/>
    <w:rsid w:val="79A8143C"/>
    <w:rsid w:val="79A90CAB"/>
    <w:rsid w:val="79AC0800"/>
    <w:rsid w:val="79B0209F"/>
    <w:rsid w:val="79B43D9D"/>
    <w:rsid w:val="79B74AA6"/>
    <w:rsid w:val="79B778D1"/>
    <w:rsid w:val="79B86634"/>
    <w:rsid w:val="79BE0C60"/>
    <w:rsid w:val="79C03F87"/>
    <w:rsid w:val="79C124FE"/>
    <w:rsid w:val="79C7027F"/>
    <w:rsid w:val="79CE69C9"/>
    <w:rsid w:val="79D02741"/>
    <w:rsid w:val="79D0292F"/>
    <w:rsid w:val="79D33FDF"/>
    <w:rsid w:val="79D42231"/>
    <w:rsid w:val="79D45972"/>
    <w:rsid w:val="79D7587D"/>
    <w:rsid w:val="79DB76E8"/>
    <w:rsid w:val="79DC2E94"/>
    <w:rsid w:val="79DE4E5E"/>
    <w:rsid w:val="79DF4732"/>
    <w:rsid w:val="79E104AA"/>
    <w:rsid w:val="79E24222"/>
    <w:rsid w:val="79E838CA"/>
    <w:rsid w:val="79E93803"/>
    <w:rsid w:val="79ED50A1"/>
    <w:rsid w:val="79EE0E19"/>
    <w:rsid w:val="79F24465"/>
    <w:rsid w:val="79F62EF9"/>
    <w:rsid w:val="79F703FC"/>
    <w:rsid w:val="79F71A7C"/>
    <w:rsid w:val="79FC52E4"/>
    <w:rsid w:val="79FE72AE"/>
    <w:rsid w:val="7A0A5C53"/>
    <w:rsid w:val="7A137FC7"/>
    <w:rsid w:val="7A1C7734"/>
    <w:rsid w:val="7A1E16FE"/>
    <w:rsid w:val="7A1F0FD2"/>
    <w:rsid w:val="7A22231A"/>
    <w:rsid w:val="7A24780B"/>
    <w:rsid w:val="7A252A8D"/>
    <w:rsid w:val="7A274CFC"/>
    <w:rsid w:val="7A2A3180"/>
    <w:rsid w:val="7A2B1D62"/>
    <w:rsid w:val="7A2B5BC9"/>
    <w:rsid w:val="7A2D7B93"/>
    <w:rsid w:val="7A2F56B9"/>
    <w:rsid w:val="7A316DFD"/>
    <w:rsid w:val="7A364017"/>
    <w:rsid w:val="7A3A5144"/>
    <w:rsid w:val="7A3B22B0"/>
    <w:rsid w:val="7A3E3B4E"/>
    <w:rsid w:val="7A41719B"/>
    <w:rsid w:val="7A4647B1"/>
    <w:rsid w:val="7A4656A2"/>
    <w:rsid w:val="7A48677B"/>
    <w:rsid w:val="7A4B626B"/>
    <w:rsid w:val="7A505630"/>
    <w:rsid w:val="7A5E1AFB"/>
    <w:rsid w:val="7A665F33"/>
    <w:rsid w:val="7A6660F8"/>
    <w:rsid w:val="7A680BCB"/>
    <w:rsid w:val="7A6A426A"/>
    <w:rsid w:val="7A6B1967"/>
    <w:rsid w:val="7A6D48C0"/>
    <w:rsid w:val="7A6F3D08"/>
    <w:rsid w:val="7A70182E"/>
    <w:rsid w:val="7A715CD2"/>
    <w:rsid w:val="7A7C3632"/>
    <w:rsid w:val="7A7C6425"/>
    <w:rsid w:val="7A8265E1"/>
    <w:rsid w:val="7A886347"/>
    <w:rsid w:val="7A903C7E"/>
    <w:rsid w:val="7A9574D4"/>
    <w:rsid w:val="7A9B4AFD"/>
    <w:rsid w:val="7AA240DD"/>
    <w:rsid w:val="7AAA2F92"/>
    <w:rsid w:val="7AAC11BF"/>
    <w:rsid w:val="7AB07CD4"/>
    <w:rsid w:val="7AB21E46"/>
    <w:rsid w:val="7AB94F83"/>
    <w:rsid w:val="7ABE0549"/>
    <w:rsid w:val="7AC04563"/>
    <w:rsid w:val="7AC22AE9"/>
    <w:rsid w:val="7AC314BE"/>
    <w:rsid w:val="7AC322A6"/>
    <w:rsid w:val="7AC57DCC"/>
    <w:rsid w:val="7ACF0C4A"/>
    <w:rsid w:val="7AD65B35"/>
    <w:rsid w:val="7AD7365B"/>
    <w:rsid w:val="7AD86316"/>
    <w:rsid w:val="7ADB75EF"/>
    <w:rsid w:val="7ADF6323"/>
    <w:rsid w:val="7AE475C4"/>
    <w:rsid w:val="7AE9497B"/>
    <w:rsid w:val="7AF10BC1"/>
    <w:rsid w:val="7AF4245F"/>
    <w:rsid w:val="7AF91C89"/>
    <w:rsid w:val="7AFA2D33"/>
    <w:rsid w:val="7B002BB2"/>
    <w:rsid w:val="7B007056"/>
    <w:rsid w:val="7B0613DB"/>
    <w:rsid w:val="7B09415C"/>
    <w:rsid w:val="7B0A57DF"/>
    <w:rsid w:val="7B14665D"/>
    <w:rsid w:val="7B1B3E90"/>
    <w:rsid w:val="7B1B5C3E"/>
    <w:rsid w:val="7B1D5512"/>
    <w:rsid w:val="7B1E49F7"/>
    <w:rsid w:val="7B1F572E"/>
    <w:rsid w:val="7B205002"/>
    <w:rsid w:val="7B222BFA"/>
    <w:rsid w:val="7B29035B"/>
    <w:rsid w:val="7B2A7C2F"/>
    <w:rsid w:val="7B2C3224"/>
    <w:rsid w:val="7B3650A3"/>
    <w:rsid w:val="7B3B410F"/>
    <w:rsid w:val="7B42766E"/>
    <w:rsid w:val="7B43689E"/>
    <w:rsid w:val="7B4738E3"/>
    <w:rsid w:val="7B486307"/>
    <w:rsid w:val="7B4E1B6F"/>
    <w:rsid w:val="7B4E6013"/>
    <w:rsid w:val="7B537186"/>
    <w:rsid w:val="7B5770BD"/>
    <w:rsid w:val="7B5829EE"/>
    <w:rsid w:val="7B58479C"/>
    <w:rsid w:val="7B5E1E17"/>
    <w:rsid w:val="7B5E43AD"/>
    <w:rsid w:val="7B6018A2"/>
    <w:rsid w:val="7B6249F8"/>
    <w:rsid w:val="7B6479E6"/>
    <w:rsid w:val="7B686D42"/>
    <w:rsid w:val="7B6969A9"/>
    <w:rsid w:val="7B6A54D9"/>
    <w:rsid w:val="7B6C0247"/>
    <w:rsid w:val="7B727A53"/>
    <w:rsid w:val="7B74267B"/>
    <w:rsid w:val="7B7470FC"/>
    <w:rsid w:val="7B7A0FC8"/>
    <w:rsid w:val="7B7A2A36"/>
    <w:rsid w:val="7B7D06A6"/>
    <w:rsid w:val="7B7F61CD"/>
    <w:rsid w:val="7B811F45"/>
    <w:rsid w:val="7B841746"/>
    <w:rsid w:val="7B86755B"/>
    <w:rsid w:val="7B8B207E"/>
    <w:rsid w:val="7B8B4B71"/>
    <w:rsid w:val="7B8D7AD7"/>
    <w:rsid w:val="7B901128"/>
    <w:rsid w:val="7B917878"/>
    <w:rsid w:val="7B925FE7"/>
    <w:rsid w:val="7B98103C"/>
    <w:rsid w:val="7B9A3A6E"/>
    <w:rsid w:val="7B9A4DB4"/>
    <w:rsid w:val="7B9A4F9A"/>
    <w:rsid w:val="7B9B28DB"/>
    <w:rsid w:val="7B9D6653"/>
    <w:rsid w:val="7BA14395"/>
    <w:rsid w:val="7BA53E28"/>
    <w:rsid w:val="7BA63759"/>
    <w:rsid w:val="7BA93249"/>
    <w:rsid w:val="7BA94FF8"/>
    <w:rsid w:val="7BAE0225"/>
    <w:rsid w:val="7BB16806"/>
    <w:rsid w:val="7BBD0AA3"/>
    <w:rsid w:val="7BBD7749"/>
    <w:rsid w:val="7BC72716"/>
    <w:rsid w:val="7BCE0F02"/>
    <w:rsid w:val="7BD3786A"/>
    <w:rsid w:val="7BD37981"/>
    <w:rsid w:val="7BD5403F"/>
    <w:rsid w:val="7BD55DED"/>
    <w:rsid w:val="7BD61B65"/>
    <w:rsid w:val="7BD8369B"/>
    <w:rsid w:val="7BD858DD"/>
    <w:rsid w:val="7BDA78A7"/>
    <w:rsid w:val="7BDC717B"/>
    <w:rsid w:val="7BDE5DCC"/>
    <w:rsid w:val="7BE01E2D"/>
    <w:rsid w:val="7BE55C9F"/>
    <w:rsid w:val="7BE6624C"/>
    <w:rsid w:val="7BEB1AB4"/>
    <w:rsid w:val="7BF6580F"/>
    <w:rsid w:val="7BFA3C79"/>
    <w:rsid w:val="7C00348C"/>
    <w:rsid w:val="7C0045FA"/>
    <w:rsid w:val="7C013085"/>
    <w:rsid w:val="7C04545E"/>
    <w:rsid w:val="7C0473F0"/>
    <w:rsid w:val="7C06069C"/>
    <w:rsid w:val="7C075F3B"/>
    <w:rsid w:val="7C1032C9"/>
    <w:rsid w:val="7C120DEF"/>
    <w:rsid w:val="7C1508DF"/>
    <w:rsid w:val="7C1B0ED7"/>
    <w:rsid w:val="7C1C3A1B"/>
    <w:rsid w:val="7C1F350C"/>
    <w:rsid w:val="7C2154D6"/>
    <w:rsid w:val="7C246915"/>
    <w:rsid w:val="7C2823C0"/>
    <w:rsid w:val="7C2B1EB0"/>
    <w:rsid w:val="7C31692C"/>
    <w:rsid w:val="7C330D65"/>
    <w:rsid w:val="7C3F3BAE"/>
    <w:rsid w:val="7C464F3C"/>
    <w:rsid w:val="7C484810"/>
    <w:rsid w:val="7C4A67DB"/>
    <w:rsid w:val="7C4B4301"/>
    <w:rsid w:val="7C4B60AF"/>
    <w:rsid w:val="7C4C69A8"/>
    <w:rsid w:val="7C4F3DF1"/>
    <w:rsid w:val="7C5076B5"/>
    <w:rsid w:val="7C5A2FCC"/>
    <w:rsid w:val="7C5E5DE2"/>
    <w:rsid w:val="7C611D76"/>
    <w:rsid w:val="7C63789C"/>
    <w:rsid w:val="7C644183"/>
    <w:rsid w:val="7C644564"/>
    <w:rsid w:val="7C653614"/>
    <w:rsid w:val="7C6F6241"/>
    <w:rsid w:val="7C701FB9"/>
    <w:rsid w:val="7C730E76"/>
    <w:rsid w:val="7C743857"/>
    <w:rsid w:val="7C773348"/>
    <w:rsid w:val="7C7F3FAA"/>
    <w:rsid w:val="7C857813"/>
    <w:rsid w:val="7C896BD7"/>
    <w:rsid w:val="7C8D3F98"/>
    <w:rsid w:val="7C943EFA"/>
    <w:rsid w:val="7C950E2A"/>
    <w:rsid w:val="7C952014"/>
    <w:rsid w:val="7C961A20"/>
    <w:rsid w:val="7C9663A3"/>
    <w:rsid w:val="7C9712F4"/>
    <w:rsid w:val="7C98391B"/>
    <w:rsid w:val="7C9C6796"/>
    <w:rsid w:val="7C9E6B26"/>
    <w:rsid w:val="7CA103C5"/>
    <w:rsid w:val="7CA52E86"/>
    <w:rsid w:val="7CA67789"/>
    <w:rsid w:val="7CA83501"/>
    <w:rsid w:val="7CAA1027"/>
    <w:rsid w:val="7CB00608"/>
    <w:rsid w:val="7CB2740D"/>
    <w:rsid w:val="7CB579CC"/>
    <w:rsid w:val="7CB9570E"/>
    <w:rsid w:val="7CBC0D5A"/>
    <w:rsid w:val="7CBC51FE"/>
    <w:rsid w:val="7CCA3477"/>
    <w:rsid w:val="7CCC5441"/>
    <w:rsid w:val="7CCF0A8E"/>
    <w:rsid w:val="7CCF4C6B"/>
    <w:rsid w:val="7CD10CAA"/>
    <w:rsid w:val="7CD2057E"/>
    <w:rsid w:val="7CD20D82"/>
    <w:rsid w:val="7CDE5175"/>
    <w:rsid w:val="7CE00EED"/>
    <w:rsid w:val="7CE26411"/>
    <w:rsid w:val="7CE309DD"/>
    <w:rsid w:val="7CE34539"/>
    <w:rsid w:val="7CE502B1"/>
    <w:rsid w:val="7CE7227B"/>
    <w:rsid w:val="7CEA3B1A"/>
    <w:rsid w:val="7CED7B72"/>
    <w:rsid w:val="7CF36423"/>
    <w:rsid w:val="7CF46746"/>
    <w:rsid w:val="7CF93D5D"/>
    <w:rsid w:val="7CFB7AD5"/>
    <w:rsid w:val="7D0239FF"/>
    <w:rsid w:val="7D027841"/>
    <w:rsid w:val="7D034BDB"/>
    <w:rsid w:val="7D0428EB"/>
    <w:rsid w:val="7D0467C0"/>
    <w:rsid w:val="7D0A41BC"/>
    <w:rsid w:val="7D0A66E9"/>
    <w:rsid w:val="7D0D15B6"/>
    <w:rsid w:val="7D0E1EA7"/>
    <w:rsid w:val="7D11554A"/>
    <w:rsid w:val="7D115EA6"/>
    <w:rsid w:val="7D142945"/>
    <w:rsid w:val="7D146DE8"/>
    <w:rsid w:val="7D180687"/>
    <w:rsid w:val="7D1F7C67"/>
    <w:rsid w:val="7D21405B"/>
    <w:rsid w:val="7D225061"/>
    <w:rsid w:val="7D23702C"/>
    <w:rsid w:val="7D252DA4"/>
    <w:rsid w:val="7D284642"/>
    <w:rsid w:val="7D311CF4"/>
    <w:rsid w:val="7D33726F"/>
    <w:rsid w:val="7D342FE7"/>
    <w:rsid w:val="7D344D95"/>
    <w:rsid w:val="7D37575A"/>
    <w:rsid w:val="7D3905FD"/>
    <w:rsid w:val="7D3D2AA8"/>
    <w:rsid w:val="7D3F0F24"/>
    <w:rsid w:val="7D4274B2"/>
    <w:rsid w:val="7D450D50"/>
    <w:rsid w:val="7D472D1A"/>
    <w:rsid w:val="7D513B99"/>
    <w:rsid w:val="7D515947"/>
    <w:rsid w:val="7D52346D"/>
    <w:rsid w:val="7D5422D3"/>
    <w:rsid w:val="7D580A83"/>
    <w:rsid w:val="7D5B67C5"/>
    <w:rsid w:val="7D5E40CD"/>
    <w:rsid w:val="7D605B8A"/>
    <w:rsid w:val="7D637428"/>
    <w:rsid w:val="7D6438CC"/>
    <w:rsid w:val="7D645601"/>
    <w:rsid w:val="7D6500F5"/>
    <w:rsid w:val="7D6531A0"/>
    <w:rsid w:val="7D693BED"/>
    <w:rsid w:val="7D694C7C"/>
    <w:rsid w:val="7D6A489F"/>
    <w:rsid w:val="7D6C2781"/>
    <w:rsid w:val="7D7004C3"/>
    <w:rsid w:val="7D705BFF"/>
    <w:rsid w:val="7D711B45"/>
    <w:rsid w:val="7D761851"/>
    <w:rsid w:val="7D781125"/>
    <w:rsid w:val="7D7D04EA"/>
    <w:rsid w:val="7D824B7F"/>
    <w:rsid w:val="7D8950E1"/>
    <w:rsid w:val="7D8E7BDF"/>
    <w:rsid w:val="7D8F0799"/>
    <w:rsid w:val="7D944F65"/>
    <w:rsid w:val="7D9558DE"/>
    <w:rsid w:val="7D957F29"/>
    <w:rsid w:val="7D983576"/>
    <w:rsid w:val="7D9B2E98"/>
    <w:rsid w:val="7D9B3066"/>
    <w:rsid w:val="7D9D6DDE"/>
    <w:rsid w:val="7D9F0BCB"/>
    <w:rsid w:val="7DA0067C"/>
    <w:rsid w:val="7DA47832"/>
    <w:rsid w:val="7DA61F6B"/>
    <w:rsid w:val="7DAC3C93"/>
    <w:rsid w:val="7DB06B11"/>
    <w:rsid w:val="7DB3215D"/>
    <w:rsid w:val="7DB859C6"/>
    <w:rsid w:val="7DB92447"/>
    <w:rsid w:val="7DBA7990"/>
    <w:rsid w:val="7DC10D1E"/>
    <w:rsid w:val="7DC51888"/>
    <w:rsid w:val="7DC600E3"/>
    <w:rsid w:val="7DC92BE0"/>
    <w:rsid w:val="7DCB394B"/>
    <w:rsid w:val="7DCE51E9"/>
    <w:rsid w:val="7DD37B87"/>
    <w:rsid w:val="7DD44EEC"/>
    <w:rsid w:val="7DD722F0"/>
    <w:rsid w:val="7DD81BC4"/>
    <w:rsid w:val="7DD86068"/>
    <w:rsid w:val="7DDE34B5"/>
    <w:rsid w:val="7DDF2F52"/>
    <w:rsid w:val="7DEB7B49"/>
    <w:rsid w:val="7DF10ED8"/>
    <w:rsid w:val="7DF12C86"/>
    <w:rsid w:val="7DF34C50"/>
    <w:rsid w:val="7DFA5FDE"/>
    <w:rsid w:val="7E024E93"/>
    <w:rsid w:val="7E040C0B"/>
    <w:rsid w:val="7E052BDE"/>
    <w:rsid w:val="7E057D7A"/>
    <w:rsid w:val="7E094473"/>
    <w:rsid w:val="7E0B440B"/>
    <w:rsid w:val="7E0D5D12"/>
    <w:rsid w:val="7E0E55E6"/>
    <w:rsid w:val="7E132BFC"/>
    <w:rsid w:val="7E1532BF"/>
    <w:rsid w:val="7E156974"/>
    <w:rsid w:val="7E1846B6"/>
    <w:rsid w:val="7E186CB2"/>
    <w:rsid w:val="7E1A042F"/>
    <w:rsid w:val="7E1A6BBD"/>
    <w:rsid w:val="7E1B52D0"/>
    <w:rsid w:val="7E1D118B"/>
    <w:rsid w:val="7E1D624C"/>
    <w:rsid w:val="7E2117BD"/>
    <w:rsid w:val="7E24305B"/>
    <w:rsid w:val="7E246BF6"/>
    <w:rsid w:val="7E2E3EDA"/>
    <w:rsid w:val="7E2E5C88"/>
    <w:rsid w:val="7E301A00"/>
    <w:rsid w:val="7E371D41"/>
    <w:rsid w:val="7E3C666E"/>
    <w:rsid w:val="7E3D5ECB"/>
    <w:rsid w:val="7E3E411D"/>
    <w:rsid w:val="7E462FD2"/>
    <w:rsid w:val="7E480F82"/>
    <w:rsid w:val="7E4D6024"/>
    <w:rsid w:val="7E4E04C2"/>
    <w:rsid w:val="7E50377C"/>
    <w:rsid w:val="7E517312"/>
    <w:rsid w:val="7E5356EF"/>
    <w:rsid w:val="7E5637D7"/>
    <w:rsid w:val="7E58122B"/>
    <w:rsid w:val="7E5A4CCF"/>
    <w:rsid w:val="7E5D031B"/>
    <w:rsid w:val="7E5F4093"/>
    <w:rsid w:val="7E5F7640"/>
    <w:rsid w:val="7E6873EC"/>
    <w:rsid w:val="7E6D1E3F"/>
    <w:rsid w:val="7E6D67B0"/>
    <w:rsid w:val="7E722019"/>
    <w:rsid w:val="7E7358D0"/>
    <w:rsid w:val="7E762DB4"/>
    <w:rsid w:val="7E7A0ECD"/>
    <w:rsid w:val="7E7B3C1E"/>
    <w:rsid w:val="7E7C69F3"/>
    <w:rsid w:val="7E7F64E4"/>
    <w:rsid w:val="7E8104AE"/>
    <w:rsid w:val="7E81225C"/>
    <w:rsid w:val="7E8458A8"/>
    <w:rsid w:val="7E865AC4"/>
    <w:rsid w:val="7E891110"/>
    <w:rsid w:val="7E8A1149"/>
    <w:rsid w:val="7E8A55B4"/>
    <w:rsid w:val="7E8B30DA"/>
    <w:rsid w:val="7E8D6E52"/>
    <w:rsid w:val="7E8E4F55"/>
    <w:rsid w:val="7E9401E1"/>
    <w:rsid w:val="7E97382D"/>
    <w:rsid w:val="7E99373B"/>
    <w:rsid w:val="7EA30424"/>
    <w:rsid w:val="7EA33FDE"/>
    <w:rsid w:val="7EA40AE0"/>
    <w:rsid w:val="7EA45F4A"/>
    <w:rsid w:val="7EA5419C"/>
    <w:rsid w:val="7EAB552B"/>
    <w:rsid w:val="7EB264E4"/>
    <w:rsid w:val="7EB27693"/>
    <w:rsid w:val="7EB42631"/>
    <w:rsid w:val="7EB56F67"/>
    <w:rsid w:val="7EB837A6"/>
    <w:rsid w:val="7EB9621C"/>
    <w:rsid w:val="7EBB6578"/>
    <w:rsid w:val="7EC02D84"/>
    <w:rsid w:val="7EC64112"/>
    <w:rsid w:val="7EC65EC0"/>
    <w:rsid w:val="7EC860DC"/>
    <w:rsid w:val="7ECD36F3"/>
    <w:rsid w:val="7ECD54A1"/>
    <w:rsid w:val="7ED455CC"/>
    <w:rsid w:val="7ED4682F"/>
    <w:rsid w:val="7ED71E7C"/>
    <w:rsid w:val="7ED92098"/>
    <w:rsid w:val="7ED92904"/>
    <w:rsid w:val="7EE527EB"/>
    <w:rsid w:val="7EEF18BB"/>
    <w:rsid w:val="7EF42A2E"/>
    <w:rsid w:val="7EF961DF"/>
    <w:rsid w:val="7EFE1AFE"/>
    <w:rsid w:val="7F0215EE"/>
    <w:rsid w:val="7F0709B3"/>
    <w:rsid w:val="7F076C05"/>
    <w:rsid w:val="7F0A6D29"/>
    <w:rsid w:val="7F0B7D77"/>
    <w:rsid w:val="7F10538E"/>
    <w:rsid w:val="7F1135E0"/>
    <w:rsid w:val="7F1429AC"/>
    <w:rsid w:val="7F1629A4"/>
    <w:rsid w:val="7F1950C0"/>
    <w:rsid w:val="7F196938"/>
    <w:rsid w:val="7F231565"/>
    <w:rsid w:val="7F236931"/>
    <w:rsid w:val="7F250E39"/>
    <w:rsid w:val="7F264BB1"/>
    <w:rsid w:val="7F2A28F3"/>
    <w:rsid w:val="7F2D4191"/>
    <w:rsid w:val="7F2D7CEE"/>
    <w:rsid w:val="7F3124A9"/>
    <w:rsid w:val="7F3217A8"/>
    <w:rsid w:val="7F364DF4"/>
    <w:rsid w:val="7F3E639F"/>
    <w:rsid w:val="7F405C73"/>
    <w:rsid w:val="7F4219EB"/>
    <w:rsid w:val="7F435763"/>
    <w:rsid w:val="7F437511"/>
    <w:rsid w:val="7F4A08A0"/>
    <w:rsid w:val="7F4C0ABC"/>
    <w:rsid w:val="7F4C4618"/>
    <w:rsid w:val="7F57023D"/>
    <w:rsid w:val="7F597551"/>
    <w:rsid w:val="7F5C7D12"/>
    <w:rsid w:val="7F604567"/>
    <w:rsid w:val="7F607B23"/>
    <w:rsid w:val="7F625BE9"/>
    <w:rsid w:val="7F686F78"/>
    <w:rsid w:val="7F6A7224"/>
    <w:rsid w:val="7F6C6A68"/>
    <w:rsid w:val="7F6F0306"/>
    <w:rsid w:val="7F7238C6"/>
    <w:rsid w:val="7F7A0869"/>
    <w:rsid w:val="7F7D0C75"/>
    <w:rsid w:val="7F7D2A23"/>
    <w:rsid w:val="7F7E49ED"/>
    <w:rsid w:val="7F7F7177"/>
    <w:rsid w:val="7F800765"/>
    <w:rsid w:val="7F89586C"/>
    <w:rsid w:val="7F916650"/>
    <w:rsid w:val="7F9D1317"/>
    <w:rsid w:val="7F9F508F"/>
    <w:rsid w:val="7F9F6E3D"/>
    <w:rsid w:val="7FA12C09"/>
    <w:rsid w:val="7FA1658D"/>
    <w:rsid w:val="7FA206DC"/>
    <w:rsid w:val="7FA2692E"/>
    <w:rsid w:val="7FA44454"/>
    <w:rsid w:val="7FA44DC6"/>
    <w:rsid w:val="7FA53D28"/>
    <w:rsid w:val="7FA91A6A"/>
    <w:rsid w:val="7FA96067"/>
    <w:rsid w:val="7FB34697"/>
    <w:rsid w:val="7FB421BD"/>
    <w:rsid w:val="7FB83A5B"/>
    <w:rsid w:val="7FB87EFF"/>
    <w:rsid w:val="7FBA05E0"/>
    <w:rsid w:val="7FBB179D"/>
    <w:rsid w:val="7FBD3767"/>
    <w:rsid w:val="7FBE40A5"/>
    <w:rsid w:val="7FBE43E0"/>
    <w:rsid w:val="7FC37379"/>
    <w:rsid w:val="7FC44AF6"/>
    <w:rsid w:val="7FC66CD0"/>
    <w:rsid w:val="7FCC39AA"/>
    <w:rsid w:val="7FD5285F"/>
    <w:rsid w:val="7FD64829"/>
    <w:rsid w:val="7FD85EAB"/>
    <w:rsid w:val="7FDB04BF"/>
    <w:rsid w:val="7FDC1E3F"/>
    <w:rsid w:val="7FDF527F"/>
    <w:rsid w:val="7FE24F7C"/>
    <w:rsid w:val="7FE42AA2"/>
    <w:rsid w:val="7FE47E50"/>
    <w:rsid w:val="7FE76BED"/>
    <w:rsid w:val="7FE80AE4"/>
    <w:rsid w:val="7FE9630A"/>
    <w:rsid w:val="7FEE3921"/>
    <w:rsid w:val="7FF57F11"/>
    <w:rsid w:val="7FF75AFE"/>
    <w:rsid w:val="7FFE741B"/>
    <w:rsid w:val="8FF31A10"/>
    <w:rsid w:val="B2F7B1CF"/>
    <w:rsid w:val="F75DDBF1"/>
    <w:rsid w:val="FBFFAA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qFormat="1"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ocked="1"/>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139"/>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140"/>
    <w:qFormat/>
    <w:locked/>
    <w:uiPriority w:val="0"/>
    <w:pPr>
      <w:keepNext/>
      <w:keepLines/>
      <w:spacing w:before="260" w:after="260" w:line="416" w:lineRule="auto"/>
      <w:outlineLvl w:val="1"/>
    </w:pPr>
    <w:rPr>
      <w:rFonts w:ascii="Arial" w:hAnsi="Arial" w:eastAsia="黑体"/>
      <w:b/>
      <w:bCs/>
      <w:sz w:val="32"/>
      <w:szCs w:val="32"/>
    </w:rPr>
  </w:style>
  <w:style w:type="paragraph" w:styleId="7">
    <w:name w:val="heading 3"/>
    <w:basedOn w:val="1"/>
    <w:next w:val="1"/>
    <w:qFormat/>
    <w:locked/>
    <w:uiPriority w:val="0"/>
    <w:pPr>
      <w:numPr>
        <w:ilvl w:val="2"/>
        <w:numId w:val="1"/>
      </w:numPr>
      <w:spacing w:before="50" w:beforeLines="50"/>
      <w:ind w:left="0" w:firstLine="0"/>
      <w:jc w:val="left"/>
      <w:outlineLvl w:val="2"/>
    </w:pPr>
    <w:rPr>
      <w:b/>
      <w:sz w:val="28"/>
    </w:rPr>
  </w:style>
  <w:style w:type="paragraph" w:styleId="8">
    <w:name w:val="heading 4"/>
    <w:basedOn w:val="1"/>
    <w:next w:val="1"/>
    <w:qFormat/>
    <w:locked/>
    <w:uiPriority w:val="99"/>
    <w:pPr>
      <w:keepNext/>
      <w:keepLines/>
      <w:numPr>
        <w:ilvl w:val="3"/>
        <w:numId w:val="1"/>
      </w:numPr>
      <w:ind w:left="0" w:firstLine="0"/>
      <w:jc w:val="left"/>
      <w:outlineLvl w:val="3"/>
    </w:pPr>
    <w:rPr>
      <w:b/>
      <w:bCs/>
      <w:szCs w:val="28"/>
    </w:rPr>
  </w:style>
  <w:style w:type="character" w:default="1" w:styleId="38">
    <w:name w:val="Default Paragraph Font"/>
    <w:semiHidden/>
    <w:unhideWhenUsed/>
    <w:qFormat/>
    <w:uiPriority w:val="1"/>
  </w:style>
  <w:style w:type="table" w:default="1" w:styleId="36">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w:basedOn w:val="1"/>
    <w:next w:val="3"/>
    <w:link w:val="53"/>
    <w:qFormat/>
    <w:uiPriority w:val="0"/>
    <w:pPr>
      <w:widowControl/>
      <w:snapToGrid w:val="0"/>
      <w:spacing w:before="60" w:after="160" w:line="259" w:lineRule="auto"/>
      <w:ind w:right="113"/>
    </w:pPr>
    <w:rPr>
      <w:kern w:val="0"/>
      <w:sz w:val="18"/>
      <w:szCs w:val="18"/>
    </w:rPr>
  </w:style>
  <w:style w:type="paragraph" w:customStyle="1" w:styleId="3">
    <w:name w:val="Normal (Web)1"/>
    <w:basedOn w:val="1"/>
    <w:next w:val="4"/>
    <w:qFormat/>
    <w:uiPriority w:val="0"/>
    <w:pPr>
      <w:widowControl/>
    </w:pPr>
    <w:rPr>
      <w:rFonts w:ascii="宋体"/>
      <w:sz w:val="24"/>
      <w:szCs w:val="21"/>
    </w:rPr>
  </w:style>
  <w:style w:type="paragraph" w:customStyle="1" w:styleId="4">
    <w:name w:val="Date1"/>
    <w:basedOn w:val="1"/>
    <w:next w:val="1"/>
    <w:qFormat/>
    <w:uiPriority w:val="0"/>
    <w:pPr>
      <w:ind w:left="2500" w:leftChars="2500"/>
    </w:pPr>
  </w:style>
  <w:style w:type="paragraph" w:styleId="9">
    <w:name w:val="Normal Indent"/>
    <w:basedOn w:val="1"/>
    <w:next w:val="2"/>
    <w:qFormat/>
    <w:uiPriority w:val="0"/>
    <w:pPr>
      <w:spacing w:line="460" w:lineRule="atLeast"/>
      <w:ind w:firstLine="420"/>
    </w:pPr>
    <w:rPr>
      <w:szCs w:val="20"/>
    </w:rPr>
  </w:style>
  <w:style w:type="paragraph" w:styleId="10">
    <w:name w:val="caption"/>
    <w:basedOn w:val="1"/>
    <w:next w:val="1"/>
    <w:qFormat/>
    <w:locked/>
    <w:uiPriority w:val="0"/>
    <w:rPr>
      <w:rFonts w:ascii="Arial" w:hAnsi="Arial" w:eastAsia="黑体"/>
      <w:sz w:val="20"/>
      <w:szCs w:val="20"/>
    </w:rPr>
  </w:style>
  <w:style w:type="paragraph" w:styleId="11">
    <w:name w:val="annotation text"/>
    <w:basedOn w:val="1"/>
    <w:link w:val="52"/>
    <w:qFormat/>
    <w:uiPriority w:val="0"/>
    <w:pPr>
      <w:jc w:val="left"/>
    </w:pPr>
    <w:rPr>
      <w:kern w:val="0"/>
      <w:sz w:val="20"/>
    </w:rPr>
  </w:style>
  <w:style w:type="paragraph" w:styleId="12">
    <w:name w:val="Body Text Indent"/>
    <w:basedOn w:val="1"/>
    <w:next w:val="13"/>
    <w:link w:val="54"/>
    <w:semiHidden/>
    <w:qFormat/>
    <w:uiPriority w:val="0"/>
    <w:pPr>
      <w:spacing w:after="120"/>
      <w:ind w:left="420" w:leftChars="200"/>
    </w:pPr>
  </w:style>
  <w:style w:type="paragraph" w:customStyle="1" w:styleId="13">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styleId="14">
    <w:name w:val="Block Text"/>
    <w:basedOn w:val="1"/>
    <w:next w:val="1"/>
    <w:qFormat/>
    <w:uiPriority w:val="0"/>
    <w:pPr>
      <w:spacing w:line="240" w:lineRule="auto"/>
      <w:ind w:left="113" w:right="113" w:firstLine="3584"/>
      <w:jc w:val="center"/>
    </w:pPr>
  </w:style>
  <w:style w:type="paragraph" w:styleId="15">
    <w:name w:val="Plain Text"/>
    <w:basedOn w:val="1"/>
    <w:next w:val="16"/>
    <w:qFormat/>
    <w:uiPriority w:val="0"/>
    <w:rPr>
      <w:rFonts w:ascii="宋体" w:hAnsi="Courier New" w:cs="Courier New"/>
      <w:szCs w:val="21"/>
    </w:rPr>
  </w:style>
  <w:style w:type="paragraph" w:styleId="16">
    <w:name w:val="toc 1"/>
    <w:basedOn w:val="1"/>
    <w:next w:val="1"/>
    <w:qFormat/>
    <w:locked/>
    <w:uiPriority w:val="0"/>
    <w:pPr>
      <w:spacing w:line="360" w:lineRule="auto"/>
    </w:pPr>
    <w:rPr>
      <w:b/>
      <w:sz w:val="24"/>
    </w:rPr>
  </w:style>
  <w:style w:type="paragraph" w:styleId="17">
    <w:name w:val="Date"/>
    <w:basedOn w:val="1"/>
    <w:next w:val="1"/>
    <w:link w:val="55"/>
    <w:qFormat/>
    <w:uiPriority w:val="0"/>
    <w:pPr>
      <w:ind w:left="100" w:leftChars="2500"/>
    </w:pPr>
    <w:rPr>
      <w:kern w:val="0"/>
      <w:sz w:val="20"/>
    </w:rPr>
  </w:style>
  <w:style w:type="paragraph" w:styleId="18">
    <w:name w:val="Body Text Indent 2"/>
    <w:basedOn w:val="1"/>
    <w:next w:val="1"/>
    <w:qFormat/>
    <w:uiPriority w:val="0"/>
    <w:pPr>
      <w:spacing w:after="120" w:line="480" w:lineRule="auto"/>
      <w:ind w:left="420" w:leftChars="200"/>
    </w:pPr>
  </w:style>
  <w:style w:type="paragraph" w:styleId="19">
    <w:name w:val="Balloon Text"/>
    <w:basedOn w:val="1"/>
    <w:next w:val="14"/>
    <w:link w:val="56"/>
    <w:semiHidden/>
    <w:qFormat/>
    <w:uiPriority w:val="0"/>
    <w:rPr>
      <w:sz w:val="18"/>
      <w:szCs w:val="18"/>
    </w:rPr>
  </w:style>
  <w:style w:type="paragraph" w:styleId="20">
    <w:name w:val="footer"/>
    <w:basedOn w:val="1"/>
    <w:link w:val="57"/>
    <w:qFormat/>
    <w:uiPriority w:val="0"/>
    <w:pPr>
      <w:tabs>
        <w:tab w:val="center" w:pos="4153"/>
        <w:tab w:val="right" w:pos="8306"/>
      </w:tabs>
      <w:snapToGrid w:val="0"/>
      <w:jc w:val="left"/>
    </w:pPr>
    <w:rPr>
      <w:sz w:val="18"/>
      <w:szCs w:val="18"/>
    </w:rPr>
  </w:style>
  <w:style w:type="paragraph" w:styleId="21">
    <w:name w:val="header"/>
    <w:basedOn w:val="1"/>
    <w:next w:val="22"/>
    <w:link w:val="58"/>
    <w:qFormat/>
    <w:uiPriority w:val="0"/>
    <w:pPr>
      <w:pBdr>
        <w:bottom w:val="single" w:color="auto" w:sz="6" w:space="1"/>
      </w:pBdr>
      <w:tabs>
        <w:tab w:val="center" w:pos="4153"/>
        <w:tab w:val="right" w:pos="8306"/>
      </w:tabs>
      <w:snapToGrid w:val="0"/>
      <w:jc w:val="center"/>
    </w:pPr>
    <w:rPr>
      <w:sz w:val="18"/>
      <w:szCs w:val="18"/>
    </w:rPr>
  </w:style>
  <w:style w:type="paragraph" w:customStyle="1" w:styleId="22">
    <w:name w:val="样式5"/>
    <w:basedOn w:val="1"/>
    <w:qFormat/>
    <w:uiPriority w:val="0"/>
    <w:pPr>
      <w:spacing w:line="380" w:lineRule="exact"/>
      <w:ind w:firstLine="566" w:firstLineChars="202"/>
    </w:pPr>
    <w:rPr>
      <w:rFonts w:eastAsia="华文行楷"/>
    </w:rPr>
  </w:style>
  <w:style w:type="paragraph" w:styleId="23">
    <w:name w:val="List"/>
    <w:basedOn w:val="1"/>
    <w:qFormat/>
    <w:uiPriority w:val="0"/>
    <w:pPr>
      <w:ind w:left="200" w:hanging="200" w:hangingChars="200"/>
    </w:pPr>
  </w:style>
  <w:style w:type="paragraph" w:styleId="24">
    <w:name w:val="toc 6"/>
    <w:basedOn w:val="1"/>
    <w:next w:val="1"/>
    <w:qFormat/>
    <w:locked/>
    <w:uiPriority w:val="0"/>
    <w:pPr>
      <w:ind w:left="2100" w:leftChars="1000"/>
    </w:pPr>
  </w:style>
  <w:style w:type="paragraph" w:styleId="25">
    <w:name w:val="Body Text Indent 3"/>
    <w:basedOn w:val="1"/>
    <w:next w:val="19"/>
    <w:qFormat/>
    <w:uiPriority w:val="0"/>
    <w:pPr>
      <w:spacing w:after="120"/>
      <w:ind w:left="420" w:leftChars="200"/>
    </w:pPr>
    <w:rPr>
      <w:sz w:val="16"/>
      <w:szCs w:val="16"/>
    </w:rPr>
  </w:style>
  <w:style w:type="paragraph" w:styleId="26">
    <w:name w:val="table of figures"/>
    <w:basedOn w:val="1"/>
    <w:next w:val="1"/>
    <w:qFormat/>
    <w:uiPriority w:val="0"/>
    <w:pPr>
      <w:autoSpaceDE w:val="0"/>
      <w:autoSpaceDN w:val="0"/>
      <w:spacing w:line="360" w:lineRule="auto"/>
      <w:ind w:left="200" w:leftChars="200" w:hanging="200" w:hangingChars="200"/>
    </w:pPr>
    <w:rPr>
      <w:sz w:val="28"/>
      <w:szCs w:val="20"/>
    </w:rPr>
  </w:style>
  <w:style w:type="paragraph" w:styleId="27">
    <w:name w:val="toc 2"/>
    <w:basedOn w:val="1"/>
    <w:next w:val="1"/>
    <w:unhideWhenUsed/>
    <w:qFormat/>
    <w:locked/>
    <w:uiPriority w:val="39"/>
    <w:pPr>
      <w:ind w:left="420" w:leftChars="200"/>
    </w:pPr>
    <w:rPr>
      <w:rFonts w:ascii="Calibri" w:hAnsi="Calibri"/>
    </w:rPr>
  </w:style>
  <w:style w:type="paragraph" w:styleId="28">
    <w:name w:val="Body Text 2"/>
    <w:basedOn w:val="1"/>
    <w:qFormat/>
    <w:uiPriority w:val="0"/>
    <w:rPr>
      <w:sz w:val="28"/>
    </w:rPr>
  </w:style>
  <w:style w:type="paragraph" w:styleId="29">
    <w:name w:val="Message Header"/>
    <w:basedOn w:val="1"/>
    <w:semiHidden/>
    <w:qFormat/>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rPr>
  </w:style>
  <w:style w:type="paragraph" w:styleId="30">
    <w:name w:val="Normal (Web)"/>
    <w:basedOn w:val="1"/>
    <w:link w:val="59"/>
    <w:qFormat/>
    <w:uiPriority w:val="0"/>
    <w:pPr>
      <w:widowControl/>
      <w:spacing w:before="100" w:beforeAutospacing="1" w:after="100" w:afterAutospacing="1"/>
      <w:jc w:val="left"/>
    </w:pPr>
    <w:rPr>
      <w:rFonts w:ascii="宋体" w:hAnsi="宋体"/>
      <w:kern w:val="0"/>
      <w:sz w:val="24"/>
    </w:rPr>
  </w:style>
  <w:style w:type="paragraph" w:styleId="31">
    <w:name w:val="Title"/>
    <w:basedOn w:val="1"/>
    <w:next w:val="1"/>
    <w:qFormat/>
    <w:locked/>
    <w:uiPriority w:val="10"/>
    <w:pPr>
      <w:widowControl w:val="0"/>
      <w:spacing w:before="120" w:beforeLines="0" w:after="120" w:afterLines="0"/>
      <w:ind w:firstLine="0" w:firstLineChars="0"/>
      <w:outlineLvl w:val="0"/>
    </w:pPr>
    <w:rPr>
      <w:rFonts w:ascii="Cambria" w:hAnsi="Cambria" w:cs="Times New Roman"/>
      <w:b/>
      <w:bCs/>
      <w:sz w:val="32"/>
      <w:szCs w:val="32"/>
    </w:rPr>
  </w:style>
  <w:style w:type="paragraph" w:styleId="32">
    <w:name w:val="annotation subject"/>
    <w:basedOn w:val="11"/>
    <w:next w:val="11"/>
    <w:link w:val="60"/>
    <w:semiHidden/>
    <w:qFormat/>
    <w:uiPriority w:val="0"/>
    <w:rPr>
      <w:b/>
      <w:bCs/>
    </w:rPr>
  </w:style>
  <w:style w:type="paragraph" w:styleId="33">
    <w:name w:val="Body Text First Indent"/>
    <w:basedOn w:val="1"/>
    <w:next w:val="34"/>
    <w:qFormat/>
    <w:uiPriority w:val="0"/>
    <w:pPr>
      <w:ind w:firstLine="420" w:firstLineChars="100"/>
    </w:pPr>
  </w:style>
  <w:style w:type="paragraph" w:customStyle="1" w:styleId="34">
    <w:name w:val="样式 正文首行缩进 + 首行缩进:  2 字符1"/>
    <w:basedOn w:val="33"/>
    <w:next w:val="16"/>
    <w:qFormat/>
    <w:uiPriority w:val="0"/>
    <w:pPr>
      <w:spacing w:line="360" w:lineRule="auto"/>
      <w:ind w:firstLine="480" w:firstLineChars="200"/>
    </w:pPr>
    <w:rPr>
      <w:sz w:val="24"/>
    </w:rPr>
  </w:style>
  <w:style w:type="paragraph" w:styleId="35">
    <w:name w:val="Body Text First Indent 2"/>
    <w:basedOn w:val="12"/>
    <w:next w:val="1"/>
    <w:qFormat/>
    <w:uiPriority w:val="0"/>
    <w:pPr>
      <w:adjustRightInd/>
      <w:spacing w:after="120" w:line="240" w:lineRule="auto"/>
      <w:ind w:left="420" w:leftChars="200" w:firstLine="420" w:firstLineChars="200"/>
    </w:pPr>
    <w:rPr>
      <w:rFonts w:ascii="Times New Roman" w:hAnsi="Times New Roman" w:eastAsia="宋体" w:cs="Times New Roman"/>
      <w:color w:val="auto"/>
      <w:sz w:val="21"/>
      <w:szCs w:val="21"/>
    </w:rPr>
  </w:style>
  <w:style w:type="table" w:styleId="37">
    <w:name w:val="Table Grid"/>
    <w:basedOn w:val="3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Strong"/>
    <w:qFormat/>
    <w:locked/>
    <w:uiPriority w:val="0"/>
    <w:rPr>
      <w:b/>
    </w:rPr>
  </w:style>
  <w:style w:type="character" w:styleId="40">
    <w:name w:val="page number"/>
    <w:basedOn w:val="38"/>
    <w:qFormat/>
    <w:uiPriority w:val="0"/>
    <w:rPr>
      <w:rFonts w:hint="default" w:ascii="Times New Roman" w:hAnsi="Times New Roman" w:cs="Times New Roman"/>
    </w:rPr>
  </w:style>
  <w:style w:type="character" w:styleId="41">
    <w:name w:val="FollowedHyperlink"/>
    <w:basedOn w:val="38"/>
    <w:qFormat/>
    <w:uiPriority w:val="0"/>
    <w:rPr>
      <w:color w:val="185ECF"/>
      <w:u w:val="none"/>
    </w:rPr>
  </w:style>
  <w:style w:type="character" w:styleId="42">
    <w:name w:val="Emphasis"/>
    <w:qFormat/>
    <w:locked/>
    <w:uiPriority w:val="0"/>
    <w:rPr>
      <w:i/>
    </w:rPr>
  </w:style>
  <w:style w:type="character" w:styleId="43">
    <w:name w:val="Hyperlink"/>
    <w:qFormat/>
    <w:uiPriority w:val="0"/>
    <w:rPr>
      <w:color w:val="0000FF"/>
      <w:u w:val="single"/>
    </w:rPr>
  </w:style>
  <w:style w:type="character" w:styleId="44">
    <w:name w:val="annotation reference"/>
    <w:semiHidden/>
    <w:qFormat/>
    <w:uiPriority w:val="0"/>
    <w:rPr>
      <w:sz w:val="21"/>
    </w:rPr>
  </w:style>
  <w:style w:type="paragraph" w:customStyle="1" w:styleId="45">
    <w:name w:val="Default"/>
    <w:basedOn w:val="46"/>
    <w:next w:val="1"/>
    <w:qFormat/>
    <w:uiPriority w:val="0"/>
    <w:pPr>
      <w:widowControl w:val="0"/>
      <w:autoSpaceDE w:val="0"/>
      <w:autoSpaceDN w:val="0"/>
    </w:pPr>
    <w:rPr>
      <w:color w:val="000000"/>
    </w:rPr>
  </w:style>
  <w:style w:type="paragraph" w:customStyle="1" w:styleId="46">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7">
    <w:name w:val="BodyText"/>
    <w:basedOn w:val="1"/>
    <w:qFormat/>
    <w:uiPriority w:val="0"/>
    <w:pPr>
      <w:textAlignment w:val="baseline"/>
    </w:pPr>
    <w:rPr>
      <w:rFonts w:ascii="宋体" w:hAnsi="宋体"/>
      <w:szCs w:val="21"/>
    </w:rPr>
  </w:style>
  <w:style w:type="paragraph" w:customStyle="1" w:styleId="48">
    <w:name w:val="表头"/>
    <w:basedOn w:val="23"/>
    <w:next w:val="1"/>
    <w:qFormat/>
    <w:uiPriority w:val="0"/>
    <w:rPr>
      <w:rFonts w:eastAsia="黑体"/>
    </w:rPr>
  </w:style>
  <w:style w:type="paragraph" w:customStyle="1" w:styleId="49">
    <w:name w:val="xl27"/>
    <w:basedOn w:val="1"/>
    <w:qFormat/>
    <w:uiPriority w:val="99"/>
    <w:pPr>
      <w:widowControl/>
      <w:pBdr>
        <w:top w:val="single" w:color="auto" w:sz="8" w:space="0"/>
        <w:left w:val="single" w:color="auto" w:sz="8" w:space="0"/>
        <w:right w:val="single" w:color="auto" w:sz="8" w:space="0"/>
      </w:pBdr>
      <w:spacing w:before="100" w:beforeAutospacing="1" w:after="100" w:afterAutospacing="1"/>
      <w:jc w:val="center"/>
    </w:pPr>
    <w:rPr>
      <w:rFonts w:ascii="Arial Unicode MS" w:hAnsi="Arial Unicode MS" w:eastAsia="Arial Unicode MS"/>
      <w:sz w:val="22"/>
      <w:szCs w:val="22"/>
    </w:rPr>
  </w:style>
  <w:style w:type="paragraph" w:customStyle="1" w:styleId="50">
    <w:name w:val="_Style 4"/>
    <w:qFormat/>
    <w:uiPriority w:val="1"/>
    <w:pPr>
      <w:widowControl w:val="0"/>
      <w:jc w:val="both"/>
    </w:pPr>
    <w:rPr>
      <w:rFonts w:ascii="Calibri" w:hAnsi="Calibri" w:eastAsia="仿宋_GB2312" w:cs="Times New Roman"/>
      <w:kern w:val="2"/>
      <w:sz w:val="24"/>
      <w:szCs w:val="22"/>
      <w:lang w:val="en-US" w:eastAsia="zh-CN" w:bidi="ar-SA"/>
    </w:rPr>
  </w:style>
  <w:style w:type="paragraph" w:customStyle="1" w:styleId="51">
    <w:name w:val="内容"/>
    <w:basedOn w:val="1"/>
    <w:qFormat/>
    <w:uiPriority w:val="0"/>
    <w:pPr>
      <w:spacing w:beforeLines="50" w:afterLines="50"/>
      <w:ind w:firstLine="200" w:firstLineChars="200"/>
    </w:pPr>
    <w:rPr>
      <w:color w:val="000000"/>
      <w:sz w:val="24"/>
    </w:rPr>
  </w:style>
  <w:style w:type="character" w:customStyle="1" w:styleId="52">
    <w:name w:val="批注文字 字符"/>
    <w:link w:val="11"/>
    <w:qFormat/>
    <w:locked/>
    <w:uiPriority w:val="0"/>
    <w:rPr>
      <w:rFonts w:ascii="Times New Roman" w:hAnsi="Times New Roman" w:eastAsia="宋体"/>
      <w:sz w:val="24"/>
    </w:rPr>
  </w:style>
  <w:style w:type="character" w:customStyle="1" w:styleId="53">
    <w:name w:val="正文文本 字符"/>
    <w:link w:val="2"/>
    <w:qFormat/>
    <w:locked/>
    <w:uiPriority w:val="0"/>
    <w:rPr>
      <w:sz w:val="18"/>
    </w:rPr>
  </w:style>
  <w:style w:type="character" w:customStyle="1" w:styleId="54">
    <w:name w:val="正文文本缩进 字符"/>
    <w:link w:val="12"/>
    <w:semiHidden/>
    <w:qFormat/>
    <w:locked/>
    <w:uiPriority w:val="0"/>
    <w:rPr>
      <w:rFonts w:ascii="Times New Roman" w:hAnsi="Times New Roman" w:eastAsia="宋体" w:cs="Times New Roman"/>
      <w:sz w:val="24"/>
      <w:szCs w:val="24"/>
    </w:rPr>
  </w:style>
  <w:style w:type="character" w:customStyle="1" w:styleId="55">
    <w:name w:val="日期 字符1"/>
    <w:link w:val="17"/>
    <w:qFormat/>
    <w:locked/>
    <w:uiPriority w:val="0"/>
    <w:rPr>
      <w:rFonts w:ascii="Times New Roman" w:hAnsi="Times New Roman" w:eastAsia="宋体"/>
      <w:sz w:val="24"/>
    </w:rPr>
  </w:style>
  <w:style w:type="character" w:customStyle="1" w:styleId="56">
    <w:name w:val="批注框文本 字符"/>
    <w:link w:val="19"/>
    <w:semiHidden/>
    <w:qFormat/>
    <w:locked/>
    <w:uiPriority w:val="0"/>
    <w:rPr>
      <w:rFonts w:ascii="Times New Roman" w:hAnsi="Times New Roman" w:eastAsia="宋体" w:cs="Times New Roman"/>
      <w:sz w:val="18"/>
      <w:szCs w:val="18"/>
    </w:rPr>
  </w:style>
  <w:style w:type="character" w:customStyle="1" w:styleId="57">
    <w:name w:val="页脚 字符"/>
    <w:link w:val="20"/>
    <w:qFormat/>
    <w:locked/>
    <w:uiPriority w:val="0"/>
    <w:rPr>
      <w:rFonts w:cs="Times New Roman"/>
      <w:sz w:val="18"/>
      <w:szCs w:val="18"/>
    </w:rPr>
  </w:style>
  <w:style w:type="character" w:customStyle="1" w:styleId="58">
    <w:name w:val="页眉 字符1"/>
    <w:link w:val="21"/>
    <w:qFormat/>
    <w:locked/>
    <w:uiPriority w:val="0"/>
    <w:rPr>
      <w:rFonts w:cs="Times New Roman"/>
      <w:sz w:val="18"/>
      <w:szCs w:val="18"/>
    </w:rPr>
  </w:style>
  <w:style w:type="character" w:customStyle="1" w:styleId="59">
    <w:name w:val="普通(网站) 字符"/>
    <w:link w:val="30"/>
    <w:qFormat/>
    <w:locked/>
    <w:uiPriority w:val="0"/>
    <w:rPr>
      <w:rFonts w:ascii="宋体" w:hAnsi="宋体" w:eastAsia="宋体"/>
      <w:sz w:val="24"/>
    </w:rPr>
  </w:style>
  <w:style w:type="character" w:customStyle="1" w:styleId="60">
    <w:name w:val="批注主题 字符"/>
    <w:link w:val="32"/>
    <w:semiHidden/>
    <w:qFormat/>
    <w:locked/>
    <w:uiPriority w:val="0"/>
    <w:rPr>
      <w:rFonts w:cs="Times New Roman"/>
      <w:b/>
      <w:bCs/>
      <w:kern w:val="2"/>
      <w:szCs w:val="24"/>
    </w:rPr>
  </w:style>
  <w:style w:type="character" w:customStyle="1" w:styleId="61">
    <w:name w:val="页眉 字符"/>
    <w:qFormat/>
    <w:uiPriority w:val="0"/>
    <w:rPr>
      <w:rFonts w:hint="default" w:ascii="Calibri" w:hAnsi="Calibri" w:cs="Calibri"/>
    </w:rPr>
  </w:style>
  <w:style w:type="character" w:customStyle="1" w:styleId="62">
    <w:name w:val="普通(网站) Char"/>
    <w:qFormat/>
    <w:locked/>
    <w:uiPriority w:val="0"/>
    <w:rPr>
      <w:rFonts w:ascii="宋体" w:hAnsi="宋体" w:eastAsia="宋体"/>
      <w:sz w:val="24"/>
    </w:rPr>
  </w:style>
  <w:style w:type="character" w:customStyle="1" w:styleId="63">
    <w:name w:val="日期 字符"/>
    <w:semiHidden/>
    <w:qFormat/>
    <w:uiPriority w:val="0"/>
    <w:rPr>
      <w:rFonts w:ascii="Times New Roman" w:hAnsi="Times New Roman" w:eastAsia="宋体" w:cs="Times New Roman"/>
      <w:sz w:val="24"/>
      <w:szCs w:val="24"/>
    </w:rPr>
  </w:style>
  <w:style w:type="character" w:customStyle="1" w:styleId="64">
    <w:name w:val="批注文字 字符1"/>
    <w:semiHidden/>
    <w:qFormat/>
    <w:uiPriority w:val="0"/>
    <w:rPr>
      <w:rFonts w:ascii="Times New Roman" w:hAnsi="Times New Roman" w:eastAsia="宋体" w:cs="Times New Roman"/>
      <w:sz w:val="24"/>
      <w:szCs w:val="24"/>
    </w:rPr>
  </w:style>
  <w:style w:type="character" w:customStyle="1" w:styleId="65">
    <w:name w:val="正文文本 字符1"/>
    <w:semiHidden/>
    <w:qFormat/>
    <w:uiPriority w:val="0"/>
    <w:rPr>
      <w:rFonts w:ascii="Times New Roman" w:hAnsi="Times New Roman" w:eastAsia="宋体" w:cs="Times New Roman"/>
      <w:sz w:val="24"/>
      <w:szCs w:val="24"/>
    </w:rPr>
  </w:style>
  <w:style w:type="character" w:customStyle="1" w:styleId="66">
    <w:name w:val="表格 Char"/>
    <w:link w:val="67"/>
    <w:qFormat/>
    <w:locked/>
    <w:uiPriority w:val="0"/>
    <w:rPr>
      <w:rFonts w:ascii="宋体"/>
      <w:sz w:val="21"/>
    </w:rPr>
  </w:style>
  <w:style w:type="paragraph" w:customStyle="1" w:styleId="67">
    <w:name w:val="表格"/>
    <w:basedOn w:val="9"/>
    <w:next w:val="1"/>
    <w:link w:val="66"/>
    <w:qFormat/>
    <w:uiPriority w:val="0"/>
    <w:pPr>
      <w:adjustRightInd w:val="0"/>
      <w:snapToGrid w:val="0"/>
      <w:spacing w:beforeLines="10" w:afterLines="10" w:line="259" w:lineRule="auto"/>
      <w:jc w:val="center"/>
    </w:pPr>
    <w:rPr>
      <w:rFonts w:ascii="宋体"/>
      <w:kern w:val="0"/>
      <w:sz w:val="20"/>
      <w:szCs w:val="21"/>
    </w:rPr>
  </w:style>
  <w:style w:type="character" w:customStyle="1" w:styleId="68">
    <w:name w:val="apple-converted-space"/>
    <w:qFormat/>
    <w:uiPriority w:val="0"/>
    <w:rPr>
      <w:rFonts w:hint="default" w:ascii="Times New Roman" w:hAnsi="Times New Roman" w:cs="Times New Roman"/>
    </w:rPr>
  </w:style>
  <w:style w:type="paragraph" w:customStyle="1" w:styleId="69">
    <w:name w:val="样式 标题 1 + 首行缩进:  2 字符"/>
    <w:basedOn w:val="5"/>
    <w:qFormat/>
    <w:uiPriority w:val="0"/>
    <w:pPr>
      <w:spacing w:before="0" w:after="0" w:line="720" w:lineRule="auto"/>
      <w:ind w:firstLine="200" w:firstLineChars="200"/>
      <w:jc w:val="center"/>
    </w:pPr>
    <w:rPr>
      <w:rFonts w:ascii="黑体" w:cs="宋体"/>
      <w:kern w:val="2"/>
      <w:sz w:val="36"/>
      <w:szCs w:val="20"/>
    </w:rPr>
  </w:style>
  <w:style w:type="paragraph" w:customStyle="1" w:styleId="70">
    <w:name w:val="报告表正文"/>
    <w:basedOn w:val="71"/>
    <w:next w:val="1"/>
    <w:qFormat/>
    <w:uiPriority w:val="0"/>
    <w:pPr>
      <w:adjustRightInd w:val="0"/>
      <w:spacing w:line="312" w:lineRule="auto"/>
      <w:ind w:left="113" w:right="113" w:firstLine="482"/>
      <w:jc w:val="left"/>
      <w:textAlignment w:val="baseline"/>
    </w:pPr>
    <w:rPr>
      <w:kern w:val="0"/>
      <w:sz w:val="24"/>
    </w:rPr>
  </w:style>
  <w:style w:type="paragraph" w:customStyle="1" w:styleId="71">
    <w:name w:val="CM4"/>
    <w:basedOn w:val="1"/>
    <w:next w:val="1"/>
    <w:qFormat/>
    <w:uiPriority w:val="0"/>
    <w:pPr>
      <w:keepNext/>
      <w:spacing w:line="520" w:lineRule="exact"/>
      <w:jc w:val="center"/>
    </w:pPr>
    <w:rPr>
      <w:b/>
      <w:kern w:val="0"/>
      <w:szCs w:val="21"/>
    </w:rPr>
  </w:style>
  <w:style w:type="paragraph" w:customStyle="1" w:styleId="72">
    <w:name w:val="表格标题"/>
    <w:basedOn w:val="1"/>
    <w:next w:val="1"/>
    <w:qFormat/>
    <w:uiPriority w:val="0"/>
    <w:pPr>
      <w:tabs>
        <w:tab w:val="left" w:pos="5400"/>
      </w:tabs>
      <w:spacing w:before="156" w:beforeLines="50" w:after="156" w:afterLines="50" w:line="400" w:lineRule="exact"/>
      <w:jc w:val="center"/>
    </w:pPr>
    <w:rPr>
      <w:rFonts w:ascii="黑体" w:hAnsi="宋体" w:eastAsia="黑体"/>
      <w:color w:val="000000"/>
      <w:spacing w:val="4"/>
      <w:sz w:val="24"/>
    </w:rPr>
  </w:style>
  <w:style w:type="paragraph" w:customStyle="1" w:styleId="73">
    <w:name w:val="【表头】"/>
    <w:basedOn w:val="74"/>
    <w:qFormat/>
    <w:uiPriority w:val="0"/>
    <w:pPr>
      <w:spacing w:line="460" w:lineRule="exact"/>
      <w:jc w:val="center"/>
    </w:pPr>
    <w:rPr>
      <w:rFonts w:eastAsia="黑体"/>
      <w:sz w:val="24"/>
    </w:rPr>
  </w:style>
  <w:style w:type="paragraph" w:customStyle="1" w:styleId="74">
    <w:name w:val="0"/>
    <w:basedOn w:val="1"/>
    <w:autoRedefine/>
    <w:qFormat/>
    <w:uiPriority w:val="99"/>
    <w:pPr>
      <w:widowControl/>
      <w:snapToGrid w:val="0"/>
      <w:jc w:val="left"/>
    </w:pPr>
    <w:rPr>
      <w:rFonts w:ascii="宋体"/>
      <w:kern w:val="0"/>
      <w:sz w:val="20"/>
      <w:szCs w:val="20"/>
    </w:rPr>
  </w:style>
  <w:style w:type="paragraph" w:customStyle="1" w:styleId="75">
    <w:name w:val="【正文】"/>
    <w:basedOn w:val="1"/>
    <w:next w:val="29"/>
    <w:qFormat/>
    <w:uiPriority w:val="0"/>
    <w:pPr>
      <w:spacing w:line="440" w:lineRule="exact"/>
      <w:ind w:firstLine="544"/>
    </w:pPr>
    <w:rPr>
      <w:rFonts w:cs="宋体"/>
      <w:szCs w:val="20"/>
    </w:rPr>
  </w:style>
  <w:style w:type="paragraph" w:customStyle="1" w:styleId="76">
    <w:name w:val="正文00"/>
    <w:basedOn w:val="1"/>
    <w:qFormat/>
    <w:uiPriority w:val="0"/>
    <w:pPr>
      <w:widowControl/>
      <w:spacing w:line="425" w:lineRule="atLeast"/>
      <w:ind w:left="107" w:leftChars="51" w:right="124" w:rightChars="59" w:firstLine="480"/>
      <w:textAlignment w:val="baseline"/>
    </w:pPr>
    <w:rPr>
      <w:rFonts w:ascii="Calibri"/>
      <w:sz w:val="28"/>
    </w:rPr>
  </w:style>
  <w:style w:type="paragraph" w:customStyle="1" w:styleId="77">
    <w:name w:val="样式4"/>
    <w:basedOn w:val="2"/>
    <w:qFormat/>
    <w:uiPriority w:val="0"/>
    <w:pPr>
      <w:adjustRightInd w:val="0"/>
      <w:jc w:val="center"/>
    </w:pPr>
    <w:rPr>
      <w:sz w:val="24"/>
    </w:rPr>
  </w:style>
  <w:style w:type="paragraph" w:customStyle="1" w:styleId="78">
    <w:name w:val="Table Paragraph"/>
    <w:basedOn w:val="1"/>
    <w:unhideWhenUsed/>
    <w:qFormat/>
    <w:uiPriority w:val="1"/>
    <w:rPr>
      <w:sz w:val="24"/>
    </w:rPr>
  </w:style>
  <w:style w:type="paragraph" w:customStyle="1" w:styleId="79">
    <w:name w:val="煤炭资源普查报告格式"/>
    <w:basedOn w:val="1"/>
    <w:qFormat/>
    <w:uiPriority w:val="0"/>
    <w:pPr>
      <w:spacing w:line="500" w:lineRule="exact"/>
    </w:pPr>
  </w:style>
  <w:style w:type="paragraph" w:customStyle="1" w:styleId="80">
    <w:name w:val="表头文字"/>
    <w:basedOn w:val="1"/>
    <w:qFormat/>
    <w:uiPriority w:val="0"/>
    <w:pPr>
      <w:adjustRightInd w:val="0"/>
      <w:jc w:val="center"/>
    </w:pPr>
    <w:rPr>
      <w:sz w:val="28"/>
      <w:szCs w:val="20"/>
    </w:rPr>
  </w:style>
  <w:style w:type="paragraph" w:customStyle="1" w:styleId="81">
    <w:name w:val="标题4"/>
    <w:basedOn w:val="76"/>
    <w:qFormat/>
    <w:uiPriority w:val="0"/>
    <w:pPr>
      <w:ind w:left="51" w:right="59" w:firstLine="100" w:firstLineChars="100"/>
    </w:pPr>
    <w:rPr>
      <w:b/>
    </w:rPr>
  </w:style>
  <w:style w:type="paragraph" w:customStyle="1" w:styleId="82">
    <w:name w:val="正文----------------"/>
    <w:basedOn w:val="1"/>
    <w:qFormat/>
    <w:uiPriority w:val="0"/>
    <w:pPr>
      <w:spacing w:line="440" w:lineRule="exact"/>
      <w:ind w:firstLine="544" w:firstLineChars="200"/>
    </w:pPr>
    <w:rPr>
      <w:rFonts w:ascii="Calibri" w:cs="宋体"/>
      <w:spacing w:val="16"/>
      <w:szCs w:val="20"/>
    </w:rPr>
  </w:style>
  <w:style w:type="paragraph" w:customStyle="1" w:styleId="83">
    <w:name w:val="表文"/>
    <w:basedOn w:val="1"/>
    <w:qFormat/>
    <w:uiPriority w:val="0"/>
    <w:pPr>
      <w:tabs>
        <w:tab w:val="left" w:pos="6480"/>
      </w:tabs>
      <w:spacing w:line="360" w:lineRule="exact"/>
    </w:pPr>
    <w:rPr>
      <w:rFonts w:ascii="宋体" w:hAnsi="宋体"/>
      <w:sz w:val="24"/>
    </w:rPr>
  </w:style>
  <w:style w:type="paragraph" w:customStyle="1" w:styleId="84">
    <w:name w:val="表格文字"/>
    <w:basedOn w:val="1"/>
    <w:link w:val="152"/>
    <w:qFormat/>
    <w:uiPriority w:val="0"/>
    <w:pPr>
      <w:jc w:val="center"/>
    </w:pPr>
    <w:rPr>
      <w:rFonts w:ascii="new times roma" w:hAnsi="new times roma"/>
    </w:rPr>
  </w:style>
  <w:style w:type="paragraph" w:styleId="85">
    <w:name w:val="No Spacing"/>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86">
    <w:name w:val="表格内容"/>
    <w:basedOn w:val="87"/>
    <w:next w:val="1"/>
    <w:qFormat/>
    <w:uiPriority w:val="0"/>
    <w:pPr>
      <w:spacing w:line="240" w:lineRule="exact"/>
    </w:pPr>
    <w:rPr>
      <w:snapToGrid w:val="0"/>
      <w:color w:val="FF0000"/>
      <w:kern w:val="0"/>
      <w:sz w:val="21"/>
      <w:szCs w:val="21"/>
    </w:rPr>
  </w:style>
  <w:style w:type="paragraph" w:customStyle="1" w:styleId="87">
    <w:name w:val="封皮-证书编号"/>
    <w:basedOn w:val="1"/>
    <w:qFormat/>
    <w:uiPriority w:val="0"/>
    <w:pPr>
      <w:jc w:val="center"/>
    </w:pPr>
    <w:rPr>
      <w:rFonts w:eastAsia="黑体"/>
      <w:sz w:val="28"/>
    </w:rPr>
  </w:style>
  <w:style w:type="paragraph" w:customStyle="1" w:styleId="88">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89">
    <w:name w:val="表头-------------"/>
    <w:basedOn w:val="1"/>
    <w:qFormat/>
    <w:uiPriority w:val="0"/>
    <w:pPr>
      <w:spacing w:line="460" w:lineRule="exact"/>
      <w:jc w:val="center"/>
    </w:pPr>
    <w:rPr>
      <w:rFonts w:ascii="Calibri" w:eastAsia="黑体" w:cs="宋体"/>
      <w:szCs w:val="20"/>
    </w:rPr>
  </w:style>
  <w:style w:type="paragraph" w:customStyle="1" w:styleId="90">
    <w:name w:val="正文01"/>
    <w:basedOn w:val="1"/>
    <w:qFormat/>
    <w:uiPriority w:val="0"/>
    <w:pPr>
      <w:spacing w:before="60" w:line="460" w:lineRule="exact"/>
      <w:ind w:firstLine="200" w:firstLineChars="200"/>
    </w:pPr>
    <w:rPr>
      <w:snapToGrid w:val="0"/>
      <w:kern w:val="0"/>
      <w:sz w:val="24"/>
    </w:rPr>
  </w:style>
  <w:style w:type="paragraph" w:customStyle="1" w:styleId="91">
    <w:name w:val="样式 正文文字-1 + 首行缩进:  2.1 字符1"/>
    <w:basedOn w:val="92"/>
    <w:qFormat/>
    <w:uiPriority w:val="0"/>
    <w:pPr>
      <w:spacing w:line="440" w:lineRule="exact"/>
      <w:ind w:firstLine="210"/>
    </w:pPr>
    <w:rPr>
      <w:rFonts w:cs="宋体"/>
      <w:szCs w:val="20"/>
    </w:rPr>
  </w:style>
  <w:style w:type="paragraph" w:customStyle="1" w:styleId="92">
    <w:name w:val="正文文字-1 Char"/>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paragraph" w:customStyle="1" w:styleId="93">
    <w:name w:val="表格正文"/>
    <w:basedOn w:val="1"/>
    <w:qFormat/>
    <w:uiPriority w:val="0"/>
    <w:pPr>
      <w:spacing w:line="360" w:lineRule="exact"/>
      <w:ind w:firstLine="640" w:firstLineChars="200"/>
      <w:jc w:val="center"/>
    </w:pPr>
    <w:rPr>
      <w:sz w:val="28"/>
      <w:szCs w:val="28"/>
    </w:rPr>
  </w:style>
  <w:style w:type="paragraph" w:customStyle="1" w:styleId="94">
    <w:name w:val="Table caption|1"/>
    <w:basedOn w:val="1"/>
    <w:qFormat/>
    <w:uiPriority w:val="0"/>
    <w:rPr>
      <w:rFonts w:ascii="宋体" w:hAnsi="宋体" w:cs="宋体"/>
      <w:sz w:val="13"/>
      <w:szCs w:val="13"/>
      <w:lang w:val="zh-TW" w:eastAsia="zh-TW" w:bidi="zh-TW"/>
    </w:rPr>
  </w:style>
  <w:style w:type="paragraph" w:customStyle="1" w:styleId="95">
    <w:name w:val="报告书正文"/>
    <w:basedOn w:val="1"/>
    <w:qFormat/>
    <w:uiPriority w:val="0"/>
    <w:pPr>
      <w:adjustRightInd w:val="0"/>
      <w:snapToGrid w:val="0"/>
      <w:spacing w:line="360" w:lineRule="auto"/>
      <w:ind w:firstLine="425"/>
      <w:textAlignment w:val="baseline"/>
    </w:pPr>
    <w:rPr>
      <w:rFonts w:ascii="Arial" w:hAnsi="Arial"/>
      <w:kern w:val="0"/>
      <w:sz w:val="24"/>
    </w:rPr>
  </w:style>
  <w:style w:type="paragraph" w:customStyle="1" w:styleId="96">
    <w:name w:val="正文样式1"/>
    <w:basedOn w:val="1"/>
    <w:qFormat/>
    <w:uiPriority w:val="0"/>
    <w:pPr>
      <w:adjustRightInd w:val="0"/>
      <w:spacing w:line="288" w:lineRule="auto"/>
      <w:ind w:firstLine="360" w:firstLineChars="150"/>
      <w:textAlignment w:val="baseline"/>
    </w:pPr>
    <w:rPr>
      <w:kern w:val="0"/>
      <w:sz w:val="24"/>
      <w:szCs w:val="20"/>
    </w:rPr>
  </w:style>
  <w:style w:type="paragraph" w:customStyle="1" w:styleId="97">
    <w:name w:val="正文_14"/>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98">
    <w:name w:val="正文_15"/>
    <w:qFormat/>
    <w:uiPriority w:val="0"/>
    <w:pPr>
      <w:widowControl w:val="0"/>
      <w:jc w:val="both"/>
    </w:pPr>
    <w:rPr>
      <w:rFonts w:ascii="Times New Roman" w:hAnsi="Times New Roman" w:eastAsia="宋体" w:cs="Times New Roman"/>
      <w:kern w:val="2"/>
      <w:sz w:val="21"/>
      <w:lang w:val="en-US" w:eastAsia="zh-CN" w:bidi="ar-SA"/>
    </w:rPr>
  </w:style>
  <w:style w:type="paragraph" w:styleId="99">
    <w:name w:val="List Paragraph"/>
    <w:basedOn w:val="1"/>
    <w:qFormat/>
    <w:uiPriority w:val="34"/>
    <w:pPr>
      <w:ind w:firstLine="420" w:firstLineChars="200"/>
    </w:pPr>
    <w:rPr>
      <w:szCs w:val="22"/>
    </w:rPr>
  </w:style>
  <w:style w:type="paragraph" w:customStyle="1" w:styleId="100">
    <w:name w:val="表中字"/>
    <w:qFormat/>
    <w:uiPriority w:val="0"/>
    <w:pPr>
      <w:jc w:val="center"/>
    </w:pPr>
    <w:rPr>
      <w:rFonts w:ascii="Times New Roman" w:hAnsi="Times New Roman" w:eastAsia="宋体" w:cs="Times New Roman"/>
      <w:kern w:val="2"/>
      <w:sz w:val="21"/>
      <w:szCs w:val="22"/>
      <w:lang w:val="zh-CN" w:eastAsia="zh-CN" w:bidi="ar-SA"/>
    </w:rPr>
  </w:style>
  <w:style w:type="paragraph" w:customStyle="1" w:styleId="101">
    <w:name w:val="样式 Times New Roman 五号 居中1"/>
    <w:basedOn w:val="1"/>
    <w:qFormat/>
    <w:uiPriority w:val="0"/>
    <w:pPr>
      <w:jc w:val="center"/>
    </w:pPr>
    <w:rPr>
      <w:rFonts w:cs="宋体"/>
      <w:szCs w:val="20"/>
    </w:rPr>
  </w:style>
  <w:style w:type="paragraph" w:customStyle="1" w:styleId="102">
    <w:name w:val="_Style 3"/>
    <w:basedOn w:val="1"/>
    <w:qFormat/>
    <w:uiPriority w:val="34"/>
    <w:pPr>
      <w:ind w:firstLine="420" w:firstLineChars="200"/>
    </w:pPr>
    <w:rPr>
      <w:rFonts w:ascii="Calibri" w:hAnsi="Calibri"/>
      <w:szCs w:val="22"/>
    </w:rPr>
  </w:style>
  <w:style w:type="paragraph" w:customStyle="1" w:styleId="103">
    <w:name w:val="表1"/>
    <w:next w:val="1"/>
    <w:qFormat/>
    <w:uiPriority w:val="0"/>
    <w:pPr>
      <w:adjustRightInd w:val="0"/>
      <w:snapToGrid w:val="0"/>
      <w:jc w:val="center"/>
    </w:pPr>
    <w:rPr>
      <w:rFonts w:ascii="宋体" w:hAnsi="Times New Roman" w:eastAsia="宋体" w:cs="Times New Roman"/>
      <w:sz w:val="21"/>
      <w:lang w:val="en-US" w:eastAsia="zh-CN" w:bidi="ar-SA"/>
    </w:rPr>
  </w:style>
  <w:style w:type="paragraph" w:customStyle="1" w:styleId="104">
    <w:name w:val="Body text|4"/>
    <w:basedOn w:val="1"/>
    <w:qFormat/>
    <w:uiPriority w:val="0"/>
    <w:pPr>
      <w:spacing w:line="434" w:lineRule="auto"/>
      <w:ind w:firstLine="500"/>
    </w:pPr>
    <w:rPr>
      <w:color w:val="FF0000"/>
    </w:rPr>
  </w:style>
  <w:style w:type="paragraph" w:customStyle="1" w:styleId="105">
    <w:name w:val="Body text|1"/>
    <w:basedOn w:val="1"/>
    <w:qFormat/>
    <w:uiPriority w:val="0"/>
    <w:pPr>
      <w:spacing w:line="480" w:lineRule="auto"/>
      <w:ind w:firstLine="400"/>
    </w:pPr>
    <w:rPr>
      <w:rFonts w:ascii="宋体" w:hAnsi="宋体" w:cs="宋体"/>
      <w:sz w:val="22"/>
      <w:szCs w:val="22"/>
      <w:lang w:val="zh-TW" w:eastAsia="zh-TW" w:bidi="zh-TW"/>
    </w:rPr>
  </w:style>
  <w:style w:type="paragraph" w:customStyle="1" w:styleId="106">
    <w:name w:val="Other|1"/>
    <w:basedOn w:val="1"/>
    <w:qFormat/>
    <w:uiPriority w:val="0"/>
    <w:pPr>
      <w:jc w:val="center"/>
    </w:pPr>
    <w:rPr>
      <w:rFonts w:ascii="宋体" w:hAnsi="宋体" w:cs="宋体"/>
      <w:sz w:val="20"/>
      <w:szCs w:val="20"/>
      <w:lang w:val="zh-TW" w:eastAsia="zh-TW" w:bidi="zh-TW"/>
    </w:rPr>
  </w:style>
  <w:style w:type="paragraph" w:customStyle="1" w:styleId="107">
    <w:name w:val="首行缩进表格正文"/>
    <w:basedOn w:val="1"/>
    <w:qFormat/>
    <w:uiPriority w:val="0"/>
    <w:pPr>
      <w:spacing w:line="360" w:lineRule="auto"/>
      <w:ind w:firstLine="720" w:firstLineChars="200"/>
      <w:jc w:val="left"/>
    </w:pPr>
  </w:style>
  <w:style w:type="paragraph" w:customStyle="1" w:styleId="108">
    <w:name w:val="C首行缩进正文"/>
    <w:basedOn w:val="75"/>
    <w:qFormat/>
    <w:uiPriority w:val="0"/>
    <w:pPr>
      <w:spacing w:line="360" w:lineRule="auto"/>
      <w:ind w:firstLine="200"/>
    </w:pPr>
    <w:rPr>
      <w:color w:val="000000"/>
    </w:rPr>
  </w:style>
  <w:style w:type="paragraph" w:customStyle="1" w:styleId="109">
    <w:name w:val="C【表中文字】-"/>
    <w:basedOn w:val="1"/>
    <w:qFormat/>
    <w:uiPriority w:val="0"/>
    <w:pPr>
      <w:adjustRightInd w:val="0"/>
      <w:snapToGrid w:val="0"/>
      <w:jc w:val="center"/>
    </w:pPr>
    <w:rPr>
      <w:kern w:val="0"/>
      <w:szCs w:val="20"/>
    </w:rPr>
  </w:style>
  <w:style w:type="paragraph" w:customStyle="1" w:styleId="110">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111">
    <w:name w:val="11111"/>
    <w:basedOn w:val="1"/>
    <w:next w:val="1"/>
    <w:qFormat/>
    <w:uiPriority w:val="0"/>
    <w:pPr>
      <w:spacing w:line="360" w:lineRule="auto"/>
      <w:ind w:firstLine="200" w:firstLineChars="200"/>
    </w:pPr>
    <w:rPr>
      <w:rFonts w:hAnsi="宋体" w:cs="宋体"/>
    </w:rPr>
  </w:style>
  <w:style w:type="character" w:customStyle="1" w:styleId="112">
    <w:name w:val="chakan"/>
    <w:basedOn w:val="38"/>
    <w:qFormat/>
    <w:uiPriority w:val="0"/>
    <w:rPr>
      <w:color w:val="0064EA"/>
    </w:rPr>
  </w:style>
  <w:style w:type="character" w:customStyle="1" w:styleId="113">
    <w:name w:val="checkbox2"/>
    <w:basedOn w:val="38"/>
    <w:qFormat/>
    <w:uiPriority w:val="0"/>
  </w:style>
  <w:style w:type="character" w:customStyle="1" w:styleId="114">
    <w:name w:val="shenbao"/>
    <w:basedOn w:val="38"/>
    <w:qFormat/>
    <w:uiPriority w:val="0"/>
    <w:rPr>
      <w:color w:val="EF6334"/>
    </w:rPr>
  </w:style>
  <w:style w:type="character" w:customStyle="1" w:styleId="115">
    <w:name w:val="checkbox"/>
    <w:basedOn w:val="38"/>
    <w:qFormat/>
    <w:uiPriority w:val="0"/>
  </w:style>
  <w:style w:type="paragraph" w:customStyle="1" w:styleId="116">
    <w:name w:val="表中"/>
    <w:basedOn w:val="1"/>
    <w:qFormat/>
    <w:uiPriority w:val="0"/>
    <w:pPr>
      <w:spacing w:line="240" w:lineRule="exact"/>
    </w:pPr>
    <w:rPr>
      <w:szCs w:val="21"/>
    </w:rPr>
  </w:style>
  <w:style w:type="paragraph" w:customStyle="1" w:styleId="117">
    <w:name w:val="TOC2"/>
    <w:basedOn w:val="1"/>
    <w:next w:val="1"/>
    <w:qFormat/>
    <w:uiPriority w:val="0"/>
    <w:pPr>
      <w:widowControl/>
      <w:spacing w:after="100" w:line="276" w:lineRule="auto"/>
      <w:ind w:left="220"/>
      <w:jc w:val="left"/>
      <w:textAlignment w:val="baseline"/>
    </w:pPr>
    <w:rPr>
      <w:rFonts w:ascii="Calibri" w:hAnsi="Calibri"/>
      <w:kern w:val="0"/>
      <w:sz w:val="22"/>
      <w:szCs w:val="22"/>
    </w:rPr>
  </w:style>
  <w:style w:type="paragraph" w:customStyle="1" w:styleId="118">
    <w:name w:val="中文报告书样式"/>
    <w:basedOn w:val="1"/>
    <w:qFormat/>
    <w:uiPriority w:val="0"/>
    <w:pPr>
      <w:adjustRightInd w:val="0"/>
      <w:spacing w:line="480" w:lineRule="atLeast"/>
      <w:ind w:firstLine="482"/>
      <w:textAlignment w:val="baseline"/>
    </w:pPr>
    <w:rPr>
      <w:kern w:val="24"/>
      <w:szCs w:val="20"/>
    </w:rPr>
  </w:style>
  <w:style w:type="paragraph" w:customStyle="1" w:styleId="119">
    <w:name w:val="UserStyle_0"/>
    <w:basedOn w:val="120"/>
    <w:next w:val="121"/>
    <w:qFormat/>
    <w:uiPriority w:val="0"/>
    <w:pPr>
      <w:spacing w:line="360" w:lineRule="auto"/>
      <w:ind w:firstLine="480" w:firstLineChars="200"/>
    </w:pPr>
    <w:rPr>
      <w:rFonts w:ascii="Calibri" w:hAnsi="Calibri"/>
      <w:sz w:val="24"/>
      <w:szCs w:val="22"/>
    </w:rPr>
  </w:style>
  <w:style w:type="paragraph" w:customStyle="1" w:styleId="120">
    <w:name w:val="UserStyle_1"/>
    <w:basedOn w:val="1"/>
    <w:next w:val="1"/>
    <w:qFormat/>
    <w:uiPriority w:val="0"/>
    <w:pPr>
      <w:spacing w:after="120"/>
      <w:textAlignment w:val="baseline"/>
    </w:pPr>
  </w:style>
  <w:style w:type="paragraph" w:customStyle="1" w:styleId="121">
    <w:name w:val="TOC1"/>
    <w:basedOn w:val="1"/>
    <w:next w:val="1"/>
    <w:qFormat/>
    <w:uiPriority w:val="0"/>
    <w:pPr>
      <w:spacing w:line="360" w:lineRule="auto"/>
      <w:textAlignment w:val="baseline"/>
    </w:pPr>
    <w:rPr>
      <w:rFonts w:ascii="Calibri" w:hAnsi="Calibri"/>
      <w:b/>
      <w:sz w:val="24"/>
      <w:szCs w:val="22"/>
    </w:rPr>
  </w:style>
  <w:style w:type="character" w:customStyle="1" w:styleId="122">
    <w:name w:val="NormalCharacter"/>
    <w:qFormat/>
    <w:uiPriority w:val="0"/>
    <w:rPr>
      <w:kern w:val="2"/>
      <w:sz w:val="21"/>
      <w:szCs w:val="24"/>
      <w:lang w:val="en-US" w:eastAsia="zh-CN" w:bidi="ar-SA"/>
    </w:rPr>
  </w:style>
  <w:style w:type="paragraph" w:customStyle="1" w:styleId="123">
    <w:name w:val="表头1"/>
    <w:basedOn w:val="124"/>
    <w:next w:val="1"/>
    <w:qFormat/>
    <w:uiPriority w:val="0"/>
    <w:pPr>
      <w:spacing w:before="120" w:beforeLines="50"/>
    </w:pPr>
  </w:style>
  <w:style w:type="paragraph" w:customStyle="1" w:styleId="124">
    <w:name w:val="文华表标题"/>
    <w:basedOn w:val="125"/>
    <w:qFormat/>
    <w:uiPriority w:val="0"/>
    <w:pPr>
      <w:spacing w:line="240" w:lineRule="auto"/>
      <w:ind w:firstLine="0"/>
      <w:jc w:val="center"/>
    </w:pPr>
    <w:rPr>
      <w:rFonts w:eastAsia="黑体"/>
    </w:rPr>
  </w:style>
  <w:style w:type="paragraph" w:customStyle="1" w:styleId="125">
    <w:name w:val="文华表正文"/>
    <w:basedOn w:val="70"/>
    <w:qFormat/>
    <w:uiPriority w:val="0"/>
  </w:style>
  <w:style w:type="paragraph" w:customStyle="1" w:styleId="126">
    <w:name w:val="xl25"/>
    <w:basedOn w:val="1"/>
    <w:qFormat/>
    <w:uiPriority w:val="0"/>
    <w:pPr>
      <w:widowControl/>
      <w:pBdr>
        <w:bottom w:val="single" w:color="auto" w:sz="4" w:space="0"/>
        <w:right w:val="single" w:color="auto" w:sz="4" w:space="0"/>
      </w:pBdr>
      <w:spacing w:before="100" w:beforeAutospacing="1" w:after="100" w:afterAutospacing="1"/>
    </w:pPr>
    <w:rPr>
      <w:kern w:val="0"/>
      <w:szCs w:val="21"/>
    </w:rPr>
  </w:style>
  <w:style w:type="paragraph" w:customStyle="1" w:styleId="127">
    <w:name w:val="xl36"/>
    <w:basedOn w:val="1"/>
    <w:qFormat/>
    <w:uiPriority w:val="0"/>
    <w:pPr>
      <w:widowControl/>
      <w:pBdr>
        <w:left w:val="single" w:color="auto" w:sz="4" w:space="0"/>
        <w:right w:val="single" w:color="auto" w:sz="4" w:space="0"/>
      </w:pBdr>
      <w:spacing w:before="100" w:beforeAutospacing="1" w:after="100" w:afterAutospacing="1"/>
      <w:jc w:val="center"/>
      <w:textAlignment w:val="top"/>
    </w:pPr>
    <w:rPr>
      <w:kern w:val="0"/>
      <w:sz w:val="24"/>
    </w:rPr>
  </w:style>
  <w:style w:type="paragraph" w:customStyle="1" w:styleId="128">
    <w:name w:val="文华表1级标题1"/>
    <w:basedOn w:val="5"/>
    <w:next w:val="129"/>
    <w:qFormat/>
    <w:uiPriority w:val="0"/>
    <w:pPr>
      <w:keepNext w:val="0"/>
    </w:pPr>
    <w:rPr>
      <w:kern w:val="4"/>
      <w:sz w:val="28"/>
    </w:rPr>
  </w:style>
  <w:style w:type="paragraph" w:customStyle="1" w:styleId="129">
    <w:name w:val="文本正文"/>
    <w:basedOn w:val="1"/>
    <w:qFormat/>
    <w:uiPriority w:val="0"/>
    <w:pPr>
      <w:spacing w:line="360" w:lineRule="auto"/>
      <w:ind w:firstLine="480" w:firstLineChars="200"/>
    </w:pPr>
    <w:rPr>
      <w:rFonts w:ascii="Calibri" w:hAnsi="Calibri"/>
      <w:sz w:val="24"/>
    </w:rPr>
  </w:style>
  <w:style w:type="paragraph" w:customStyle="1" w:styleId="130">
    <w:name w:val="zxzx书正文"/>
    <w:basedOn w:val="1"/>
    <w:qFormat/>
    <w:uiPriority w:val="0"/>
    <w:pPr>
      <w:widowControl/>
      <w:spacing w:line="440" w:lineRule="exact"/>
      <w:ind w:firstLine="880" w:firstLineChars="200"/>
      <w:jc w:val="left"/>
    </w:pPr>
    <w:rPr>
      <w:sz w:val="24"/>
    </w:rPr>
  </w:style>
  <w:style w:type="paragraph" w:customStyle="1" w:styleId="131">
    <w:name w:val="正文--环评"/>
    <w:basedOn w:val="1"/>
    <w:qFormat/>
    <w:uiPriority w:val="0"/>
    <w:pPr>
      <w:spacing w:line="360" w:lineRule="auto"/>
      <w:ind w:firstLine="480" w:firstLineChars="200"/>
    </w:pPr>
    <w:rPr>
      <w:rFonts w:cs="宋体"/>
      <w:color w:val="000000"/>
      <w:spacing w:val="0"/>
      <w:sz w:val="24"/>
    </w:rPr>
  </w:style>
  <w:style w:type="paragraph" w:customStyle="1" w:styleId="132">
    <w:name w:val="表中文字（工大）"/>
    <w:basedOn w:val="1"/>
    <w:qFormat/>
    <w:uiPriority w:val="0"/>
    <w:pPr>
      <w:spacing w:line="440" w:lineRule="exact"/>
      <w:jc w:val="center"/>
    </w:pPr>
    <w:rPr>
      <w:sz w:val="21"/>
      <w:szCs w:val="20"/>
    </w:rPr>
  </w:style>
  <w:style w:type="character" w:customStyle="1" w:styleId="133">
    <w:name w:val="font11"/>
    <w:basedOn w:val="38"/>
    <w:qFormat/>
    <w:uiPriority w:val="0"/>
    <w:rPr>
      <w:rFonts w:hint="default" w:ascii="Times New Roman" w:hAnsi="Times New Roman" w:cs="Times New Roman"/>
      <w:color w:val="000000"/>
      <w:sz w:val="18"/>
      <w:szCs w:val="18"/>
      <w:u w:val="none"/>
    </w:rPr>
  </w:style>
  <w:style w:type="character" w:customStyle="1" w:styleId="134">
    <w:name w:val="font21"/>
    <w:basedOn w:val="38"/>
    <w:qFormat/>
    <w:uiPriority w:val="0"/>
    <w:rPr>
      <w:rFonts w:hint="eastAsia" w:ascii="宋体" w:hAnsi="宋体" w:eastAsia="宋体" w:cs="宋体"/>
      <w:color w:val="000000"/>
      <w:sz w:val="18"/>
      <w:szCs w:val="18"/>
      <w:u w:val="none"/>
    </w:rPr>
  </w:style>
  <w:style w:type="paragraph" w:customStyle="1" w:styleId="135">
    <w:name w:val="文本框样式"/>
    <w:basedOn w:val="1"/>
    <w:qFormat/>
    <w:uiPriority w:val="0"/>
    <w:pPr>
      <w:spacing w:line="240" w:lineRule="auto"/>
      <w:ind w:firstLine="0" w:firstLineChars="0"/>
      <w:jc w:val="center"/>
    </w:pPr>
    <w:rPr>
      <w:sz w:val="21"/>
    </w:rPr>
  </w:style>
  <w:style w:type="paragraph" w:customStyle="1" w:styleId="136">
    <w:name w:val="表"/>
    <w:qFormat/>
    <w:uiPriority w:val="0"/>
    <w:pPr>
      <w:spacing w:line="440" w:lineRule="exact"/>
      <w:ind w:firstLine="200" w:firstLineChars="200"/>
      <w:jc w:val="both"/>
    </w:pPr>
    <w:rPr>
      <w:rFonts w:ascii="Calibri" w:hAnsi="Calibri" w:eastAsia="宋体" w:cs="Times New Roman"/>
      <w:sz w:val="24"/>
      <w:lang w:val="en-US" w:eastAsia="zh-CN" w:bidi="ar-SA"/>
    </w:rPr>
  </w:style>
  <w:style w:type="paragraph" w:customStyle="1" w:styleId="137">
    <w:name w:val="cucd-0"/>
    <w:qFormat/>
    <w:uiPriority w:val="0"/>
    <w:pPr>
      <w:numPr>
        <w:ilvl w:val="0"/>
        <w:numId w:val="2"/>
      </w:numPr>
      <w:tabs>
        <w:tab w:val="left" w:pos="3485"/>
      </w:tabs>
      <w:spacing w:line="360" w:lineRule="auto"/>
    </w:pPr>
    <w:rPr>
      <w:rFonts w:ascii="Times New Roman" w:hAnsi="Times New Roman" w:eastAsia="宋体" w:cs="Times New Roman"/>
      <w:kern w:val="2"/>
      <w:sz w:val="24"/>
      <w:szCs w:val="24"/>
      <w:lang w:val="en-US" w:eastAsia="zh-CN" w:bidi="ar-SA"/>
    </w:rPr>
  </w:style>
  <w:style w:type="paragraph" w:customStyle="1" w:styleId="138">
    <w:name w:val="段落正文"/>
    <w:basedOn w:val="1"/>
    <w:qFormat/>
    <w:uiPriority w:val="0"/>
    <w:pPr>
      <w:widowControl w:val="0"/>
      <w:spacing w:line="500" w:lineRule="atLeast"/>
    </w:pPr>
    <w:rPr>
      <w:rFonts w:eastAsia="仿宋_GB2312"/>
      <w:szCs w:val="28"/>
    </w:rPr>
  </w:style>
  <w:style w:type="character" w:customStyle="1" w:styleId="139">
    <w:name w:val="标题 1 Char1"/>
    <w:link w:val="5"/>
    <w:qFormat/>
    <w:uiPriority w:val="0"/>
    <w:rPr>
      <w:rFonts w:eastAsia="黑体"/>
      <w:b/>
      <w:bCs/>
      <w:color w:val="000000"/>
      <w:kern w:val="44"/>
      <w:sz w:val="30"/>
      <w:szCs w:val="30"/>
    </w:rPr>
  </w:style>
  <w:style w:type="character" w:customStyle="1" w:styleId="140">
    <w:name w:val="标题 2 Char"/>
    <w:link w:val="6"/>
    <w:qFormat/>
    <w:uiPriority w:val="0"/>
    <w:rPr>
      <w:rFonts w:ascii="Arial" w:hAnsi="Arial" w:eastAsia="黑体"/>
      <w:b/>
      <w:bCs/>
      <w:sz w:val="32"/>
      <w:szCs w:val="32"/>
    </w:rPr>
  </w:style>
  <w:style w:type="paragraph" w:customStyle="1" w:styleId="141">
    <w:name w:val="表体"/>
    <w:basedOn w:val="1"/>
    <w:qFormat/>
    <w:uiPriority w:val="0"/>
    <w:pPr>
      <w:spacing w:line="240" w:lineRule="auto"/>
    </w:pPr>
    <w:rPr>
      <w:sz w:val="21"/>
      <w:szCs w:val="21"/>
    </w:rPr>
  </w:style>
  <w:style w:type="paragraph" w:customStyle="1" w:styleId="142">
    <w:name w:val="Char Char Char Char Char Char Char2"/>
    <w:basedOn w:val="1"/>
    <w:qFormat/>
    <w:uiPriority w:val="0"/>
    <w:pPr>
      <w:snapToGrid w:val="0"/>
      <w:spacing w:line="360" w:lineRule="auto"/>
      <w:ind w:firstLine="529" w:firstLineChars="200"/>
    </w:pPr>
  </w:style>
  <w:style w:type="paragraph" w:customStyle="1" w:styleId="143">
    <w:name w:val="表格题目"/>
    <w:basedOn w:val="1"/>
    <w:qFormat/>
    <w:uiPriority w:val="0"/>
    <w:pPr>
      <w:spacing w:line="240" w:lineRule="atLeast"/>
      <w:jc w:val="center"/>
    </w:pPr>
    <w:rPr>
      <w:rFonts w:ascii="黑体" w:hAnsi="宋体" w:eastAsia="黑体"/>
      <w:sz w:val="24"/>
    </w:rPr>
  </w:style>
  <w:style w:type="table" w:customStyle="1" w:styleId="144">
    <w:name w:val="Table Normal"/>
    <w:semiHidden/>
    <w:unhideWhenUsed/>
    <w:qFormat/>
    <w:uiPriority w:val="0"/>
    <w:tblPr>
      <w:tblCellMar>
        <w:top w:w="0" w:type="dxa"/>
        <w:left w:w="0" w:type="dxa"/>
        <w:bottom w:w="0" w:type="dxa"/>
        <w:right w:w="0" w:type="dxa"/>
      </w:tblCellMar>
    </w:tblPr>
  </w:style>
  <w:style w:type="character" w:customStyle="1" w:styleId="145">
    <w:name w:val="正文（首行缩进两字） Char"/>
    <w:qFormat/>
    <w:uiPriority w:val="0"/>
    <w:rPr>
      <w:rFonts w:eastAsia="宋体"/>
      <w:kern w:val="2"/>
      <w:sz w:val="24"/>
      <w:lang w:val="en-US" w:eastAsia="zh-CN"/>
    </w:rPr>
  </w:style>
  <w:style w:type="paragraph" w:customStyle="1" w:styleId="146">
    <w:name w:val="表中文字"/>
    <w:basedOn w:val="1"/>
    <w:qFormat/>
    <w:uiPriority w:val="0"/>
    <w:pPr>
      <w:jc w:val="center"/>
    </w:pPr>
    <w:rPr>
      <w:szCs w:val="20"/>
    </w:rPr>
  </w:style>
  <w:style w:type="paragraph" w:customStyle="1" w:styleId="147">
    <w:name w:val="正文格式"/>
    <w:basedOn w:val="1"/>
    <w:next w:val="1"/>
    <w:qFormat/>
    <w:uiPriority w:val="0"/>
    <w:pPr>
      <w:spacing w:line="360" w:lineRule="auto"/>
      <w:ind w:firstLine="482"/>
    </w:pPr>
  </w:style>
  <w:style w:type="paragraph" w:customStyle="1" w:styleId="148">
    <w:name w:val="Table Text"/>
    <w:basedOn w:val="1"/>
    <w:semiHidden/>
    <w:qFormat/>
    <w:uiPriority w:val="0"/>
    <w:rPr>
      <w:rFonts w:ascii="宋体" w:hAnsi="宋体" w:eastAsia="宋体" w:cs="宋体"/>
      <w:sz w:val="24"/>
      <w:szCs w:val="24"/>
      <w:lang w:val="en-US" w:eastAsia="en-US" w:bidi="ar-SA"/>
    </w:rPr>
  </w:style>
  <w:style w:type="paragraph" w:customStyle="1" w:styleId="149">
    <w:name w:val="【表中文字】"/>
    <w:basedOn w:val="150"/>
    <w:qFormat/>
    <w:uiPriority w:val="0"/>
    <w:pPr>
      <w:jc w:val="center"/>
    </w:pPr>
    <w:rPr>
      <w:kern w:val="0"/>
      <w:szCs w:val="20"/>
    </w:rPr>
  </w:style>
  <w:style w:type="paragraph" w:customStyle="1" w:styleId="150">
    <w:name w:val=".表1-1-1内容"/>
    <w:basedOn w:val="1"/>
    <w:qFormat/>
    <w:uiPriority w:val="0"/>
    <w:pPr>
      <w:spacing w:line="300" w:lineRule="exact"/>
      <w:jc w:val="center"/>
    </w:pPr>
    <w:rPr>
      <w:kern w:val="0"/>
      <w:szCs w:val="21"/>
    </w:rPr>
  </w:style>
  <w:style w:type="paragraph" w:customStyle="1" w:styleId="151">
    <w:name w:val="a正文"/>
    <w:basedOn w:val="147"/>
    <w:link w:val="175"/>
    <w:qFormat/>
    <w:uiPriority w:val="0"/>
    <w:pPr>
      <w:spacing w:line="520" w:lineRule="exact"/>
      <w:ind w:firstLine="200" w:firstLineChars="200"/>
    </w:pPr>
    <w:rPr>
      <w:kern w:val="0"/>
      <w:szCs w:val="21"/>
    </w:rPr>
  </w:style>
  <w:style w:type="character" w:customStyle="1" w:styleId="152">
    <w:name w:val="表格文字 Char"/>
    <w:link w:val="84"/>
    <w:qFormat/>
    <w:uiPriority w:val="0"/>
    <w:rPr>
      <w:rFonts w:ascii="new times roma" w:hAnsi="new times roma"/>
    </w:rPr>
  </w:style>
  <w:style w:type="paragraph" w:customStyle="1" w:styleId="153">
    <w:name w:val="表表头"/>
    <w:basedOn w:val="1"/>
    <w:qFormat/>
    <w:uiPriority w:val="0"/>
    <w:pPr>
      <w:jc w:val="center"/>
    </w:pPr>
    <w:rPr>
      <w:rFonts w:ascii="Calibri" w:hAnsi="Calibri" w:eastAsia="黑体"/>
    </w:rPr>
  </w:style>
  <w:style w:type="character" w:customStyle="1" w:styleId="154">
    <w:name w:val="【正文】 Char1"/>
    <w:qFormat/>
    <w:locked/>
    <w:uiPriority w:val="0"/>
    <w:rPr>
      <w:rFonts w:ascii="Times New Roman" w:hAnsi="Times New Roman" w:eastAsia="宋体" w:cs="Times New Roman"/>
      <w:sz w:val="24"/>
      <w:szCs w:val="24"/>
    </w:rPr>
  </w:style>
  <w:style w:type="paragraph" w:customStyle="1" w:styleId="155">
    <w:name w:val="正文首行缩进1"/>
    <w:basedOn w:val="1"/>
    <w:qFormat/>
    <w:uiPriority w:val="0"/>
    <w:pPr>
      <w:widowControl w:val="0"/>
      <w:snapToGrid/>
      <w:spacing w:before="0" w:after="120" w:line="240" w:lineRule="auto"/>
      <w:ind w:right="0" w:firstLine="420" w:firstLineChars="100"/>
    </w:pPr>
    <w:rPr>
      <w:kern w:val="2"/>
      <w:sz w:val="21"/>
      <w:szCs w:val="24"/>
    </w:rPr>
  </w:style>
  <w:style w:type="paragraph" w:customStyle="1" w:styleId="156">
    <w:name w:val="正文缩进1"/>
    <w:basedOn w:val="1"/>
    <w:qFormat/>
    <w:uiPriority w:val="0"/>
    <w:pPr>
      <w:ind w:firstLine="420"/>
    </w:pPr>
    <w:rPr>
      <w:rFonts w:eastAsia="宋体"/>
      <w:sz w:val="28"/>
    </w:rPr>
  </w:style>
  <w:style w:type="paragraph" w:customStyle="1" w:styleId="157">
    <w:name w:val="专篇正文"/>
    <w:basedOn w:val="75"/>
    <w:qFormat/>
    <w:uiPriority w:val="0"/>
  </w:style>
  <w:style w:type="paragraph" w:customStyle="1" w:styleId="158">
    <w:name w:val="a表格标题"/>
    <w:basedOn w:val="1"/>
    <w:qFormat/>
    <w:uiPriority w:val="0"/>
    <w:pPr>
      <w:widowControl/>
      <w:spacing w:line="360" w:lineRule="auto"/>
      <w:jc w:val="center"/>
    </w:pPr>
    <w:rPr>
      <w:b/>
      <w:kern w:val="0"/>
      <w:szCs w:val="21"/>
    </w:rPr>
  </w:style>
  <w:style w:type="paragraph" w:customStyle="1" w:styleId="159">
    <w:name w:val="盂县"/>
    <w:basedOn w:val="1"/>
    <w:qFormat/>
    <w:uiPriority w:val="0"/>
    <w:pPr>
      <w:adjustRightInd w:val="0"/>
      <w:snapToGrid w:val="0"/>
      <w:spacing w:line="312" w:lineRule="auto"/>
      <w:ind w:firstLine="560" w:firstLineChars="200"/>
    </w:pPr>
    <w:rPr>
      <w:sz w:val="28"/>
    </w:rPr>
  </w:style>
  <w:style w:type="paragraph" w:customStyle="1" w:styleId="160">
    <w:name w:val="填表样式"/>
    <w:qFormat/>
    <w:uiPriority w:val="0"/>
    <w:pPr>
      <w:widowControl w:val="0"/>
      <w:adjustRightInd w:val="0"/>
      <w:snapToGrid w:val="0"/>
      <w:spacing w:line="360" w:lineRule="auto"/>
      <w:ind w:firstLine="720" w:firstLineChars="200"/>
      <w:jc w:val="both"/>
    </w:pPr>
    <w:rPr>
      <w:rFonts w:ascii="Times New Roman" w:hAnsi="Times New Roman" w:eastAsia="宋体" w:cs="Times New Roman"/>
      <w:kern w:val="2"/>
      <w:sz w:val="21"/>
      <w:szCs w:val="24"/>
      <w:lang w:val="en-US" w:eastAsia="zh-CN" w:bidi="ar-SA"/>
    </w:rPr>
  </w:style>
  <w:style w:type="paragraph" w:customStyle="1" w:styleId="161">
    <w:name w:val="C【表头】"/>
    <w:basedOn w:val="1"/>
    <w:qFormat/>
    <w:uiPriority w:val="0"/>
    <w:pPr>
      <w:widowControl/>
      <w:adjustRightInd w:val="0"/>
      <w:snapToGrid w:val="0"/>
      <w:jc w:val="center"/>
    </w:pPr>
    <w:rPr>
      <w:rFonts w:eastAsia="黑体" w:cs="宋体"/>
      <w:kern w:val="0"/>
      <w:sz w:val="24"/>
      <w:szCs w:val="20"/>
    </w:rPr>
  </w:style>
  <w:style w:type="paragraph" w:customStyle="1" w:styleId="162">
    <w:name w:val="C表两端"/>
    <w:basedOn w:val="1"/>
    <w:qFormat/>
    <w:uiPriority w:val="0"/>
    <w:pPr>
      <w:adjustRightInd w:val="0"/>
      <w:snapToGrid w:val="0"/>
    </w:pPr>
    <w:rPr>
      <w:kern w:val="0"/>
      <w:szCs w:val="20"/>
    </w:rPr>
  </w:style>
  <w:style w:type="paragraph" w:customStyle="1" w:styleId="163">
    <w:name w:val="图注"/>
    <w:basedOn w:val="1"/>
    <w:qFormat/>
    <w:uiPriority w:val="0"/>
    <w:pPr>
      <w:ind w:firstLine="0" w:firstLineChars="0"/>
      <w:jc w:val="center"/>
    </w:pPr>
    <w:rPr>
      <w:rFonts w:eastAsia="黑体"/>
    </w:rPr>
  </w:style>
  <w:style w:type="character" w:customStyle="1" w:styleId="164">
    <w:name w:val="[正文] 字符"/>
    <w:link w:val="165"/>
    <w:qFormat/>
    <w:uiPriority w:val="0"/>
    <w:rPr>
      <w:rFonts w:ascii="Times New Roman" w:hAnsi="Times New Roman"/>
      <w:sz w:val="24"/>
    </w:rPr>
  </w:style>
  <w:style w:type="paragraph" w:customStyle="1" w:styleId="165">
    <w:name w:val="[正文]"/>
    <w:basedOn w:val="147"/>
    <w:link w:val="164"/>
    <w:qFormat/>
    <w:uiPriority w:val="0"/>
    <w:pPr>
      <w:spacing w:line="520" w:lineRule="exact"/>
      <w:ind w:firstLine="200"/>
    </w:pPr>
    <w:rPr>
      <w:rFonts w:ascii="Times New Roman" w:hAnsi="Times New Roman"/>
      <w:sz w:val="24"/>
    </w:rPr>
  </w:style>
  <w:style w:type="paragraph" w:customStyle="1" w:styleId="166">
    <w:name w:val="样式 黑体 居中 行距: 1.5 倍行距"/>
    <w:basedOn w:val="1"/>
    <w:qFormat/>
    <w:uiPriority w:val="0"/>
    <w:pPr>
      <w:spacing w:line="360" w:lineRule="auto"/>
      <w:jc w:val="center"/>
    </w:pPr>
    <w:rPr>
      <w:rFonts w:ascii="黑体" w:hAnsi="黑体" w:eastAsia="黑体" w:cs="宋体"/>
    </w:rPr>
  </w:style>
  <w:style w:type="paragraph" w:customStyle="1" w:styleId="167">
    <w:name w:val="首行缩进正文"/>
    <w:basedOn w:val="75"/>
    <w:qFormat/>
    <w:uiPriority w:val="0"/>
    <w:rPr>
      <w:sz w:val="21"/>
    </w:rPr>
  </w:style>
  <w:style w:type="paragraph" w:customStyle="1" w:styleId="168">
    <w:name w:val="..正文"/>
    <w:basedOn w:val="1"/>
    <w:qFormat/>
    <w:uiPriority w:val="0"/>
    <w:pPr>
      <w:spacing w:line="520" w:lineRule="exact"/>
      <w:ind w:firstLine="200" w:firstLineChars="200"/>
    </w:pPr>
    <w:rPr>
      <w:kern w:val="0"/>
      <w:sz w:val="24"/>
    </w:rPr>
  </w:style>
  <w:style w:type="paragraph" w:customStyle="1" w:styleId="169">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170">
    <w:name w:val="【表中的文字】"/>
    <w:basedOn w:val="31"/>
    <w:qFormat/>
    <w:uiPriority w:val="0"/>
    <w:pPr>
      <w:spacing w:before="0" w:after="0"/>
      <w:outlineLvl w:val="9"/>
    </w:pPr>
    <w:rPr>
      <w:rFonts w:ascii="Times New Roman" w:hAnsi="Times New Roman" w:eastAsia="宋体"/>
      <w:b w:val="0"/>
      <w:sz w:val="21"/>
      <w:szCs w:val="21"/>
    </w:rPr>
  </w:style>
  <w:style w:type="paragraph" w:customStyle="1" w:styleId="171">
    <w:name w:val="【华瑞正文】"/>
    <w:basedOn w:val="1"/>
    <w:qFormat/>
    <w:uiPriority w:val="0"/>
    <w:pPr>
      <w:spacing w:line="520" w:lineRule="exact"/>
      <w:ind w:firstLine="200" w:firstLineChars="200"/>
    </w:pPr>
    <w:rPr>
      <w:rFonts w:ascii="宋体" w:hAnsi="宋体" w:cs="宋体"/>
      <w:sz w:val="24"/>
      <w:szCs w:val="20"/>
    </w:rPr>
  </w:style>
  <w:style w:type="character" w:customStyle="1" w:styleId="172">
    <w:name w:val="【表中文字】 Char"/>
    <w:qFormat/>
    <w:uiPriority w:val="0"/>
    <w:rPr>
      <w:rFonts w:hint="default" w:ascii="Times New Roman" w:hAnsi="Times New Roman" w:cs="Times New Roman"/>
      <w:kern w:val="2"/>
      <w:sz w:val="21"/>
    </w:rPr>
  </w:style>
  <w:style w:type="paragraph" w:customStyle="1" w:styleId="173">
    <w:name w:val="雪表头"/>
    <w:basedOn w:val="1"/>
    <w:next w:val="1"/>
    <w:autoRedefine/>
    <w:qFormat/>
    <w:uiPriority w:val="0"/>
    <w:pPr>
      <w:keepNext/>
      <w:spacing w:line="500" w:lineRule="exact"/>
      <w:jc w:val="center"/>
    </w:pPr>
    <w:rPr>
      <w:rFonts w:hint="default" w:ascii="Times New Roman" w:eastAsia="黑体"/>
      <w:kern w:val="2"/>
      <w:szCs w:val="24"/>
    </w:rPr>
  </w:style>
  <w:style w:type="paragraph" w:customStyle="1" w:styleId="174">
    <w:name w:val="【正文小四号】"/>
    <w:basedOn w:val="1"/>
    <w:qFormat/>
    <w:uiPriority w:val="0"/>
    <w:pPr>
      <w:spacing w:line="360" w:lineRule="auto"/>
      <w:ind w:firstLine="200" w:firstLineChars="200"/>
    </w:pPr>
    <w:rPr>
      <w:kern w:val="0"/>
      <w:sz w:val="24"/>
    </w:rPr>
  </w:style>
  <w:style w:type="character" w:customStyle="1" w:styleId="175">
    <w:name w:val="a正文 Char"/>
    <w:link w:val="151"/>
    <w:autoRedefine/>
    <w:qFormat/>
    <w:uiPriority w:val="0"/>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5" Type="http://schemas.openxmlformats.org/officeDocument/2006/relationships/fontTable" Target="fontTable.xml"/><Relationship Id="rId84" Type="http://schemas.openxmlformats.org/officeDocument/2006/relationships/numbering" Target="numbering.xml"/><Relationship Id="rId83" Type="http://schemas.openxmlformats.org/officeDocument/2006/relationships/customXml" Target="../customXml/item1.xml"/><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image" Target="media/image1.png"/><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jpe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theme" Target="theme/theme1.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jpeg"/><Relationship Id="rId60" Type="http://schemas.openxmlformats.org/officeDocument/2006/relationships/image" Target="media/image45.png"/><Relationship Id="rId6" Type="http://schemas.openxmlformats.org/officeDocument/2006/relationships/footer" Target="footer4.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jpeg"/><Relationship Id="rId56" Type="http://schemas.openxmlformats.org/officeDocument/2006/relationships/image" Target="media/image41.jpeg"/><Relationship Id="rId55" Type="http://schemas.openxmlformats.org/officeDocument/2006/relationships/image" Target="media/image40.jpe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footer" Target="footer3.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footer" Target="footer2.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wmf"/><Relationship Id="rId35" Type="http://schemas.openxmlformats.org/officeDocument/2006/relationships/oleObject" Target="embeddings/oleObject8.bin"/><Relationship Id="rId34" Type="http://schemas.openxmlformats.org/officeDocument/2006/relationships/image" Target="media/image20.wmf"/><Relationship Id="rId33" Type="http://schemas.openxmlformats.org/officeDocument/2006/relationships/oleObject" Target="embeddings/oleObject7.bin"/><Relationship Id="rId32" Type="http://schemas.openxmlformats.org/officeDocument/2006/relationships/image" Target="media/image19.wmf"/><Relationship Id="rId31" Type="http://schemas.openxmlformats.org/officeDocument/2006/relationships/oleObject" Target="embeddings/oleObject6.bin"/><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wmf"/><Relationship Id="rId26" Type="http://schemas.openxmlformats.org/officeDocument/2006/relationships/oleObject" Target="embeddings/oleObject5.bin"/><Relationship Id="rId25" Type="http://schemas.openxmlformats.org/officeDocument/2006/relationships/image" Target="media/image14.wmf"/><Relationship Id="rId24" Type="http://schemas.openxmlformats.org/officeDocument/2006/relationships/oleObject" Target="embeddings/oleObject4.bin"/><Relationship Id="rId23" Type="http://schemas.openxmlformats.org/officeDocument/2006/relationships/image" Target="media/image13.wmf"/><Relationship Id="rId22" Type="http://schemas.openxmlformats.org/officeDocument/2006/relationships/oleObject" Target="embeddings/oleObject3.bin"/><Relationship Id="rId21" Type="http://schemas.openxmlformats.org/officeDocument/2006/relationships/image" Target="media/image12.jpeg"/><Relationship Id="rId20" Type="http://schemas.openxmlformats.org/officeDocument/2006/relationships/image" Target="media/image11.w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10.wmf"/><Relationship Id="rId17" Type="http://schemas.openxmlformats.org/officeDocument/2006/relationships/oleObject" Target="embeddings/oleObject1.bin"/><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Manager>Yu</Manager>
  <Company>-</Company>
  <Pages>102</Pages>
  <Words>16306</Words>
  <Characters>17713</Characters>
  <Lines>1</Lines>
  <Paragraphs>1</Paragraphs>
  <TotalTime>8</TotalTime>
  <ScaleCrop>false</ScaleCrop>
  <LinksUpToDate>false</LinksUpToDate>
  <CharactersWithSpaces>17804</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2020-12-24T17:42:00Z</dcterms:created>
  <dc:creator>Yu</dc:creator>
  <cp:lastModifiedBy>进击的豆子</cp:lastModifiedBy>
  <cp:lastPrinted>2021-09-17T00:57:00Z</cp:lastPrinted>
  <dcterms:modified xsi:type="dcterms:W3CDTF">2026-03-05T07:39:37Z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EAA16D609BEA45DBBF05BEE37CF1ABFD_13</vt:lpwstr>
  </property>
  <property fmtid="{D5CDD505-2E9C-101B-9397-08002B2CF9AE}" pid="4" name="KSOTemplateDocerSaveRecord">
    <vt:lpwstr>eyJoZGlkIjoiNDA3ZDEzYTcyZWRiOGYyNzJkZjRjYTAzZDg0ODNmY2UiLCJ1c2VySWQiOiIzNDIxNTk0NDEifQ==</vt:lpwstr>
  </property>
</Properties>
</file>