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832C081">
      <w:pPr>
        <w:jc w:val="center"/>
        <w:rPr>
          <w:rFonts w:hint="eastAsia" w:ascii="Times New Roman" w:hAnsi="Times New Roman" w:eastAsia="仿宋_GB2312" w:cs="Times New Roman"/>
          <w:color w:val="auto"/>
          <w:sz w:val="36"/>
          <w:szCs w:val="36"/>
          <w:lang w:eastAsia="zh-CN"/>
        </w:rPr>
        <w:sectPr>
          <w:footerReference r:id="rId3" w:type="default"/>
          <w:pgSz w:w="11906" w:h="16838"/>
          <w:pgMar w:top="0" w:right="0" w:bottom="0" w:left="0" w:header="851" w:footer="1077" w:gutter="0"/>
          <w:pgBorders>
            <w:top w:val="none" w:sz="0" w:space="0"/>
            <w:left w:val="none" w:sz="0" w:space="0"/>
            <w:bottom w:val="none" w:sz="0" w:space="0"/>
            <w:right w:val="none" w:sz="0" w:space="0"/>
          </w:pgBorders>
          <w:pgNumType w:start="3"/>
          <w:cols w:space="720" w:num="1"/>
          <w:docGrid w:linePitch="312" w:charSpace="0"/>
        </w:sectPr>
      </w:pPr>
      <w:bookmarkStart w:id="33" w:name="_GoBack"/>
      <w:bookmarkEnd w:id="33"/>
      <w:r>
        <w:rPr>
          <w:rFonts w:hint="eastAsia" w:ascii="Times New Roman" w:hAnsi="Times New Roman" w:eastAsia="仿宋_GB2312" w:cs="Times New Roman"/>
          <w:color w:val="auto"/>
          <w:sz w:val="36"/>
          <w:szCs w:val="36"/>
          <w:lang w:eastAsia="zh-CN"/>
        </w:rPr>
        <w:drawing>
          <wp:inline distT="0" distB="0" distL="114300" distR="114300">
            <wp:extent cx="7125970" cy="9958705"/>
            <wp:effectExtent l="0" t="0" r="0" b="0"/>
            <wp:docPr id="3" name="图片 3" descr="E:/姜雪/2、铁城煤矿热风炉技改项目/审批材料/封面.png封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E:/姜雪/2、铁城煤矿热风炉技改项目/审批材料/封面.png封面"/>
                    <pic:cNvPicPr>
                      <a:picLocks noChangeAspect="1"/>
                    </pic:cNvPicPr>
                  </pic:nvPicPr>
                  <pic:blipFill>
                    <a:blip r:embed="rId9"/>
                    <a:srcRect l="2846" t="255" r="1801" b="5598"/>
                    <a:stretch>
                      <a:fillRect/>
                    </a:stretch>
                  </pic:blipFill>
                  <pic:spPr>
                    <a:xfrm>
                      <a:off x="0" y="0"/>
                      <a:ext cx="7125970" cy="9958705"/>
                    </a:xfrm>
                    <a:prstGeom prst="rect">
                      <a:avLst/>
                    </a:prstGeom>
                  </pic:spPr>
                </pic:pic>
              </a:graphicData>
            </a:graphic>
          </wp:inline>
        </w:drawing>
      </w:r>
    </w:p>
    <w:p w14:paraId="6C1B81F2">
      <w:pPr>
        <w:jc w:val="both"/>
        <w:rPr>
          <w:rFonts w:hint="default" w:ascii="Times New Roman" w:hAnsi="Times New Roman" w:eastAsia="仿宋_GB2312" w:cs="Times New Roman"/>
          <w:color w:val="auto"/>
          <w:sz w:val="36"/>
          <w:szCs w:val="36"/>
        </w:rPr>
      </w:pPr>
    </w:p>
    <w:sdt>
      <w:sdtPr>
        <w:rPr>
          <w:rFonts w:ascii="宋体" w:hAnsi="宋体" w:eastAsia="宋体" w:cs="Times New Roman"/>
          <w:b/>
          <w:bCs/>
          <w:color w:val="auto"/>
          <w:kern w:val="2"/>
          <w:sz w:val="21"/>
          <w:szCs w:val="24"/>
          <w:lang w:val="en-US" w:eastAsia="zh-CN" w:bidi="ar-SA"/>
        </w:rPr>
        <w:id w:val="147455764"/>
        <w15:color w:val="DBDBDB"/>
        <w:docPartObj>
          <w:docPartGallery w:val="Table of Contents"/>
          <w:docPartUnique/>
        </w:docPartObj>
      </w:sdtPr>
      <w:sdtEndPr>
        <w:rPr>
          <w:rFonts w:hint="default" w:ascii="Times New Roman" w:hAnsi="Times New Roman" w:eastAsia="宋体" w:cs="Times New Roman"/>
          <w:b w:val="0"/>
          <w:bCs/>
          <w:color w:val="auto"/>
          <w:kern w:val="2"/>
          <w:sz w:val="21"/>
          <w:szCs w:val="24"/>
          <w:lang w:val="en-US" w:eastAsia="zh-CN" w:bidi="ar-SA"/>
        </w:rPr>
      </w:sdtEndPr>
      <w:sdtContent>
        <w:p w14:paraId="21DA4B0B">
          <w:pPr>
            <w:spacing w:before="0" w:beforeLines="0" w:after="0" w:afterLines="0" w:line="240" w:lineRule="auto"/>
            <w:ind w:left="0" w:leftChars="0" w:right="0" w:rightChars="0" w:firstLine="0" w:firstLineChars="0"/>
            <w:jc w:val="center"/>
            <w:rPr>
              <w:b/>
              <w:bCs/>
              <w:color w:val="auto"/>
              <w:sz w:val="36"/>
              <w:szCs w:val="36"/>
            </w:rPr>
          </w:pPr>
          <w:r>
            <w:rPr>
              <w:rFonts w:ascii="宋体" w:hAnsi="宋体" w:eastAsia="宋体"/>
              <w:b/>
              <w:bCs/>
              <w:color w:val="auto"/>
              <w:sz w:val="36"/>
              <w:szCs w:val="36"/>
            </w:rPr>
            <w:t>目</w:t>
          </w:r>
          <w:r>
            <w:rPr>
              <w:rFonts w:hint="eastAsia" w:ascii="宋体" w:hAnsi="宋体"/>
              <w:b/>
              <w:bCs/>
              <w:color w:val="auto"/>
              <w:sz w:val="36"/>
              <w:szCs w:val="36"/>
              <w:lang w:val="en-US" w:eastAsia="zh-CN"/>
            </w:rPr>
            <w:t xml:space="preserve"> </w:t>
          </w:r>
          <w:r>
            <w:rPr>
              <w:rFonts w:ascii="宋体" w:hAnsi="宋体" w:eastAsia="宋体"/>
              <w:b/>
              <w:bCs/>
              <w:color w:val="auto"/>
              <w:sz w:val="36"/>
              <w:szCs w:val="36"/>
            </w:rPr>
            <w:t>录</w:t>
          </w:r>
        </w:p>
        <w:p w14:paraId="5580B44B">
          <w:pPr>
            <w:pStyle w:val="22"/>
            <w:tabs>
              <w:tab w:val="right" w:leader="dot" w:pos="8844"/>
            </w:tabs>
            <w:jc w:val="center"/>
            <w:rPr>
              <w:b w:val="0"/>
              <w:bCs/>
              <w:color w:val="auto"/>
            </w:rPr>
          </w:pPr>
          <w:r>
            <w:rPr>
              <w:rFonts w:hint="default"/>
              <w:b w:val="0"/>
              <w:bCs/>
              <w:color w:val="auto"/>
            </w:rPr>
            <w:fldChar w:fldCharType="begin"/>
          </w:r>
          <w:r>
            <w:rPr>
              <w:rFonts w:hint="default"/>
              <w:b w:val="0"/>
              <w:bCs/>
              <w:color w:val="auto"/>
            </w:rPr>
            <w:instrText xml:space="preserve">TOC \o "1-1" \h \u </w:instrText>
          </w:r>
          <w:r>
            <w:rPr>
              <w:rFonts w:hint="default"/>
              <w:b w:val="0"/>
              <w:bCs/>
              <w:color w:val="auto"/>
            </w:rPr>
            <w:fldChar w:fldCharType="separate"/>
          </w:r>
        </w:p>
        <w:p w14:paraId="64E7A62E">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_Toc32715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rPr>
            <w:t>一、建设项目基本情况</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_Toc32715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1</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56660E6">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_Toc14829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rPr>
            <w:t>二、建设项目工程分析</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_Toc14829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10</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BEEE935">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_Toc20614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highlight w:val="none"/>
            </w:rPr>
            <w:t>三、区域环境质量现状、环境保护目标及评价标准</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_Toc20614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21</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63165026">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_Toc15146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rPr>
            <w:t>四、主要环境影响和保护措施</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_Toc15146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26</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92DEA45">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_Toc14242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rPr>
            <w:t>五、环境保护措施监督检查清单</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_Toc14242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40</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4D5A6EA9">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_Toc30202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rPr>
            <w:t>六、结论</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_Toc30202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41</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445E366D">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_Toc9444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lang w:eastAsia="zh-CN"/>
            </w:rPr>
            <w:t>附图</w:t>
          </w:r>
          <w:r>
            <w:rPr>
              <w:rFonts w:hint="eastAsia" w:asciiTheme="majorEastAsia" w:hAnsiTheme="majorEastAsia" w:eastAsiaTheme="majorEastAsia" w:cstheme="majorEastAsia"/>
              <w:b w:val="0"/>
              <w:bCs/>
              <w:color w:val="auto"/>
              <w:sz w:val="24"/>
              <w:szCs w:val="24"/>
              <w:lang w:val="en-US" w:eastAsia="zh-CN"/>
            </w:rPr>
            <w:t>1鸡西市环境管控单元分布图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_Toc9444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42</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6E442CD2">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_Toc2754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lang w:val="en-US" w:eastAsia="zh-CN"/>
            </w:rPr>
            <w:t>附图2 项目位置示意图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_Toc2754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43</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34E25C11">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_Toc12294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lang w:eastAsia="zh-CN"/>
            </w:rPr>
            <w:t>附图</w:t>
          </w:r>
          <w:r>
            <w:rPr>
              <w:rFonts w:hint="eastAsia" w:asciiTheme="majorEastAsia" w:hAnsiTheme="majorEastAsia" w:eastAsiaTheme="majorEastAsia" w:cstheme="majorEastAsia"/>
              <w:b w:val="0"/>
              <w:bCs/>
              <w:color w:val="auto"/>
              <w:sz w:val="24"/>
              <w:szCs w:val="24"/>
              <w:lang w:val="en-US" w:eastAsia="zh-CN"/>
            </w:rPr>
            <w:t xml:space="preserve">3 </w:t>
          </w:r>
          <w:r>
            <w:rPr>
              <w:rFonts w:hint="eastAsia" w:asciiTheme="majorEastAsia" w:hAnsiTheme="majorEastAsia" w:eastAsiaTheme="majorEastAsia" w:cstheme="majorEastAsia"/>
              <w:b w:val="0"/>
              <w:bCs/>
              <w:color w:val="auto"/>
              <w:sz w:val="24"/>
              <w:szCs w:val="24"/>
              <w:lang w:eastAsia="zh-CN"/>
            </w:rPr>
            <w:t>环境保护目标示意图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_Toc12294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44</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45EAE9C">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_Toc28564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lang w:val="en-US" w:eastAsia="zh-CN"/>
            </w:rPr>
            <w:t>附图4 厂界四周照片</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_Toc28564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45</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446C3C4F">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_Toc18186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pacing w:val="0"/>
              <w:kern w:val="21"/>
              <w:sz w:val="24"/>
              <w:szCs w:val="24"/>
              <w:highlight w:val="none"/>
              <w:lang w:val="en-US" w:eastAsia="zh-CN"/>
            </w:rPr>
            <w:t>附图5</w:t>
          </w:r>
          <w:r>
            <w:rPr>
              <w:rFonts w:hint="eastAsia" w:asciiTheme="majorEastAsia" w:hAnsiTheme="majorEastAsia" w:eastAsiaTheme="majorEastAsia" w:cstheme="majorEastAsia"/>
              <w:b w:val="0"/>
              <w:bCs/>
              <w:color w:val="auto"/>
              <w:spacing w:val="0"/>
              <w:kern w:val="21"/>
              <w:sz w:val="24"/>
              <w:szCs w:val="24"/>
              <w:highlight w:val="none"/>
            </w:rPr>
            <w:t>昼间贡献值等值线图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_Toc18186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46</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63BFF52A">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_Toc20925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pacing w:val="0"/>
              <w:kern w:val="21"/>
              <w:sz w:val="24"/>
              <w:szCs w:val="24"/>
              <w:highlight w:val="none"/>
              <w:lang w:val="en-US" w:eastAsia="zh-CN"/>
            </w:rPr>
            <w:t>附图6 平面布置图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_Toc20925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47</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384CAB1D">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_Toc17426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附图7监测点位示意图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_Toc17426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48</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37353186">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_Toc9399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附件1 营业执照</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_Toc9399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49</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4BA4828">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_Toc20238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附件2 检测报告</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_Toc20238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50</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1E73420A">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_Toc20900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附件3 生物质化验报告单</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_Toc20900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54</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75BA3483">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_Toc20927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附件4 原环评批复</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_Toc20927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55</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7CD07E7E">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_Toc21447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附件5 土地利用现状图</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_Toc21447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58</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6A7EC882">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_Toc14554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附件6 竣工验收报告专家意见</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_Toc14554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59</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30F28D9D">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_Toc21337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附件7 用地性质</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_Toc21337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65</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36C482AB">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_Toc26938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highlight w:val="none"/>
              <w:lang w:val="en-US" w:eastAsia="zh-CN"/>
            </w:rPr>
            <w:t>附件8 排污许可</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_Toc26938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66</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129FCF6D">
          <w:pPr>
            <w:pStyle w:val="22"/>
            <w:tabs>
              <w:tab w:val="right" w:leader="dot" w:pos="8844"/>
            </w:tabs>
            <w:jc w:val="center"/>
            <w:rPr>
              <w:rFonts w:hint="eastAsia" w:asciiTheme="majorEastAsia" w:hAnsiTheme="majorEastAsia" w:eastAsiaTheme="majorEastAsia" w:cstheme="majorEastAsia"/>
              <w:b w:val="0"/>
              <w:bCs/>
              <w:color w:val="auto"/>
              <w:sz w:val="24"/>
              <w:szCs w:val="24"/>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_Toc11572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lang w:val="en-US" w:eastAsia="zh-CN"/>
            </w:rPr>
            <w:t>附件9 生态环境分区管控分析报告</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_Toc11572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67</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5A090D65">
          <w:pPr>
            <w:pStyle w:val="22"/>
            <w:tabs>
              <w:tab w:val="right" w:leader="dot" w:pos="8844"/>
            </w:tabs>
            <w:jc w:val="center"/>
            <w:rPr>
              <w:b w:val="0"/>
              <w:bCs/>
              <w:color w:val="auto"/>
            </w:rPr>
          </w:pP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HYPERLINK \l _Toc21577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snapToGrid w:val="0"/>
              <w:color w:val="auto"/>
              <w:sz w:val="24"/>
              <w:szCs w:val="24"/>
              <w:highlight w:val="none"/>
            </w:rPr>
            <w:t>附表</w:t>
          </w:r>
          <w:r>
            <w:rPr>
              <w:rFonts w:hint="eastAsia" w:asciiTheme="majorEastAsia" w:hAnsiTheme="majorEastAsia" w:eastAsiaTheme="majorEastAsia" w:cstheme="majorEastAsia"/>
              <w:b w:val="0"/>
              <w:bCs/>
              <w:snapToGrid w:val="0"/>
              <w:color w:val="auto"/>
              <w:sz w:val="24"/>
              <w:szCs w:val="24"/>
              <w:highlight w:val="none"/>
              <w:lang w:val="en-US" w:eastAsia="zh-CN"/>
            </w:rPr>
            <w:t xml:space="preserve">1 </w:t>
          </w:r>
          <w:r>
            <w:rPr>
              <w:rFonts w:hint="eastAsia" w:asciiTheme="majorEastAsia" w:hAnsiTheme="majorEastAsia" w:eastAsiaTheme="majorEastAsia" w:cstheme="majorEastAsia"/>
              <w:b w:val="0"/>
              <w:bCs/>
              <w:snapToGrid w:val="0"/>
              <w:color w:val="auto"/>
              <w:sz w:val="24"/>
              <w:szCs w:val="24"/>
              <w:highlight w:val="none"/>
            </w:rPr>
            <w:t>建设项目污染物排放量汇总表</w:t>
          </w:r>
          <w:r>
            <w:rPr>
              <w:rFonts w:hint="eastAsia" w:asciiTheme="majorEastAsia" w:hAnsiTheme="majorEastAsia" w:eastAsiaTheme="majorEastAsia" w:cstheme="majorEastAsia"/>
              <w:b w:val="0"/>
              <w:bCs/>
              <w:snapToGrid w:val="0"/>
              <w:color w:val="auto"/>
              <w:sz w:val="24"/>
              <w:szCs w:val="24"/>
              <w:highlight w:val="none"/>
              <w:lang w:val="en-US" w:eastAsia="zh-CN"/>
            </w:rPr>
            <w:t xml:space="preserve"> </w:t>
          </w:r>
          <w:r>
            <w:rPr>
              <w:rFonts w:hint="eastAsia" w:asciiTheme="majorEastAsia" w:hAnsiTheme="majorEastAsia" w:eastAsiaTheme="majorEastAsia" w:cstheme="majorEastAsia"/>
              <w:b w:val="0"/>
              <w:bCs/>
              <w:color w:val="auto"/>
              <w:sz w:val="24"/>
              <w:szCs w:val="24"/>
            </w:rPr>
            <w:tab/>
          </w:r>
          <w:r>
            <w:rPr>
              <w:rFonts w:hint="eastAsia" w:asciiTheme="majorEastAsia" w:hAnsiTheme="majorEastAsia" w:eastAsiaTheme="majorEastAsia" w:cstheme="majorEastAsia"/>
              <w:b w:val="0"/>
              <w:bCs/>
              <w:color w:val="auto"/>
              <w:sz w:val="24"/>
              <w:szCs w:val="24"/>
            </w:rPr>
            <w:fldChar w:fldCharType="begin"/>
          </w:r>
          <w:r>
            <w:rPr>
              <w:rFonts w:hint="eastAsia" w:asciiTheme="majorEastAsia" w:hAnsiTheme="majorEastAsia" w:eastAsiaTheme="majorEastAsia" w:cstheme="majorEastAsia"/>
              <w:b w:val="0"/>
              <w:bCs/>
              <w:color w:val="auto"/>
              <w:sz w:val="24"/>
              <w:szCs w:val="24"/>
            </w:rPr>
            <w:instrText xml:space="preserve"> PAGEREF _Toc21577 \h </w:instrText>
          </w:r>
          <w:r>
            <w:rPr>
              <w:rFonts w:hint="eastAsia" w:asciiTheme="majorEastAsia" w:hAnsiTheme="majorEastAsia" w:eastAsiaTheme="majorEastAsia" w:cstheme="majorEastAsia"/>
              <w:b w:val="0"/>
              <w:bCs/>
              <w:color w:val="auto"/>
              <w:sz w:val="24"/>
              <w:szCs w:val="24"/>
            </w:rPr>
            <w:fldChar w:fldCharType="separate"/>
          </w:r>
          <w:r>
            <w:rPr>
              <w:rFonts w:hint="eastAsia" w:asciiTheme="majorEastAsia" w:hAnsiTheme="majorEastAsia" w:eastAsiaTheme="majorEastAsia" w:cstheme="majorEastAsia"/>
              <w:b w:val="0"/>
              <w:bCs/>
              <w:color w:val="auto"/>
              <w:sz w:val="24"/>
              <w:szCs w:val="24"/>
            </w:rPr>
            <w:t>77</w:t>
          </w:r>
          <w:r>
            <w:rPr>
              <w:rFonts w:hint="eastAsia" w:asciiTheme="majorEastAsia" w:hAnsiTheme="majorEastAsia" w:eastAsiaTheme="majorEastAsia" w:cstheme="majorEastAsia"/>
              <w:b w:val="0"/>
              <w:bCs/>
              <w:color w:val="auto"/>
              <w:sz w:val="24"/>
              <w:szCs w:val="24"/>
            </w:rPr>
            <w:fldChar w:fldCharType="end"/>
          </w:r>
          <w:r>
            <w:rPr>
              <w:rFonts w:hint="eastAsia" w:asciiTheme="majorEastAsia" w:hAnsiTheme="majorEastAsia" w:eastAsiaTheme="majorEastAsia" w:cstheme="majorEastAsia"/>
              <w:b w:val="0"/>
              <w:bCs/>
              <w:color w:val="auto"/>
              <w:sz w:val="24"/>
              <w:szCs w:val="24"/>
            </w:rPr>
            <w:fldChar w:fldCharType="end"/>
          </w:r>
        </w:p>
        <w:p w14:paraId="05F7B78B">
          <w:pPr>
            <w:pStyle w:val="24"/>
            <w:ind w:left="0" w:leftChars="0" w:firstLine="0" w:firstLineChars="0"/>
            <w:jc w:val="center"/>
            <w:rPr>
              <w:rFonts w:hint="default"/>
              <w:b w:val="0"/>
              <w:bCs/>
              <w:color w:val="auto"/>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default"/>
              <w:b w:val="0"/>
              <w:bCs/>
              <w:color w:val="auto"/>
            </w:rPr>
            <w:fldChar w:fldCharType="end"/>
          </w:r>
        </w:p>
      </w:sdtContent>
    </w:sdt>
    <w:p w14:paraId="5A8ABF48">
      <w:pPr>
        <w:pStyle w:val="26"/>
        <w:jc w:val="center"/>
        <w:outlineLvl w:val="9"/>
        <w:rPr>
          <w:rFonts w:hint="default" w:ascii="Times New Roman" w:hAnsi="Times New Roman" w:eastAsia="黑体" w:cs="Times New Roman"/>
          <w:snapToGrid w:val="0"/>
          <w:color w:val="auto"/>
          <w:sz w:val="30"/>
          <w:szCs w:val="30"/>
        </w:rPr>
      </w:pPr>
    </w:p>
    <w:p w14:paraId="0C6639F0">
      <w:pPr>
        <w:pStyle w:val="26"/>
        <w:jc w:val="center"/>
        <w:outlineLvl w:val="9"/>
        <w:rPr>
          <w:rFonts w:hint="default" w:ascii="Times New Roman" w:hAnsi="Times New Roman" w:eastAsia="黑体" w:cs="Times New Roman"/>
          <w:snapToGrid w:val="0"/>
          <w:color w:val="auto"/>
          <w:sz w:val="30"/>
          <w:szCs w:val="30"/>
        </w:rPr>
      </w:pPr>
      <w:r>
        <w:rPr>
          <w:rFonts w:hint="eastAsia" w:ascii="Times New Roman" w:hAnsi="Times New Roman" w:eastAsia="黑体" w:cs="Times New Roman"/>
          <w:snapToGrid w:val="0"/>
          <w:color w:val="auto"/>
          <w:sz w:val="30"/>
          <w:szCs w:val="30"/>
          <w:lang w:eastAsia="zh-CN"/>
        </w:rPr>
        <w:drawing>
          <wp:inline distT="0" distB="0" distL="114300" distR="114300">
            <wp:extent cx="7141210" cy="9126855"/>
            <wp:effectExtent l="0" t="0" r="2540" b="17145"/>
            <wp:docPr id="41" name="图片 41" descr="资质页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资质页_01"/>
                    <pic:cNvPicPr>
                      <a:picLocks noChangeAspect="1"/>
                    </pic:cNvPicPr>
                  </pic:nvPicPr>
                  <pic:blipFill>
                    <a:blip r:embed="rId10"/>
                    <a:srcRect b="9701"/>
                    <a:stretch>
                      <a:fillRect/>
                    </a:stretch>
                  </pic:blipFill>
                  <pic:spPr>
                    <a:xfrm>
                      <a:off x="0" y="0"/>
                      <a:ext cx="7141210" cy="9126855"/>
                    </a:xfrm>
                    <a:prstGeom prst="rect">
                      <a:avLst/>
                    </a:prstGeom>
                  </pic:spPr>
                </pic:pic>
              </a:graphicData>
            </a:graphic>
          </wp:inline>
        </w:drawing>
      </w:r>
    </w:p>
    <w:p w14:paraId="7AD8C939">
      <w:pPr>
        <w:pStyle w:val="26"/>
        <w:jc w:val="center"/>
        <w:outlineLvl w:val="0"/>
        <w:rPr>
          <w:rFonts w:hint="default" w:ascii="Times New Roman" w:hAnsi="Times New Roman" w:eastAsia="黑体" w:cs="Times New Roman"/>
          <w:snapToGrid w:val="0"/>
          <w:color w:val="auto"/>
          <w:sz w:val="30"/>
          <w:szCs w:val="30"/>
        </w:rPr>
        <w:sectPr>
          <w:footerReference r:id="rId4" w:type="default"/>
          <w:pgSz w:w="11906" w:h="16838"/>
          <w:pgMar w:top="0" w:right="0" w:bottom="0" w:left="0" w:header="851" w:footer="1077" w:gutter="0"/>
          <w:pgBorders>
            <w:top w:val="none" w:sz="0" w:space="0"/>
            <w:left w:val="none" w:sz="0" w:space="0"/>
            <w:bottom w:val="none" w:sz="0" w:space="0"/>
            <w:right w:val="none" w:sz="0" w:space="0"/>
          </w:pgBorders>
          <w:pgNumType w:fmt="decimal" w:start="1"/>
          <w:cols w:space="720" w:num="1"/>
          <w:docGrid w:linePitch="312" w:charSpace="0"/>
        </w:sectPr>
      </w:pPr>
      <w:bookmarkStart w:id="0" w:name="_Toc32715"/>
    </w:p>
    <w:p w14:paraId="6FF21369">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0"/>
          <w:szCs w:val="30"/>
        </w:rPr>
        <w:t>一、建设项目基本情况</w:t>
      </w:r>
      <w:bookmarkEnd w:id="0"/>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2038"/>
        <w:gridCol w:w="2295"/>
        <w:gridCol w:w="1898"/>
        <w:gridCol w:w="2639"/>
      </w:tblGrid>
      <w:tr w14:paraId="1F1519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4D5D486A">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建设项目名称</w:t>
            </w:r>
          </w:p>
        </w:tc>
        <w:tc>
          <w:tcPr>
            <w:tcW w:w="6832" w:type="dxa"/>
            <w:gridSpan w:val="3"/>
            <w:noWrap w:val="0"/>
            <w:vAlign w:val="center"/>
          </w:tcPr>
          <w:p w14:paraId="62E6CE4C">
            <w:pPr>
              <w:adjustRightInd w:val="0"/>
              <w:snapToGrid w:val="0"/>
              <w:jc w:val="center"/>
              <w:rPr>
                <w:rFonts w:hint="default" w:ascii="Times New Roman" w:hAnsi="Times New Roman" w:eastAsia="宋体" w:cs="Times New Roman"/>
                <w:color w:val="auto"/>
                <w:sz w:val="24"/>
                <w:szCs w:val="24"/>
                <w:lang w:eastAsia="zh-CN"/>
              </w:rPr>
            </w:pPr>
            <w:r>
              <w:rPr>
                <w:rFonts w:hint="eastAsia" w:cs="Times New Roman"/>
                <w:color w:val="auto"/>
                <w:sz w:val="24"/>
                <w:szCs w:val="24"/>
                <w:lang w:eastAsia="zh-CN"/>
              </w:rPr>
              <w:t>鸡西市城子河铁城煤矿热风炉改建项目</w:t>
            </w:r>
          </w:p>
        </w:tc>
      </w:tr>
      <w:tr w14:paraId="6CF545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2C322B0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项目代码</w:t>
            </w:r>
          </w:p>
        </w:tc>
        <w:tc>
          <w:tcPr>
            <w:tcW w:w="6832" w:type="dxa"/>
            <w:gridSpan w:val="3"/>
            <w:noWrap w:val="0"/>
            <w:vAlign w:val="center"/>
          </w:tcPr>
          <w:p w14:paraId="4ECD5185">
            <w:pPr>
              <w:adjustRightInd w:val="0"/>
              <w:snapToGrid w:val="0"/>
              <w:jc w:val="center"/>
              <w:rPr>
                <w:rFonts w:hint="default" w:ascii="Times New Roman" w:hAnsi="Times New Roman" w:eastAsia="宋体" w:cs="Times New Roman"/>
                <w:color w:val="auto"/>
                <w:sz w:val="24"/>
                <w:szCs w:val="24"/>
                <w:lang w:eastAsia="zh-CN"/>
              </w:rPr>
            </w:pPr>
            <w:r>
              <w:rPr>
                <w:rFonts w:hint="default" w:ascii="Times New Roman" w:hAnsi="Times New Roman" w:cs="Times New Roman"/>
                <w:color w:val="auto"/>
                <w:sz w:val="24"/>
                <w:szCs w:val="24"/>
                <w:lang w:eastAsia="zh-CN"/>
              </w:rPr>
              <w:t>无</w:t>
            </w:r>
          </w:p>
        </w:tc>
      </w:tr>
      <w:tr w14:paraId="247402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715E3D66">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建设单位联系人</w:t>
            </w:r>
          </w:p>
        </w:tc>
        <w:tc>
          <w:tcPr>
            <w:tcW w:w="2295" w:type="dxa"/>
            <w:noWrap w:val="0"/>
            <w:vAlign w:val="center"/>
          </w:tcPr>
          <w:p w14:paraId="0A41DE3F">
            <w:pPr>
              <w:adjustRightInd w:val="0"/>
              <w:snapToGrid w:val="0"/>
              <w:jc w:val="center"/>
              <w:rPr>
                <w:rFonts w:hint="eastAsia" w:ascii="Times New Roman" w:hAnsi="Times New Roman" w:eastAsia="宋体" w:cs="Times New Roman"/>
                <w:color w:val="auto"/>
                <w:sz w:val="24"/>
                <w:szCs w:val="24"/>
                <w:lang w:eastAsia="zh-CN"/>
              </w:rPr>
            </w:pPr>
            <w:r>
              <w:rPr>
                <w:rFonts w:hint="eastAsia" w:cs="Times New Roman"/>
                <w:color w:val="auto"/>
                <w:sz w:val="24"/>
                <w:szCs w:val="24"/>
                <w:lang w:eastAsia="zh-CN"/>
              </w:rPr>
              <w:t>金宝军</w:t>
            </w:r>
          </w:p>
        </w:tc>
        <w:tc>
          <w:tcPr>
            <w:tcW w:w="1898" w:type="dxa"/>
            <w:noWrap w:val="0"/>
            <w:vAlign w:val="center"/>
          </w:tcPr>
          <w:p w14:paraId="44B23A2A">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联系方式</w:t>
            </w:r>
          </w:p>
        </w:tc>
        <w:tc>
          <w:tcPr>
            <w:tcW w:w="2639" w:type="dxa"/>
            <w:noWrap w:val="0"/>
            <w:vAlign w:val="center"/>
          </w:tcPr>
          <w:p w14:paraId="3ABD4A5D">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13351977161</w:t>
            </w:r>
          </w:p>
        </w:tc>
      </w:tr>
      <w:tr w14:paraId="4B97DE9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66ABC04A">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建设地点</w:t>
            </w:r>
          </w:p>
        </w:tc>
        <w:tc>
          <w:tcPr>
            <w:tcW w:w="6832" w:type="dxa"/>
            <w:gridSpan w:val="3"/>
            <w:noWrap w:val="0"/>
            <w:vAlign w:val="center"/>
          </w:tcPr>
          <w:p w14:paraId="43B241FC">
            <w:pPr>
              <w:keepNext w:val="0"/>
              <w:keepLines w:val="0"/>
              <w:widowControl/>
              <w:suppressLineNumbers w:val="0"/>
              <w:jc w:val="center"/>
              <w:rPr>
                <w:rFonts w:hint="default" w:ascii="Times New Roman" w:hAnsi="Times New Roman" w:cs="Times New Roman"/>
                <w:color w:val="auto"/>
                <w:sz w:val="24"/>
                <w:szCs w:val="24"/>
              </w:rPr>
            </w:pPr>
            <w:r>
              <w:rPr>
                <w:rFonts w:hint="eastAsia" w:ascii="宋体" w:hAnsi="宋体" w:eastAsia="宋体" w:cs="宋体"/>
                <w:color w:val="auto"/>
                <w:sz w:val="24"/>
                <w:szCs w:val="24"/>
                <w:lang w:val="en-US" w:eastAsia="zh-CN"/>
              </w:rPr>
              <w:t>鸡西市城子河铁城煤矿有限公司现有厂区内</w:t>
            </w:r>
          </w:p>
        </w:tc>
      </w:tr>
      <w:tr w14:paraId="395D66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5B85B447">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地理坐标</w:t>
            </w:r>
          </w:p>
        </w:tc>
        <w:tc>
          <w:tcPr>
            <w:tcW w:w="6832" w:type="dxa"/>
            <w:gridSpan w:val="3"/>
            <w:noWrap w:val="0"/>
            <w:vAlign w:val="center"/>
          </w:tcPr>
          <w:p w14:paraId="7D1AAC33">
            <w:pPr>
              <w:jc w:val="center"/>
              <w:rPr>
                <w:rFonts w:hint="default" w:ascii="Times New Roman" w:hAnsi="Times New Roman" w:cs="Times New Roman"/>
                <w:color w:val="auto"/>
                <w:sz w:val="24"/>
                <w:szCs w:val="24"/>
              </w:rPr>
            </w:pPr>
            <w:r>
              <w:rPr>
                <w:color w:val="auto"/>
                <w:sz w:val="24"/>
                <w:highlight w:val="none"/>
              </w:rPr>
              <w:t>（</w:t>
            </w:r>
            <w:r>
              <w:rPr>
                <w:color w:val="auto"/>
                <w:sz w:val="24"/>
                <w:highlight w:val="none"/>
                <w:u w:val="single"/>
              </w:rPr>
              <w:t xml:space="preserve"> </w:t>
            </w:r>
            <w:r>
              <w:rPr>
                <w:rFonts w:hint="eastAsia"/>
                <w:color w:val="auto"/>
                <w:sz w:val="24"/>
                <w:highlight w:val="none"/>
                <w:u w:val="single"/>
                <w:lang w:val="en-US" w:eastAsia="zh-CN"/>
              </w:rPr>
              <w:t>131</w:t>
            </w:r>
            <w:r>
              <w:rPr>
                <w:color w:val="auto"/>
                <w:sz w:val="24"/>
                <w:highlight w:val="none"/>
                <w:u w:val="single"/>
              </w:rPr>
              <w:t xml:space="preserve"> </w:t>
            </w:r>
            <w:r>
              <w:rPr>
                <w:color w:val="auto"/>
                <w:sz w:val="24"/>
                <w:highlight w:val="none"/>
              </w:rPr>
              <w:t>度</w:t>
            </w:r>
            <w:r>
              <w:rPr>
                <w:color w:val="auto"/>
                <w:sz w:val="24"/>
                <w:highlight w:val="none"/>
                <w:u w:val="single"/>
              </w:rPr>
              <w:t xml:space="preserve"> </w:t>
            </w:r>
            <w:r>
              <w:rPr>
                <w:rFonts w:hint="eastAsia"/>
                <w:color w:val="auto"/>
                <w:sz w:val="24"/>
                <w:highlight w:val="none"/>
                <w:u w:val="single"/>
                <w:lang w:val="en-US" w:eastAsia="zh-CN"/>
              </w:rPr>
              <w:t>02</w:t>
            </w:r>
            <w:r>
              <w:rPr>
                <w:color w:val="auto"/>
                <w:sz w:val="24"/>
                <w:highlight w:val="none"/>
                <w:u w:val="single"/>
              </w:rPr>
              <w:t xml:space="preserve"> </w:t>
            </w:r>
            <w:r>
              <w:rPr>
                <w:color w:val="auto"/>
                <w:sz w:val="24"/>
                <w:highlight w:val="none"/>
              </w:rPr>
              <w:t>分</w:t>
            </w:r>
            <w:r>
              <w:rPr>
                <w:color w:val="auto"/>
                <w:sz w:val="24"/>
                <w:highlight w:val="none"/>
                <w:u w:val="single"/>
              </w:rPr>
              <w:t xml:space="preserve"> </w:t>
            </w:r>
            <w:r>
              <w:rPr>
                <w:rFonts w:hint="eastAsia"/>
                <w:color w:val="auto"/>
                <w:sz w:val="24"/>
                <w:highlight w:val="none"/>
                <w:u w:val="single"/>
                <w:lang w:val="en-US" w:eastAsia="zh-CN"/>
              </w:rPr>
              <w:t>38.221</w:t>
            </w:r>
            <w:r>
              <w:rPr>
                <w:color w:val="auto"/>
                <w:sz w:val="24"/>
                <w:highlight w:val="none"/>
                <w:u w:val="single"/>
              </w:rPr>
              <w:t xml:space="preserve"> </w:t>
            </w:r>
            <w:r>
              <w:rPr>
                <w:color w:val="auto"/>
                <w:sz w:val="24"/>
                <w:highlight w:val="none"/>
              </w:rPr>
              <w:t>秒，</w:t>
            </w:r>
            <w:r>
              <w:rPr>
                <w:color w:val="auto"/>
                <w:sz w:val="24"/>
                <w:highlight w:val="none"/>
                <w:u w:val="single"/>
              </w:rPr>
              <w:t xml:space="preserve"> 4</w:t>
            </w:r>
            <w:r>
              <w:rPr>
                <w:rFonts w:hint="eastAsia"/>
                <w:color w:val="auto"/>
                <w:sz w:val="24"/>
                <w:highlight w:val="none"/>
                <w:u w:val="single"/>
                <w:lang w:val="en-US" w:eastAsia="zh-CN"/>
              </w:rPr>
              <w:t>5</w:t>
            </w:r>
            <w:r>
              <w:rPr>
                <w:color w:val="auto"/>
                <w:sz w:val="24"/>
                <w:highlight w:val="none"/>
              </w:rPr>
              <w:t>度</w:t>
            </w:r>
            <w:r>
              <w:rPr>
                <w:color w:val="auto"/>
                <w:sz w:val="24"/>
                <w:highlight w:val="none"/>
                <w:u w:val="single"/>
              </w:rPr>
              <w:t xml:space="preserve"> </w:t>
            </w:r>
            <w:r>
              <w:rPr>
                <w:rFonts w:hint="eastAsia"/>
                <w:color w:val="auto"/>
                <w:sz w:val="24"/>
                <w:highlight w:val="none"/>
                <w:u w:val="single"/>
                <w:lang w:val="en-US" w:eastAsia="zh-CN"/>
              </w:rPr>
              <w:t>21</w:t>
            </w:r>
            <w:r>
              <w:rPr>
                <w:color w:val="auto"/>
                <w:sz w:val="24"/>
                <w:highlight w:val="none"/>
                <w:u w:val="single"/>
              </w:rPr>
              <w:t xml:space="preserve"> </w:t>
            </w:r>
            <w:r>
              <w:rPr>
                <w:color w:val="auto"/>
                <w:sz w:val="24"/>
                <w:highlight w:val="none"/>
              </w:rPr>
              <w:t>分</w:t>
            </w:r>
            <w:r>
              <w:rPr>
                <w:color w:val="auto"/>
                <w:sz w:val="24"/>
                <w:highlight w:val="none"/>
                <w:u w:val="single"/>
              </w:rPr>
              <w:t xml:space="preserve"> </w:t>
            </w:r>
            <w:r>
              <w:rPr>
                <w:rFonts w:hint="eastAsia"/>
                <w:color w:val="auto"/>
                <w:sz w:val="24"/>
                <w:highlight w:val="none"/>
                <w:u w:val="single"/>
                <w:lang w:val="en-US" w:eastAsia="zh-CN"/>
              </w:rPr>
              <w:t>36.475</w:t>
            </w:r>
            <w:r>
              <w:rPr>
                <w:color w:val="auto"/>
                <w:sz w:val="24"/>
                <w:highlight w:val="none"/>
                <w:u w:val="single"/>
              </w:rPr>
              <w:t xml:space="preserve"> </w:t>
            </w:r>
            <w:r>
              <w:rPr>
                <w:color w:val="auto"/>
                <w:sz w:val="24"/>
                <w:highlight w:val="none"/>
              </w:rPr>
              <w:t>秒）</w:t>
            </w:r>
          </w:p>
        </w:tc>
      </w:tr>
      <w:tr w14:paraId="0607F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2038" w:type="dxa"/>
            <w:noWrap w:val="0"/>
            <w:tcMar>
              <w:top w:w="16" w:type="dxa"/>
              <w:left w:w="16" w:type="dxa"/>
              <w:right w:w="16" w:type="dxa"/>
            </w:tcMar>
            <w:vAlign w:val="center"/>
          </w:tcPr>
          <w:p w14:paraId="0381F0F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国民经济</w:t>
            </w:r>
          </w:p>
          <w:p w14:paraId="33A7C7F3">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p>
        </w:tc>
        <w:tc>
          <w:tcPr>
            <w:tcW w:w="2295" w:type="dxa"/>
            <w:noWrap w:val="0"/>
            <w:vAlign w:val="center"/>
          </w:tcPr>
          <w:p w14:paraId="35BBCDFC">
            <w:pPr>
              <w:adjustRightInd w:val="0"/>
              <w:snapToGrid w:val="0"/>
              <w:jc w:val="center"/>
              <w:rPr>
                <w:rFonts w:hint="default" w:ascii="Times New Roman" w:hAnsi="Times New Roman" w:cs="Times New Roman"/>
                <w:color w:val="auto"/>
                <w:sz w:val="24"/>
                <w:szCs w:val="24"/>
                <w:lang w:val="en-US" w:eastAsia="zh-CN"/>
              </w:rPr>
            </w:pPr>
            <w:r>
              <w:rPr>
                <w:rFonts w:hint="eastAsia" w:cs="Times New Roman"/>
                <w:color w:val="auto"/>
                <w:sz w:val="24"/>
                <w:szCs w:val="24"/>
                <w:lang w:val="en-US" w:eastAsia="zh-CN"/>
              </w:rPr>
              <w:t>B06 煤炭开采和洗选业</w:t>
            </w:r>
          </w:p>
          <w:p w14:paraId="719EFD91">
            <w:pPr>
              <w:adjustRightInd w:val="0"/>
              <w:snapToGrid w:val="0"/>
              <w:jc w:val="center"/>
              <w:rPr>
                <w:rFonts w:hint="default" w:ascii="Times New Roman" w:hAnsi="Times New Roman" w:eastAsia="宋体" w:cs="Times New Roman"/>
                <w:color w:val="auto"/>
                <w:sz w:val="24"/>
                <w:szCs w:val="24"/>
                <w:lang w:val="en-US" w:eastAsia="zh-CN"/>
              </w:rPr>
            </w:pPr>
            <w:r>
              <w:rPr>
                <w:rFonts w:hint="eastAsia" w:ascii="Times New Roman" w:hAnsi="Times New Roman" w:cs="Times New Roman"/>
                <w:color w:val="auto"/>
                <w:sz w:val="24"/>
                <w:szCs w:val="24"/>
                <w:lang w:val="en-US" w:eastAsia="zh-CN"/>
              </w:rPr>
              <w:t>D44</w:t>
            </w:r>
            <w:r>
              <w:rPr>
                <w:rFonts w:hint="eastAsia" w:cs="Times New Roman"/>
                <w:color w:val="auto"/>
                <w:sz w:val="24"/>
                <w:szCs w:val="24"/>
                <w:lang w:val="en-US" w:eastAsia="zh-CN"/>
              </w:rPr>
              <w:t>30</w:t>
            </w:r>
            <w:r>
              <w:rPr>
                <w:rFonts w:hint="eastAsia" w:ascii="Times New Roman" w:hAnsi="Times New Roman"/>
                <w:b w:val="0"/>
                <w:color w:val="auto"/>
                <w:sz w:val="24"/>
                <w:szCs w:val="24"/>
              </w:rPr>
              <w:t>热力生产和供应</w:t>
            </w:r>
          </w:p>
        </w:tc>
        <w:tc>
          <w:tcPr>
            <w:tcW w:w="1898" w:type="dxa"/>
            <w:noWrap w:val="0"/>
            <w:vAlign w:val="center"/>
          </w:tcPr>
          <w:p w14:paraId="364D0CA2">
            <w:pPr>
              <w:adjustRightInd w:val="0"/>
              <w:snapToGrid w:val="0"/>
              <w:jc w:val="center"/>
              <w:rPr>
                <w:rFonts w:hint="default" w:ascii="Times New Roman" w:hAnsi="Times New Roman" w:cs="Times New Roman"/>
                <w:color w:val="auto"/>
                <w:sz w:val="24"/>
                <w:szCs w:val="24"/>
              </w:rPr>
            </w:pPr>
            <w:bookmarkStart w:id="1" w:name="_Hlk49843745"/>
            <w:r>
              <w:rPr>
                <w:rFonts w:hint="default" w:ascii="Times New Roman" w:hAnsi="Times New Roman" w:cs="Times New Roman"/>
                <w:color w:val="auto"/>
                <w:sz w:val="24"/>
                <w:szCs w:val="24"/>
              </w:rPr>
              <w:t>建设项目</w:t>
            </w:r>
          </w:p>
          <w:p w14:paraId="7E49BF30">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行业类别</w:t>
            </w:r>
            <w:bookmarkEnd w:id="1"/>
          </w:p>
        </w:tc>
        <w:tc>
          <w:tcPr>
            <w:tcW w:w="2639" w:type="dxa"/>
            <w:noWrap w:val="0"/>
            <w:vAlign w:val="center"/>
          </w:tcPr>
          <w:p w14:paraId="3FDB022E">
            <w:pPr>
              <w:adjustRightInd w:val="0"/>
              <w:snapToGrid w:val="0"/>
              <w:jc w:val="center"/>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四十一、电力、热力生产和供应业</w:t>
            </w:r>
          </w:p>
          <w:p w14:paraId="20CF6CFC">
            <w:pPr>
              <w:adjustRightInd w:val="0"/>
              <w:snapToGrid w:val="0"/>
              <w:jc w:val="center"/>
              <w:rPr>
                <w:rFonts w:hint="default" w:ascii="Times New Roman" w:hAnsi="Times New Roman" w:cs="Times New Roman"/>
                <w:color w:val="auto"/>
                <w:sz w:val="24"/>
                <w:szCs w:val="24"/>
                <w:lang w:val="en-US"/>
              </w:rPr>
            </w:pPr>
            <w:r>
              <w:rPr>
                <w:rFonts w:hint="default" w:ascii="Times New Roman" w:hAnsi="Times New Roman" w:cs="Times New Roman"/>
                <w:color w:val="auto"/>
                <w:sz w:val="24"/>
                <w:szCs w:val="24"/>
                <w:lang w:val="en-US"/>
              </w:rPr>
              <w:t>91热力生产和供应工程</w:t>
            </w:r>
          </w:p>
        </w:tc>
      </w:tr>
      <w:tr w14:paraId="781F81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2038" w:type="dxa"/>
            <w:noWrap w:val="0"/>
            <w:tcMar>
              <w:top w:w="16" w:type="dxa"/>
              <w:left w:w="16" w:type="dxa"/>
              <w:right w:w="16" w:type="dxa"/>
            </w:tcMar>
            <w:vAlign w:val="center"/>
          </w:tcPr>
          <w:p w14:paraId="54C07CE3">
            <w:pPr>
              <w:adjustRightInd w:val="0"/>
              <w:snapToGrid w:val="0"/>
              <w:jc w:val="center"/>
              <w:rPr>
                <w:rFonts w:hint="eastAsia" w:ascii="宋体" w:hAnsi="宋体" w:eastAsia="宋体" w:cs="宋体"/>
                <w:color w:val="auto"/>
                <w:sz w:val="24"/>
                <w:szCs w:val="24"/>
              </w:rPr>
            </w:pPr>
            <w:r>
              <w:rPr>
                <w:rFonts w:hint="eastAsia" w:ascii="宋体" w:hAnsi="宋体" w:eastAsia="宋体" w:cs="宋体"/>
                <w:color w:val="auto"/>
                <w:sz w:val="24"/>
                <w:szCs w:val="24"/>
              </w:rPr>
              <w:t>建设性质</w:t>
            </w:r>
          </w:p>
        </w:tc>
        <w:tc>
          <w:tcPr>
            <w:tcW w:w="2295" w:type="dxa"/>
            <w:noWrap w:val="0"/>
            <w:vAlign w:val="center"/>
          </w:tcPr>
          <w:p w14:paraId="51693CE7">
            <w:pPr>
              <w:jc w:val="left"/>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新建（迁建）</w:t>
            </w:r>
          </w:p>
          <w:p w14:paraId="51BEBF6E">
            <w:pPr>
              <w:jc w:val="left"/>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改建</w:t>
            </w:r>
          </w:p>
          <w:p w14:paraId="7865BA7B">
            <w:pPr>
              <w:jc w:val="left"/>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扩建</w:t>
            </w:r>
          </w:p>
          <w:p w14:paraId="4E2673AE">
            <w:pPr>
              <w:jc w:val="left"/>
              <w:rPr>
                <w:rFonts w:hint="eastAsia" w:ascii="宋体" w:hAnsi="宋体" w:eastAsia="宋体" w:cs="宋体"/>
                <w:color w:val="auto"/>
                <w:sz w:val="24"/>
                <w:szCs w:val="24"/>
              </w:rPr>
            </w:pPr>
            <w:r>
              <w:rPr>
                <w:rFonts w:hint="eastAsia" w:ascii="宋体" w:hAnsi="宋体" w:cs="宋体"/>
                <w:color w:val="auto"/>
                <w:sz w:val="24"/>
                <w:szCs w:val="24"/>
                <w:lang w:eastAsia="zh-CN"/>
              </w:rPr>
              <w:t>□</w:t>
            </w:r>
            <w:r>
              <w:rPr>
                <w:rFonts w:hint="eastAsia" w:ascii="宋体" w:hAnsi="宋体" w:eastAsia="宋体" w:cs="宋体"/>
                <w:color w:val="auto"/>
                <w:sz w:val="24"/>
                <w:szCs w:val="24"/>
              </w:rPr>
              <w:t>技术改造</w:t>
            </w:r>
          </w:p>
        </w:tc>
        <w:tc>
          <w:tcPr>
            <w:tcW w:w="1898" w:type="dxa"/>
            <w:noWrap w:val="0"/>
            <w:vAlign w:val="center"/>
          </w:tcPr>
          <w:p w14:paraId="749BD648">
            <w:pPr>
              <w:adjustRightInd w:val="0"/>
              <w:snapToGrid w:val="0"/>
              <w:jc w:val="center"/>
              <w:rPr>
                <w:rFonts w:hint="eastAsia" w:ascii="宋体" w:hAnsi="宋体" w:eastAsia="宋体" w:cs="宋体"/>
                <w:color w:val="auto"/>
                <w:sz w:val="24"/>
                <w:szCs w:val="24"/>
              </w:rPr>
            </w:pPr>
            <w:r>
              <w:rPr>
                <w:rFonts w:hint="eastAsia" w:ascii="宋体" w:hAnsi="宋体" w:eastAsia="宋体" w:cs="宋体"/>
                <w:color w:val="auto"/>
                <w:sz w:val="24"/>
                <w:szCs w:val="24"/>
              </w:rPr>
              <w:t>建设项目</w:t>
            </w:r>
          </w:p>
          <w:p w14:paraId="1DF1E348">
            <w:pPr>
              <w:adjustRightInd w:val="0"/>
              <w:snapToGrid w:val="0"/>
              <w:jc w:val="center"/>
              <w:rPr>
                <w:rFonts w:hint="eastAsia" w:ascii="宋体" w:hAnsi="宋体" w:eastAsia="宋体" w:cs="宋体"/>
                <w:color w:val="auto"/>
                <w:sz w:val="24"/>
                <w:szCs w:val="24"/>
              </w:rPr>
            </w:pPr>
            <w:r>
              <w:rPr>
                <w:rFonts w:hint="eastAsia" w:ascii="宋体" w:hAnsi="宋体" w:eastAsia="宋体" w:cs="宋体"/>
                <w:color w:val="auto"/>
                <w:sz w:val="24"/>
                <w:szCs w:val="24"/>
              </w:rPr>
              <w:t>申报情形</w:t>
            </w:r>
          </w:p>
        </w:tc>
        <w:tc>
          <w:tcPr>
            <w:tcW w:w="2639" w:type="dxa"/>
            <w:noWrap w:val="0"/>
            <w:vAlign w:val="center"/>
          </w:tcPr>
          <w:p w14:paraId="35C8C897">
            <w:pPr>
              <w:jc w:val="left"/>
              <w:rPr>
                <w:rFonts w:hint="eastAsia" w:ascii="宋体" w:hAnsi="宋体" w:eastAsia="宋体" w:cs="宋体"/>
                <w:color w:val="auto"/>
                <w:sz w:val="24"/>
                <w:szCs w:val="24"/>
              </w:rPr>
            </w:pPr>
            <w:r>
              <w:rPr>
                <w:rFonts w:hint="eastAsia" w:ascii="宋体" w:hAnsi="宋体" w:eastAsia="宋体" w:cs="宋体"/>
                <w:color w:val="auto"/>
                <w:sz w:val="24"/>
                <w:szCs w:val="24"/>
                <w:lang w:eastAsia="zh-CN"/>
              </w:rPr>
              <w:t>☑</w:t>
            </w:r>
            <w:r>
              <w:rPr>
                <w:rFonts w:hint="eastAsia" w:ascii="宋体" w:hAnsi="宋体" w:eastAsia="宋体" w:cs="宋体"/>
                <w:color w:val="auto"/>
                <w:sz w:val="24"/>
                <w:szCs w:val="24"/>
              </w:rPr>
              <w:t xml:space="preserve">首次申报项目             </w:t>
            </w:r>
          </w:p>
          <w:p w14:paraId="72FDC4FD">
            <w:pPr>
              <w:jc w:val="left"/>
              <w:rPr>
                <w:rFonts w:hint="eastAsia" w:ascii="宋体" w:hAnsi="宋体" w:eastAsia="宋体" w:cs="宋体"/>
                <w:color w:val="auto"/>
                <w:sz w:val="24"/>
                <w:szCs w:val="24"/>
              </w:rPr>
            </w:pPr>
            <w:r>
              <w:rPr>
                <w:rFonts w:hint="eastAsia" w:ascii="宋体" w:hAnsi="宋体" w:eastAsia="宋体" w:cs="宋体"/>
                <w:color w:val="auto"/>
                <w:sz w:val="24"/>
                <w:szCs w:val="24"/>
              </w:rPr>
              <w:t>□不予批准后再次申报项目</w:t>
            </w:r>
          </w:p>
          <w:p w14:paraId="55C41518">
            <w:pPr>
              <w:jc w:val="left"/>
              <w:rPr>
                <w:rFonts w:hint="eastAsia" w:ascii="宋体" w:hAnsi="宋体" w:eastAsia="宋体" w:cs="宋体"/>
                <w:color w:val="auto"/>
                <w:sz w:val="24"/>
                <w:szCs w:val="24"/>
              </w:rPr>
            </w:pPr>
            <w:r>
              <w:rPr>
                <w:rFonts w:hint="eastAsia" w:ascii="宋体" w:hAnsi="宋体" w:eastAsia="宋体" w:cs="宋体"/>
                <w:color w:val="auto"/>
                <w:sz w:val="24"/>
                <w:szCs w:val="24"/>
              </w:rPr>
              <w:t xml:space="preserve">□超五年重新审核项目     </w:t>
            </w:r>
          </w:p>
          <w:p w14:paraId="4398DF23">
            <w:pPr>
              <w:jc w:val="left"/>
              <w:rPr>
                <w:rFonts w:hint="eastAsia" w:ascii="宋体" w:hAnsi="宋体" w:eastAsia="宋体" w:cs="宋体"/>
                <w:color w:val="auto"/>
                <w:sz w:val="24"/>
                <w:szCs w:val="24"/>
              </w:rPr>
            </w:pPr>
            <w:r>
              <w:rPr>
                <w:rFonts w:hint="eastAsia" w:ascii="宋体" w:hAnsi="宋体" w:eastAsia="宋体" w:cs="宋体"/>
                <w:color w:val="auto"/>
                <w:sz w:val="24"/>
                <w:szCs w:val="24"/>
              </w:rPr>
              <w:t>□重大变动重新报批项目</w:t>
            </w:r>
          </w:p>
        </w:tc>
      </w:tr>
      <w:tr w14:paraId="4F5BFEF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2038" w:type="dxa"/>
            <w:noWrap w:val="0"/>
            <w:tcMar>
              <w:top w:w="16" w:type="dxa"/>
              <w:left w:w="16" w:type="dxa"/>
              <w:right w:w="16" w:type="dxa"/>
            </w:tcMar>
            <w:vAlign w:val="center"/>
          </w:tcPr>
          <w:p w14:paraId="234F79E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项目审批（核准/</w:t>
            </w:r>
          </w:p>
          <w:p w14:paraId="2062573B">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备案）部门（选填）</w:t>
            </w:r>
          </w:p>
        </w:tc>
        <w:tc>
          <w:tcPr>
            <w:tcW w:w="2295" w:type="dxa"/>
            <w:noWrap w:val="0"/>
            <w:vAlign w:val="center"/>
          </w:tcPr>
          <w:p w14:paraId="170AA658">
            <w:pPr>
              <w:adjustRightInd w:val="0"/>
              <w:snapToGrid w:val="0"/>
              <w:jc w:val="center"/>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c>
          <w:tcPr>
            <w:tcW w:w="1898" w:type="dxa"/>
            <w:noWrap w:val="0"/>
            <w:vAlign w:val="center"/>
          </w:tcPr>
          <w:p w14:paraId="2D317A8F">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项目审批（核准/</w:t>
            </w:r>
          </w:p>
          <w:p w14:paraId="6B207CC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备案）文号（选填）</w:t>
            </w:r>
          </w:p>
        </w:tc>
        <w:tc>
          <w:tcPr>
            <w:tcW w:w="2639" w:type="dxa"/>
            <w:noWrap w:val="0"/>
            <w:vAlign w:val="center"/>
          </w:tcPr>
          <w:p w14:paraId="4E80BF63">
            <w:pPr>
              <w:adjustRightInd w:val="0"/>
              <w:snapToGrid w:val="0"/>
              <w:jc w:val="center"/>
              <w:rPr>
                <w:rFonts w:hint="eastAsia"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w:t>
            </w:r>
          </w:p>
        </w:tc>
      </w:tr>
      <w:tr w14:paraId="3110F4B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1F0E3232">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总投资（万元）</w:t>
            </w:r>
          </w:p>
        </w:tc>
        <w:tc>
          <w:tcPr>
            <w:tcW w:w="2295" w:type="dxa"/>
            <w:noWrap w:val="0"/>
            <w:vAlign w:val="center"/>
          </w:tcPr>
          <w:p w14:paraId="7C18E3F4">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42</w:t>
            </w:r>
          </w:p>
        </w:tc>
        <w:tc>
          <w:tcPr>
            <w:tcW w:w="1898" w:type="dxa"/>
            <w:noWrap w:val="0"/>
            <w:tcMar>
              <w:top w:w="16" w:type="dxa"/>
              <w:left w:w="16" w:type="dxa"/>
              <w:right w:w="16" w:type="dxa"/>
            </w:tcMar>
            <w:vAlign w:val="center"/>
          </w:tcPr>
          <w:p w14:paraId="5F547996">
            <w:pPr>
              <w:adjustRightInd w:val="0"/>
              <w:snapToGrid w:val="0"/>
              <w:jc w:val="center"/>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highlight w:val="none"/>
              </w:rPr>
              <w:t>环保投资（万元）</w:t>
            </w:r>
          </w:p>
        </w:tc>
        <w:tc>
          <w:tcPr>
            <w:tcW w:w="2639" w:type="dxa"/>
            <w:noWrap w:val="0"/>
            <w:vAlign w:val="center"/>
          </w:tcPr>
          <w:p w14:paraId="2166F998">
            <w:pPr>
              <w:adjustRightInd w:val="0"/>
              <w:snapToGrid w:val="0"/>
              <w:jc w:val="center"/>
              <w:rPr>
                <w:rFonts w:hint="default" w:ascii="Times New Roman" w:hAnsi="Times New Roman" w:eastAsia="宋体" w:cs="Times New Roman"/>
                <w:color w:val="auto"/>
                <w:sz w:val="24"/>
                <w:szCs w:val="24"/>
                <w:highlight w:val="yellow"/>
                <w:lang w:val="en-US" w:eastAsia="zh-CN"/>
              </w:rPr>
            </w:pPr>
            <w:r>
              <w:rPr>
                <w:rFonts w:hint="eastAsia" w:cs="Times New Roman"/>
                <w:color w:val="auto"/>
                <w:sz w:val="24"/>
                <w:szCs w:val="24"/>
                <w:highlight w:val="none"/>
                <w:lang w:val="en-US" w:eastAsia="zh-CN"/>
              </w:rPr>
              <w:t>5</w:t>
            </w:r>
          </w:p>
        </w:tc>
      </w:tr>
      <w:tr w14:paraId="7F19C7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2038" w:type="dxa"/>
            <w:noWrap w:val="0"/>
            <w:tcMar>
              <w:top w:w="16" w:type="dxa"/>
              <w:left w:w="16" w:type="dxa"/>
              <w:right w:w="16" w:type="dxa"/>
            </w:tcMar>
            <w:vAlign w:val="center"/>
          </w:tcPr>
          <w:p w14:paraId="66532240">
            <w:pPr>
              <w:adjustRightInd w:val="0"/>
              <w:snapToGrid w:val="0"/>
              <w:jc w:val="center"/>
              <w:rPr>
                <w:rFonts w:hint="default" w:ascii="Times New Roman" w:hAnsi="Times New Roman" w:cs="Times New Roman"/>
                <w:color w:val="auto"/>
                <w:sz w:val="24"/>
                <w:szCs w:val="24"/>
                <w:highlight w:val="yellow"/>
              </w:rPr>
            </w:pPr>
            <w:r>
              <w:rPr>
                <w:rFonts w:hint="default" w:ascii="Times New Roman" w:hAnsi="Times New Roman" w:cs="Times New Roman"/>
                <w:color w:val="auto"/>
                <w:sz w:val="24"/>
                <w:szCs w:val="24"/>
                <w:highlight w:val="none"/>
              </w:rPr>
              <w:t>环保投资占比（%）</w:t>
            </w:r>
          </w:p>
        </w:tc>
        <w:tc>
          <w:tcPr>
            <w:tcW w:w="2295" w:type="dxa"/>
            <w:noWrap w:val="0"/>
            <w:vAlign w:val="center"/>
          </w:tcPr>
          <w:p w14:paraId="47F07F16">
            <w:pPr>
              <w:adjustRightInd w:val="0"/>
              <w:snapToGrid w:val="0"/>
              <w:jc w:val="center"/>
              <w:rPr>
                <w:rFonts w:hint="default" w:ascii="Times New Roman" w:hAnsi="Times New Roman" w:eastAsia="宋体" w:cs="Times New Roman"/>
                <w:color w:val="auto"/>
                <w:sz w:val="24"/>
                <w:szCs w:val="24"/>
                <w:highlight w:val="yellow"/>
                <w:lang w:val="en-US" w:eastAsia="zh-CN"/>
              </w:rPr>
            </w:pPr>
            <w:r>
              <w:rPr>
                <w:rFonts w:hint="eastAsia" w:cs="Times New Roman"/>
                <w:color w:val="auto"/>
                <w:sz w:val="24"/>
                <w:szCs w:val="24"/>
                <w:highlight w:val="none"/>
                <w:lang w:val="en-US" w:eastAsia="zh-CN"/>
              </w:rPr>
              <w:t>11.90</w:t>
            </w:r>
          </w:p>
        </w:tc>
        <w:tc>
          <w:tcPr>
            <w:tcW w:w="1898" w:type="dxa"/>
            <w:noWrap w:val="0"/>
            <w:tcMar>
              <w:top w:w="16" w:type="dxa"/>
              <w:left w:w="16" w:type="dxa"/>
              <w:right w:w="16" w:type="dxa"/>
            </w:tcMar>
            <w:vAlign w:val="center"/>
          </w:tcPr>
          <w:p w14:paraId="364C8137">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施工工期</w:t>
            </w:r>
          </w:p>
        </w:tc>
        <w:tc>
          <w:tcPr>
            <w:tcW w:w="2639" w:type="dxa"/>
            <w:noWrap w:val="0"/>
            <w:vAlign w:val="center"/>
          </w:tcPr>
          <w:p w14:paraId="4D8757A2">
            <w:pPr>
              <w:adjustRightInd w:val="0"/>
              <w:snapToGrid w:val="0"/>
              <w:jc w:val="center"/>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val="en-US" w:eastAsia="zh-CN"/>
              </w:rPr>
              <w:t>26.7.1-9.1</w:t>
            </w:r>
          </w:p>
        </w:tc>
      </w:tr>
      <w:tr w14:paraId="510F910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90" w:hRule="atLeast"/>
          <w:jc w:val="center"/>
        </w:trPr>
        <w:tc>
          <w:tcPr>
            <w:tcW w:w="2038" w:type="dxa"/>
            <w:noWrap w:val="0"/>
            <w:tcMar>
              <w:top w:w="16" w:type="dxa"/>
              <w:left w:w="16" w:type="dxa"/>
              <w:right w:w="16" w:type="dxa"/>
            </w:tcMar>
            <w:vAlign w:val="center"/>
          </w:tcPr>
          <w:p w14:paraId="24B55B3F">
            <w:pPr>
              <w:adjustRightInd w:val="0"/>
              <w:snapToGrid w:val="0"/>
              <w:jc w:val="center"/>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是否开工建设</w:t>
            </w:r>
          </w:p>
        </w:tc>
        <w:tc>
          <w:tcPr>
            <w:tcW w:w="2295" w:type="dxa"/>
            <w:noWrap w:val="0"/>
            <w:vAlign w:val="center"/>
          </w:tcPr>
          <w:p w14:paraId="0B8302F0">
            <w:pPr>
              <w:adjustRightInd w:val="0"/>
              <w:snapToGrid w:val="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否</w:t>
            </w:r>
          </w:p>
          <w:p w14:paraId="77F93760">
            <w:pPr>
              <w:adjustRightInd w:val="0"/>
              <w:snapToGrid w:val="0"/>
              <w:rPr>
                <w:rFonts w:hint="default" w:ascii="Times New Roman" w:hAnsi="Times New Roman" w:cs="Times New Roman"/>
                <w:color w:val="auto"/>
                <w:sz w:val="24"/>
                <w:szCs w:val="24"/>
                <w:highlight w:val="none"/>
              </w:rPr>
            </w:pP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rPr>
              <w:t>是：</w:t>
            </w:r>
            <w:r>
              <w:rPr>
                <w:rFonts w:hint="eastAsia" w:ascii="宋体" w:hAnsi="宋体" w:cs="宋体"/>
                <w:color w:val="auto"/>
                <w:sz w:val="24"/>
                <w:szCs w:val="24"/>
                <w:highlight w:val="none"/>
                <w:u w:val="single"/>
              </w:rPr>
              <w:t xml:space="preserve">        </w:t>
            </w:r>
          </w:p>
        </w:tc>
        <w:tc>
          <w:tcPr>
            <w:tcW w:w="1898" w:type="dxa"/>
            <w:noWrap w:val="0"/>
            <w:tcMar>
              <w:top w:w="16" w:type="dxa"/>
              <w:left w:w="16" w:type="dxa"/>
              <w:right w:w="16" w:type="dxa"/>
            </w:tcMar>
            <w:vAlign w:val="center"/>
          </w:tcPr>
          <w:p w14:paraId="426A345F">
            <w:pPr>
              <w:adjustRightInd w:val="0"/>
              <w:snapToGrid w:val="0"/>
              <w:jc w:val="center"/>
              <w:rPr>
                <w:rFonts w:hint="default" w:ascii="Times New Roman" w:hAnsi="Times New Roman" w:cs="Times New Roman"/>
                <w:color w:val="auto"/>
                <w:spacing w:val="-6"/>
                <w:sz w:val="24"/>
                <w:szCs w:val="24"/>
              </w:rPr>
            </w:pPr>
            <w:r>
              <w:rPr>
                <w:rFonts w:hint="default" w:ascii="Times New Roman" w:hAnsi="Times New Roman" w:cs="Times New Roman"/>
                <w:color w:val="auto"/>
                <w:spacing w:val="-6"/>
                <w:sz w:val="24"/>
                <w:szCs w:val="24"/>
              </w:rPr>
              <w:t>用地（用海）</w:t>
            </w:r>
          </w:p>
          <w:p w14:paraId="7C874B3A">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pacing w:val="-6"/>
                <w:sz w:val="24"/>
                <w:szCs w:val="24"/>
              </w:rPr>
              <w:t>面积（m</w:t>
            </w:r>
            <w:r>
              <w:rPr>
                <w:rFonts w:hint="default" w:ascii="Times New Roman" w:hAnsi="Times New Roman" w:cs="Times New Roman"/>
                <w:color w:val="auto"/>
                <w:spacing w:val="-6"/>
                <w:sz w:val="24"/>
                <w:szCs w:val="24"/>
                <w:vertAlign w:val="superscript"/>
              </w:rPr>
              <w:t>2</w:t>
            </w:r>
            <w:r>
              <w:rPr>
                <w:rFonts w:hint="default" w:ascii="Times New Roman" w:hAnsi="Times New Roman" w:cs="Times New Roman"/>
                <w:color w:val="auto"/>
                <w:spacing w:val="-6"/>
                <w:sz w:val="24"/>
                <w:szCs w:val="24"/>
              </w:rPr>
              <w:t>）</w:t>
            </w:r>
          </w:p>
        </w:tc>
        <w:tc>
          <w:tcPr>
            <w:tcW w:w="2639" w:type="dxa"/>
            <w:noWrap w:val="0"/>
            <w:vAlign w:val="center"/>
          </w:tcPr>
          <w:p w14:paraId="467F8E46">
            <w:pPr>
              <w:adjustRightInd w:val="0"/>
              <w:snapToGrid w:val="0"/>
              <w:jc w:val="center"/>
              <w:rPr>
                <w:rFonts w:hint="eastAsia" w:ascii="Times New Roman" w:hAnsi="Times New Roman" w:eastAsia="宋体" w:cs="Times New Roman"/>
                <w:color w:val="auto"/>
                <w:sz w:val="24"/>
                <w:szCs w:val="24"/>
                <w:lang w:val="en-US" w:eastAsia="zh-CN"/>
              </w:rPr>
            </w:pPr>
            <w:r>
              <w:rPr>
                <w:rFonts w:hint="eastAsia" w:eastAsia="仿宋_GB2312"/>
                <w:color w:val="auto"/>
                <w:sz w:val="24"/>
                <w:highlight w:val="none"/>
                <w:lang w:val="en-US" w:eastAsia="zh-CN"/>
              </w:rPr>
              <w:t>0</w:t>
            </w:r>
          </w:p>
        </w:tc>
      </w:tr>
      <w:tr w14:paraId="3D1DD2F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38" w:type="dxa"/>
            <w:noWrap w:val="0"/>
            <w:vAlign w:val="center"/>
          </w:tcPr>
          <w:p w14:paraId="16EBB5FD">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专项评价设置情况</w:t>
            </w:r>
          </w:p>
        </w:tc>
        <w:tc>
          <w:tcPr>
            <w:tcW w:w="6832" w:type="dxa"/>
            <w:gridSpan w:val="3"/>
            <w:noWrap w:val="0"/>
            <w:vAlign w:val="center"/>
          </w:tcPr>
          <w:tbl>
            <w:tblPr>
              <w:tblStyle w:val="31"/>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10"/>
              <w:gridCol w:w="1510"/>
              <w:gridCol w:w="1510"/>
              <w:gridCol w:w="1510"/>
            </w:tblGrid>
            <w:tr w14:paraId="27BDF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510" w:type="dxa"/>
                  <w:vAlign w:val="center"/>
                </w:tcPr>
                <w:p w14:paraId="1EA85756">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专项评价的类别</w:t>
                  </w:r>
                </w:p>
              </w:tc>
              <w:tc>
                <w:tcPr>
                  <w:tcW w:w="1510" w:type="dxa"/>
                  <w:vAlign w:val="center"/>
                </w:tcPr>
                <w:p w14:paraId="22B0C0D9">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设置原则</w:t>
                  </w:r>
                </w:p>
              </w:tc>
              <w:tc>
                <w:tcPr>
                  <w:tcW w:w="1510" w:type="dxa"/>
                  <w:vAlign w:val="center"/>
                </w:tcPr>
                <w:p w14:paraId="0D64285B">
                  <w:pPr>
                    <w:pStyle w:val="24"/>
                    <w:ind w:left="0" w:leftChars="0"/>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szCs w:val="21"/>
                      <w:highlight w:val="none"/>
                    </w:rPr>
                    <w:t>本项目情况</w:t>
                  </w:r>
                </w:p>
              </w:tc>
              <w:tc>
                <w:tcPr>
                  <w:tcW w:w="1510" w:type="dxa"/>
                  <w:vAlign w:val="center"/>
                </w:tcPr>
                <w:p w14:paraId="41BF73AF">
                  <w:pPr>
                    <w:pStyle w:val="24"/>
                    <w:ind w:left="0" w:leftChars="0"/>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highlight w:val="none"/>
                    </w:rPr>
                    <w:t>是否设置专项评价</w:t>
                  </w:r>
                </w:p>
              </w:tc>
            </w:tr>
            <w:tr w14:paraId="17977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510" w:type="dxa"/>
                  <w:vAlign w:val="center"/>
                </w:tcPr>
                <w:p w14:paraId="22919C9D">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大气</w:t>
                  </w:r>
                </w:p>
              </w:tc>
              <w:tc>
                <w:tcPr>
                  <w:tcW w:w="1510" w:type="dxa"/>
                  <w:vAlign w:val="center"/>
                </w:tcPr>
                <w:p w14:paraId="10413B68">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排放废气含有毒有害污染物、二噁英、苯并[</w:t>
                  </w:r>
                  <w:r>
                    <w:rPr>
                      <w:rFonts w:hint="default" w:ascii="Times New Roman" w:hAnsi="Times New Roman" w:eastAsia="宋体" w:cs="Times New Roman"/>
                      <w:i/>
                      <w:iCs/>
                      <w:color w:val="auto"/>
                      <w:kern w:val="0"/>
                      <w:szCs w:val="21"/>
                      <w:highlight w:val="none"/>
                      <w:lang w:bidi="ar"/>
                    </w:rPr>
                    <w:t>a</w:t>
                  </w:r>
                  <w:r>
                    <w:rPr>
                      <w:rFonts w:hint="default" w:ascii="Times New Roman" w:hAnsi="Times New Roman" w:eastAsia="宋体" w:cs="Times New Roman"/>
                      <w:color w:val="auto"/>
                      <w:kern w:val="0"/>
                      <w:szCs w:val="21"/>
                      <w:highlight w:val="none"/>
                      <w:lang w:bidi="ar"/>
                    </w:rPr>
                    <w:t>]芘、氰化物、氯气且厂界外500米范围内有环境空气保护目标的建设项目</w:t>
                  </w:r>
                </w:p>
              </w:tc>
              <w:tc>
                <w:tcPr>
                  <w:tcW w:w="1510" w:type="dxa"/>
                  <w:vAlign w:val="center"/>
                </w:tcPr>
                <w:p w14:paraId="455190AB">
                  <w:pPr>
                    <w:pStyle w:val="2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 w:val="21"/>
                      <w:szCs w:val="21"/>
                      <w:highlight w:val="none"/>
                      <w:lang w:val="en-US" w:eastAsia="zh-CN" w:bidi="ar"/>
                    </w:rPr>
                    <w:t>本项目排放废气中不含有毒有害污染物、二噁英、苯并[a]芘、氰化物、氯气。</w:t>
                  </w:r>
                </w:p>
              </w:tc>
              <w:tc>
                <w:tcPr>
                  <w:tcW w:w="1510" w:type="dxa"/>
                  <w:vAlign w:val="center"/>
                </w:tcPr>
                <w:p w14:paraId="6F0AEA08">
                  <w:pPr>
                    <w:pStyle w:val="24"/>
                    <w:ind w:left="0" w:leftChars="0"/>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cs="Times New Roman"/>
                      <w:color w:val="auto"/>
                      <w:szCs w:val="21"/>
                      <w:highlight w:val="none"/>
                      <w:lang w:val="en-US" w:eastAsia="zh-CN"/>
                    </w:rPr>
                    <w:t>否</w:t>
                  </w:r>
                </w:p>
              </w:tc>
            </w:tr>
            <w:tr w14:paraId="2BC4FF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5" w:hRule="atLeast"/>
              </w:trPr>
              <w:tc>
                <w:tcPr>
                  <w:tcW w:w="1510" w:type="dxa"/>
                  <w:vAlign w:val="center"/>
                </w:tcPr>
                <w:p w14:paraId="6F766727">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地表水</w:t>
                  </w:r>
                </w:p>
              </w:tc>
              <w:tc>
                <w:tcPr>
                  <w:tcW w:w="1510" w:type="dxa"/>
                  <w:vAlign w:val="center"/>
                </w:tcPr>
                <w:p w14:paraId="1752F808">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新增工业废水直排建设项目（槽罐车外送污水处理厂的除外）；新增废水直排</w:t>
                  </w:r>
                  <w:r>
                    <w:rPr>
                      <w:rFonts w:hint="default" w:ascii="Times New Roman" w:hAnsi="Times New Roman" w:eastAsia="宋体" w:cs="Times New Roman"/>
                      <w:color w:val="auto"/>
                      <w:kern w:val="0"/>
                      <w:szCs w:val="21"/>
                      <w:highlight w:val="none"/>
                      <w:u w:val="none"/>
                      <w:lang w:bidi="ar"/>
                    </w:rPr>
                    <w:t>的</w:t>
                  </w:r>
                  <w:r>
                    <w:rPr>
                      <w:rFonts w:hint="default" w:ascii="Times New Roman" w:hAnsi="Times New Roman" w:eastAsia="宋体" w:cs="Times New Roman"/>
                      <w:color w:val="auto"/>
                      <w:kern w:val="0"/>
                      <w:szCs w:val="21"/>
                      <w:highlight w:val="none"/>
                      <w:lang w:bidi="ar"/>
                    </w:rPr>
                    <w:t>污水集中处理厂。</w:t>
                  </w:r>
                </w:p>
              </w:tc>
              <w:tc>
                <w:tcPr>
                  <w:tcW w:w="1510" w:type="dxa"/>
                  <w:vAlign w:val="center"/>
                </w:tcPr>
                <w:p w14:paraId="5F8BD956">
                  <w:pPr>
                    <w:pStyle w:val="24"/>
                    <w:keepNext w:val="0"/>
                    <w:keepLines w:val="0"/>
                    <w:suppressLineNumbers w:val="0"/>
                    <w:spacing w:before="0" w:beforeAutospacing="0" w:after="0" w:afterAutospacing="0"/>
                    <w:ind w:left="0" w:leftChars="0" w:right="0" w:rightChars="0"/>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 w:val="21"/>
                      <w:szCs w:val="21"/>
                      <w:highlight w:val="none"/>
                      <w:lang w:val="en-US" w:eastAsia="zh-CN" w:bidi="ar"/>
                    </w:rPr>
                    <w:t>本项目不属于新增工业废水直排建设项目，也不属于新增废水直排的污水集中处理厂。</w:t>
                  </w:r>
                </w:p>
              </w:tc>
              <w:tc>
                <w:tcPr>
                  <w:tcW w:w="1510" w:type="dxa"/>
                  <w:vAlign w:val="center"/>
                </w:tcPr>
                <w:p w14:paraId="2EE4C483">
                  <w:pPr>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szCs w:val="21"/>
                      <w:highlight w:val="none"/>
                    </w:rPr>
                    <w:t>否</w:t>
                  </w:r>
                </w:p>
              </w:tc>
            </w:tr>
            <w:tr w14:paraId="487F4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510" w:type="dxa"/>
                  <w:vAlign w:val="center"/>
                </w:tcPr>
                <w:p w14:paraId="7C7B8FC7">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环境风险</w:t>
                  </w:r>
                </w:p>
              </w:tc>
              <w:tc>
                <w:tcPr>
                  <w:tcW w:w="1510" w:type="dxa"/>
                  <w:vAlign w:val="center"/>
                </w:tcPr>
                <w:p w14:paraId="18298931">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有毒有害和易燃易爆危险物质存储量超过临界量的建设项目</w:t>
                  </w:r>
                </w:p>
              </w:tc>
              <w:tc>
                <w:tcPr>
                  <w:tcW w:w="1510" w:type="dxa"/>
                  <w:vAlign w:val="center"/>
                </w:tcPr>
                <w:p w14:paraId="25B16558">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 w:val="21"/>
                      <w:szCs w:val="21"/>
                      <w:highlight w:val="none"/>
                      <w:lang w:val="en-US" w:eastAsia="zh-CN" w:bidi="ar"/>
                    </w:rPr>
                    <w:t>本项目不涉及环境风险物质</w:t>
                  </w:r>
                </w:p>
              </w:tc>
              <w:tc>
                <w:tcPr>
                  <w:tcW w:w="1510" w:type="dxa"/>
                  <w:vAlign w:val="center"/>
                </w:tcPr>
                <w:p w14:paraId="519ABE55">
                  <w:pPr>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szCs w:val="21"/>
                      <w:highlight w:val="none"/>
                    </w:rPr>
                    <w:t>否</w:t>
                  </w:r>
                </w:p>
              </w:tc>
            </w:tr>
            <w:tr w14:paraId="37D8D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510" w:type="dxa"/>
                  <w:vAlign w:val="center"/>
                </w:tcPr>
                <w:p w14:paraId="41220783">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生态</w:t>
                  </w:r>
                </w:p>
              </w:tc>
              <w:tc>
                <w:tcPr>
                  <w:tcW w:w="1510" w:type="dxa"/>
                  <w:vAlign w:val="center"/>
                </w:tcPr>
                <w:p w14:paraId="7297B6A0">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取水口下游500米范围内有重要水生生物的自然产卵场、索饵场、越冬场和洄游通道的新增河道取水的污染类建设项目</w:t>
                  </w:r>
                </w:p>
              </w:tc>
              <w:tc>
                <w:tcPr>
                  <w:tcW w:w="1510" w:type="dxa"/>
                  <w:vAlign w:val="center"/>
                </w:tcPr>
                <w:p w14:paraId="52B7619D">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 w:val="21"/>
                      <w:szCs w:val="21"/>
                      <w:highlight w:val="none"/>
                      <w:lang w:val="en-US" w:eastAsia="zh-CN" w:bidi="ar"/>
                    </w:rPr>
                    <w:t>本项目供水由市政管网提供，不属于取水口下游500米范围内有重要水生生物的自然产卵场、索饵场、越冬场和洄游通道的新增河道取水的污染类建设项目。</w:t>
                  </w:r>
                </w:p>
              </w:tc>
              <w:tc>
                <w:tcPr>
                  <w:tcW w:w="1510" w:type="dxa"/>
                  <w:vAlign w:val="center"/>
                </w:tcPr>
                <w:p w14:paraId="1BDBDC24">
                  <w:pPr>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szCs w:val="21"/>
                      <w:highlight w:val="none"/>
                    </w:rPr>
                    <w:t>否</w:t>
                  </w:r>
                </w:p>
              </w:tc>
            </w:tr>
            <w:tr w14:paraId="3B27BC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1510" w:type="dxa"/>
                  <w:vAlign w:val="center"/>
                </w:tcPr>
                <w:p w14:paraId="652C568E">
                  <w:pPr>
                    <w:widowControl/>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海洋</w:t>
                  </w:r>
                </w:p>
              </w:tc>
              <w:tc>
                <w:tcPr>
                  <w:tcW w:w="1510" w:type="dxa"/>
                  <w:vAlign w:val="center"/>
                </w:tcPr>
                <w:p w14:paraId="68B2F2DE">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Cs w:val="21"/>
                      <w:highlight w:val="none"/>
                      <w:lang w:bidi="ar"/>
                    </w:rPr>
                    <w:t>直接向海排放污染物的海洋工程建设项目</w:t>
                  </w:r>
                </w:p>
              </w:tc>
              <w:tc>
                <w:tcPr>
                  <w:tcW w:w="1510" w:type="dxa"/>
                  <w:vAlign w:val="center"/>
                </w:tcPr>
                <w:p w14:paraId="2CDAF08F">
                  <w:pPr>
                    <w:widowControl/>
                    <w:jc w:val="left"/>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kern w:val="0"/>
                      <w:sz w:val="21"/>
                      <w:szCs w:val="21"/>
                      <w:highlight w:val="none"/>
                      <w:lang w:val="en-US" w:eastAsia="zh-CN" w:bidi="ar"/>
                    </w:rPr>
                    <w:t>本项目不涉及海洋</w:t>
                  </w:r>
                </w:p>
              </w:tc>
              <w:tc>
                <w:tcPr>
                  <w:tcW w:w="1510" w:type="dxa"/>
                  <w:vAlign w:val="center"/>
                </w:tcPr>
                <w:p w14:paraId="0297425B">
                  <w:pPr>
                    <w:jc w:val="center"/>
                    <w:rPr>
                      <w:rFonts w:hint="default" w:ascii="Times New Roman" w:hAnsi="Times New Roman" w:eastAsia="宋体" w:cs="Times New Roman"/>
                      <w:color w:val="auto"/>
                      <w:kern w:val="0"/>
                      <w:sz w:val="24"/>
                      <w:szCs w:val="24"/>
                      <w:vertAlign w:val="baseline"/>
                      <w:lang w:eastAsia="zh-CN"/>
                    </w:rPr>
                  </w:pPr>
                  <w:r>
                    <w:rPr>
                      <w:rFonts w:hint="default" w:ascii="Times New Roman" w:hAnsi="Times New Roman" w:eastAsia="宋体" w:cs="Times New Roman"/>
                      <w:color w:val="auto"/>
                      <w:szCs w:val="21"/>
                      <w:highlight w:val="none"/>
                    </w:rPr>
                    <w:t>否</w:t>
                  </w:r>
                </w:p>
              </w:tc>
            </w:tr>
          </w:tbl>
          <w:p w14:paraId="50F7650E">
            <w:pPr>
              <w:autoSpaceDE w:val="0"/>
              <w:autoSpaceDN w:val="0"/>
              <w:adjustRightInd w:val="0"/>
              <w:snapToGrid w:val="0"/>
              <w:jc w:val="center"/>
              <w:rPr>
                <w:rFonts w:hint="default" w:ascii="Times New Roman" w:hAnsi="Times New Roman" w:eastAsia="宋体" w:cs="Times New Roman"/>
                <w:color w:val="auto"/>
                <w:kern w:val="0"/>
                <w:sz w:val="24"/>
                <w:szCs w:val="24"/>
                <w:lang w:eastAsia="zh-CN"/>
              </w:rPr>
            </w:pPr>
          </w:p>
        </w:tc>
      </w:tr>
      <w:tr w14:paraId="4FA4A4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06" w:hRule="atLeast"/>
          <w:jc w:val="center"/>
        </w:trPr>
        <w:tc>
          <w:tcPr>
            <w:tcW w:w="2038" w:type="dxa"/>
            <w:noWrap w:val="0"/>
            <w:vAlign w:val="center"/>
          </w:tcPr>
          <w:p w14:paraId="2D5E91EA">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highlight w:val="none"/>
              </w:rPr>
              <w:t>规划情况</w:t>
            </w:r>
          </w:p>
        </w:tc>
        <w:tc>
          <w:tcPr>
            <w:tcW w:w="6832" w:type="dxa"/>
            <w:gridSpan w:val="3"/>
            <w:noWrap w:val="0"/>
            <w:vAlign w:val="center"/>
          </w:tcPr>
          <w:p w14:paraId="3046ADBF">
            <w:pPr>
              <w:jc w:val="center"/>
              <w:rPr>
                <w:rFonts w:hint="default"/>
                <w:color w:val="auto"/>
                <w:lang w:val="en-US" w:eastAsia="zh-CN"/>
              </w:rPr>
            </w:pPr>
            <w:r>
              <w:rPr>
                <w:rFonts w:hint="default" w:ascii="Times New Roman" w:hAnsi="Times New Roman" w:cs="Times New Roman"/>
                <w:color w:val="auto"/>
                <w:kern w:val="0"/>
                <w:sz w:val="24"/>
                <w:szCs w:val="24"/>
                <w:lang w:eastAsia="zh-CN"/>
              </w:rPr>
              <w:t>无</w:t>
            </w:r>
          </w:p>
        </w:tc>
      </w:tr>
      <w:tr w14:paraId="4964009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38" w:type="dxa"/>
            <w:noWrap w:val="0"/>
            <w:vAlign w:val="center"/>
          </w:tcPr>
          <w:p w14:paraId="592ECF9C">
            <w:pPr>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sz w:val="24"/>
                <w:szCs w:val="24"/>
              </w:rPr>
              <w:t>规划环境影响</w:t>
            </w:r>
          </w:p>
          <w:p w14:paraId="3AED8318">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sz w:val="24"/>
                <w:szCs w:val="24"/>
              </w:rPr>
              <w:t>评价情况</w:t>
            </w:r>
          </w:p>
        </w:tc>
        <w:tc>
          <w:tcPr>
            <w:tcW w:w="6832" w:type="dxa"/>
            <w:gridSpan w:val="3"/>
            <w:noWrap w:val="0"/>
            <w:vAlign w:val="center"/>
          </w:tcPr>
          <w:p w14:paraId="291FC580">
            <w:pPr>
              <w:numPr>
                <w:ilvl w:val="0"/>
                <w:numId w:val="0"/>
              </w:numPr>
              <w:autoSpaceDE w:val="0"/>
              <w:autoSpaceDN w:val="0"/>
              <w:adjustRightInd w:val="0"/>
              <w:snapToGrid w:val="0"/>
              <w:jc w:val="center"/>
              <w:rPr>
                <w:rFonts w:hint="default" w:ascii="Times New Roman" w:hAnsi="Times New Roman" w:eastAsia="宋体" w:cs="Times New Roman"/>
                <w:color w:val="auto"/>
                <w:kern w:val="0"/>
                <w:sz w:val="24"/>
                <w:szCs w:val="24"/>
                <w:lang w:eastAsia="zh-CN"/>
              </w:rPr>
            </w:pPr>
            <w:r>
              <w:rPr>
                <w:rFonts w:hint="eastAsia" w:ascii="Times New Roman" w:hAnsi="Times New Roman" w:cs="Times New Roman"/>
                <w:color w:val="auto"/>
                <w:kern w:val="0"/>
                <w:sz w:val="24"/>
                <w:szCs w:val="24"/>
                <w:lang w:val="en-US" w:eastAsia="zh-CN"/>
              </w:rPr>
              <w:t>/</w:t>
            </w:r>
          </w:p>
        </w:tc>
      </w:tr>
      <w:tr w14:paraId="0D879B5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38" w:type="dxa"/>
            <w:noWrap w:val="0"/>
            <w:vAlign w:val="center"/>
          </w:tcPr>
          <w:p w14:paraId="560C4D41">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规划及规划环境</w:t>
            </w:r>
          </w:p>
          <w:p w14:paraId="14643F05">
            <w:pPr>
              <w:autoSpaceDE w:val="0"/>
              <w:autoSpaceDN w:val="0"/>
              <w:adjustRightInd w:val="0"/>
              <w:snapToGrid w:val="0"/>
              <w:jc w:val="center"/>
              <w:rPr>
                <w:rFonts w:hint="default" w:ascii="Times New Roman" w:hAnsi="Times New Roman" w:cs="Times New Roman"/>
                <w:color w:val="auto"/>
                <w:sz w:val="24"/>
                <w:szCs w:val="24"/>
              </w:rPr>
            </w:pPr>
            <w:r>
              <w:rPr>
                <w:rFonts w:hint="default" w:ascii="Times New Roman" w:hAnsi="Times New Roman" w:cs="Times New Roman"/>
                <w:color w:val="auto"/>
                <w:kern w:val="0"/>
                <w:sz w:val="24"/>
                <w:szCs w:val="24"/>
              </w:rPr>
              <w:t>影响评价符合性分析</w:t>
            </w:r>
          </w:p>
        </w:tc>
        <w:tc>
          <w:tcPr>
            <w:tcW w:w="6832" w:type="dxa"/>
            <w:gridSpan w:val="3"/>
            <w:noWrap w:val="0"/>
            <w:vAlign w:val="center"/>
          </w:tcPr>
          <w:p w14:paraId="3B30DBBD">
            <w:pPr>
              <w:spacing w:line="360" w:lineRule="auto"/>
              <w:jc w:val="center"/>
              <w:rPr>
                <w:rFonts w:hint="eastAsia"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eastAsia="zh-CN"/>
              </w:rPr>
              <w:t>无</w:t>
            </w:r>
          </w:p>
        </w:tc>
      </w:tr>
      <w:tr w14:paraId="7A1AD54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2038" w:type="dxa"/>
            <w:noWrap w:val="0"/>
            <w:vAlign w:val="center"/>
          </w:tcPr>
          <w:p w14:paraId="6482DA0E">
            <w:pPr>
              <w:autoSpaceDE w:val="0"/>
              <w:autoSpaceDN w:val="0"/>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其他符合性分析</w:t>
            </w:r>
          </w:p>
        </w:tc>
        <w:tc>
          <w:tcPr>
            <w:tcW w:w="6832" w:type="dxa"/>
            <w:gridSpan w:val="3"/>
            <w:noWrap w:val="0"/>
            <w:vAlign w:val="center"/>
          </w:tcPr>
          <w:p w14:paraId="21F620F9">
            <w:pPr>
              <w:spacing w:line="360" w:lineRule="auto"/>
              <w:ind w:firstLine="482" w:firstLineChars="200"/>
              <w:rPr>
                <w:rFonts w:hint="default" w:ascii="Times New Roman" w:hAnsi="Times New Roman" w:cs="Times New Roman"/>
                <w:b/>
                <w:bCs/>
                <w:color w:val="auto"/>
                <w:kern w:val="0"/>
                <w:sz w:val="24"/>
                <w:szCs w:val="24"/>
                <w:highlight w:val="none"/>
                <w:lang w:val="en-US" w:eastAsia="zh-CN"/>
              </w:rPr>
            </w:pPr>
            <w:r>
              <w:rPr>
                <w:rFonts w:hint="eastAsia" w:ascii="Times New Roman" w:hAnsi="Times New Roman" w:cs="Times New Roman"/>
                <w:b/>
                <w:bCs/>
                <w:color w:val="auto"/>
                <w:kern w:val="0"/>
                <w:sz w:val="24"/>
                <w:szCs w:val="24"/>
                <w:highlight w:val="none"/>
                <w:lang w:val="en-US" w:eastAsia="zh-CN"/>
              </w:rPr>
              <w:t>1、</w:t>
            </w:r>
            <w:r>
              <w:rPr>
                <w:rFonts w:eastAsiaTheme="minorEastAsia"/>
                <w:b/>
                <w:bCs/>
                <w:color w:val="auto"/>
                <w:kern w:val="0"/>
                <w:sz w:val="24"/>
                <w:highlight w:val="none"/>
              </w:rPr>
              <w:t>与生态环境分区管控符合性分析</w:t>
            </w:r>
          </w:p>
          <w:p w14:paraId="6B42CA7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本项目位于黑龙江省鸡西市</w:t>
            </w:r>
            <w:r>
              <w:rPr>
                <w:rFonts w:hint="eastAsia" w:ascii="宋体" w:hAnsi="宋体" w:eastAsia="宋体" w:cs="宋体"/>
                <w:color w:val="auto"/>
                <w:sz w:val="24"/>
                <w:szCs w:val="24"/>
                <w:lang w:val="en-US" w:eastAsia="zh-CN"/>
              </w:rPr>
              <w:t>城子河铁城煤矿有限公司现有厂区内</w:t>
            </w:r>
            <w:r>
              <w:rPr>
                <w:rFonts w:hint="eastAsia" w:ascii="Times New Roman" w:hAnsi="Times New Roman" w:eastAsia="宋体" w:cs="Times New Roman"/>
                <w:color w:val="auto"/>
                <w:sz w:val="24"/>
                <w:szCs w:val="24"/>
                <w:lang w:val="en-US" w:eastAsia="zh-CN"/>
              </w:rPr>
              <w:t>，根据《鸡西市人民政府关于实施“三线一单”生态环境分区管控的意见》（鸡政发[2021]7号）、《黑龙江省区域空间生态环境评价报告（鸡西市）》和《黑龙江省生态环境准入清单（鸡西市）》，结合本项目生产工艺、排污状况和区域环境及环境质量现状进行调查的基础上，本项目与“三线一单”的符合性如下：</w:t>
            </w:r>
          </w:p>
          <w:p w14:paraId="2534EB26">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lang w:val="en-US" w:eastAsia="zh-CN"/>
              </w:rPr>
            </w:pPr>
            <w:r>
              <w:rPr>
                <w:color w:val="auto"/>
                <w:sz w:val="24"/>
                <w:szCs w:val="24"/>
              </w:rPr>
              <w:t>（1）</w:t>
            </w:r>
            <w:r>
              <w:rPr>
                <w:rFonts w:hint="default" w:ascii="Times New Roman" w:hAnsi="Times New Roman" w:eastAsia="宋体" w:cs="Times New Roman"/>
                <w:color w:val="auto"/>
                <w:sz w:val="24"/>
                <w:lang w:val="en-US" w:eastAsia="zh-CN"/>
              </w:rPr>
              <w:t>“一图”</w:t>
            </w:r>
          </w:p>
          <w:p w14:paraId="57120279">
            <w:pPr>
              <w:autoSpaceDE w:val="0"/>
              <w:autoSpaceDN w:val="0"/>
              <w:adjustRightInd w:val="0"/>
              <w:snapToGrid w:val="0"/>
              <w:spacing w:line="360" w:lineRule="auto"/>
              <w:ind w:firstLine="480" w:firstLineChars="200"/>
              <w:rPr>
                <w:rFonts w:hint="default" w:ascii="Times New Roman" w:hAnsi="Times New Roman" w:cs="Times New Roman" w:eastAsiaTheme="minorEastAsia"/>
                <w:color w:val="auto"/>
                <w:kern w:val="0"/>
                <w:sz w:val="24"/>
                <w:highlight w:val="none"/>
              </w:rPr>
            </w:pPr>
            <w:r>
              <w:rPr>
                <w:rFonts w:hint="default" w:ascii="Times New Roman" w:hAnsi="Times New Roman" w:eastAsia="宋体" w:cs="Times New Roman"/>
                <w:color w:val="auto"/>
                <w:sz w:val="24"/>
                <w:szCs w:val="24"/>
                <w:lang w:val="en-US" w:eastAsia="zh-CN"/>
              </w:rPr>
              <w:t>本项目位于黑龙江省</w:t>
            </w:r>
            <w:r>
              <w:rPr>
                <w:rFonts w:hint="eastAsia" w:ascii="Times New Roman" w:hAnsi="Times New Roman" w:eastAsia="宋体" w:cs="Times New Roman"/>
                <w:color w:val="auto"/>
                <w:sz w:val="24"/>
                <w:szCs w:val="24"/>
                <w:lang w:val="en-US" w:eastAsia="zh-CN"/>
              </w:rPr>
              <w:t>鸡西市</w:t>
            </w:r>
            <w:r>
              <w:rPr>
                <w:rFonts w:hint="eastAsia" w:ascii="宋体" w:hAnsi="宋体" w:eastAsia="宋体" w:cs="宋体"/>
                <w:color w:val="auto"/>
                <w:sz w:val="24"/>
                <w:szCs w:val="24"/>
                <w:lang w:val="en-US" w:eastAsia="zh-CN"/>
              </w:rPr>
              <w:t>鸡西市城子河铁城煤矿有限公司现有厂区内</w:t>
            </w:r>
            <w:r>
              <w:rPr>
                <w:rFonts w:hint="default" w:ascii="Times New Roman" w:hAnsi="Times New Roman" w:eastAsia="宋体" w:cs="Times New Roman"/>
                <w:color w:val="auto"/>
                <w:sz w:val="24"/>
                <w:szCs w:val="24"/>
                <w:lang w:val="en-US" w:eastAsia="zh-CN"/>
              </w:rPr>
              <w:t>，</w:t>
            </w:r>
            <w:r>
              <w:rPr>
                <w:rFonts w:hint="eastAsia" w:ascii="Times New Roman" w:hAnsi="Times New Roman" w:cs="Times New Roman" w:eastAsiaTheme="minorEastAsia"/>
                <w:color w:val="auto"/>
                <w:kern w:val="0"/>
                <w:sz w:val="24"/>
                <w:highlight w:val="none"/>
                <w:lang w:val="en-US" w:eastAsia="zh-CN"/>
              </w:rPr>
              <w:t>属于</w:t>
            </w:r>
            <w:r>
              <w:rPr>
                <w:rFonts w:ascii="宋体" w:hAnsi="宋体" w:eastAsia="宋体" w:cs="宋体"/>
                <w:b w:val="0"/>
                <w:bCs w:val="0"/>
                <w:color w:val="auto"/>
                <w:sz w:val="24"/>
                <w:szCs w:val="24"/>
              </w:rPr>
              <w:t>地下水环境一般管控区</w:t>
            </w:r>
            <w:r>
              <w:rPr>
                <w:rFonts w:hint="eastAsia" w:ascii="宋体" w:hAnsi="宋体" w:eastAsia="宋体" w:cs="宋体"/>
                <w:b w:val="0"/>
                <w:bCs w:val="0"/>
                <w:color w:val="auto"/>
                <w:sz w:val="24"/>
                <w:szCs w:val="24"/>
                <w:lang w:eastAsia="zh-CN"/>
              </w:rPr>
              <w:t>。</w:t>
            </w:r>
            <w:r>
              <w:rPr>
                <w:rFonts w:hint="default" w:ascii="Times New Roman" w:hAnsi="Times New Roman" w:cs="Times New Roman" w:eastAsiaTheme="minorEastAsia"/>
                <w:color w:val="auto"/>
                <w:kern w:val="0"/>
                <w:sz w:val="24"/>
                <w:highlight w:val="none"/>
                <w:lang w:val="en-US" w:eastAsia="zh-CN"/>
              </w:rPr>
              <w:t>本项目的管控单元分布位置示意图见图 1-1，与地下水环境管控区叠加图见图 1-2。</w:t>
            </w:r>
          </w:p>
          <w:p w14:paraId="60926305">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ascii="Times New Roman" w:hAnsi="Times New Roman" w:eastAsia="宋体" w:cs="Times New Roman"/>
                <w:color w:val="auto"/>
                <w:sz w:val="24"/>
                <w:lang w:val="en-US" w:eastAsia="zh-CN"/>
              </w:rPr>
            </w:pPr>
            <w:r>
              <w:rPr>
                <w:color w:val="auto"/>
              </w:rPr>
              <w:drawing>
                <wp:inline distT="0" distB="0" distL="114300" distR="114300">
                  <wp:extent cx="3503295" cy="2627630"/>
                  <wp:effectExtent l="0" t="0" r="1905" b="1270"/>
                  <wp:docPr id="7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
                          <pic:cNvPicPr>
                            <a:picLocks noChangeAspect="1"/>
                          </pic:cNvPicPr>
                        </pic:nvPicPr>
                        <pic:blipFill>
                          <a:blip r:embed="rId11"/>
                          <a:stretch>
                            <a:fillRect/>
                          </a:stretch>
                        </pic:blipFill>
                        <pic:spPr>
                          <a:xfrm>
                            <a:off x="0" y="0"/>
                            <a:ext cx="3503295" cy="2627630"/>
                          </a:xfrm>
                          <a:prstGeom prst="rect">
                            <a:avLst/>
                          </a:prstGeom>
                          <a:noFill/>
                          <a:ln>
                            <a:noFill/>
                          </a:ln>
                        </pic:spPr>
                      </pic:pic>
                    </a:graphicData>
                  </a:graphic>
                </wp:inline>
              </w:drawing>
            </w:r>
          </w:p>
          <w:p w14:paraId="4F6B665E">
            <w:pPr>
              <w:numPr>
                <w:ilvl w:val="0"/>
                <w:numId w:val="0"/>
              </w:numPr>
              <w:autoSpaceDE w:val="0"/>
              <w:autoSpaceDN w:val="0"/>
              <w:adjustRightInd w:val="0"/>
              <w:snapToGrid w:val="0"/>
              <w:spacing w:line="360" w:lineRule="auto"/>
              <w:jc w:val="center"/>
              <w:rPr>
                <w:rFonts w:hint="default" w:ascii="Times New Roman" w:hAnsi="Times New Roman" w:eastAsia="宋体" w:cs="Times New Roman"/>
                <w:b/>
                <w:bCs/>
                <w:color w:val="auto"/>
                <w:sz w:val="24"/>
                <w:szCs w:val="24"/>
                <w:lang w:val="en-US" w:eastAsia="zh-CN"/>
              </w:rPr>
            </w:pPr>
            <w:r>
              <w:rPr>
                <w:rFonts w:hint="eastAsia" w:ascii="Times New Roman" w:hAnsi="Times New Roman" w:eastAsia="宋体" w:cs="Times New Roman"/>
                <w:b/>
                <w:bCs/>
                <w:color w:val="auto"/>
                <w:sz w:val="24"/>
                <w:szCs w:val="24"/>
                <w:lang w:val="en-US" w:eastAsia="zh-CN"/>
              </w:rPr>
              <w:t>图</w:t>
            </w:r>
            <w:r>
              <w:rPr>
                <w:rFonts w:hint="default" w:ascii="Times New Roman" w:hAnsi="Times New Roman" w:eastAsia="宋体" w:cs="Times New Roman"/>
                <w:b/>
                <w:bCs/>
                <w:color w:val="auto"/>
                <w:sz w:val="24"/>
                <w:szCs w:val="24"/>
                <w:lang w:val="en-US" w:eastAsia="zh-CN"/>
              </w:rPr>
              <w:t>1-1 项目与环境管控单元叠加图</w:t>
            </w:r>
          </w:p>
          <w:p w14:paraId="57D64729">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default"/>
                <w:color w:val="auto"/>
                <w:sz w:val="24"/>
                <w:szCs w:val="24"/>
              </w:rPr>
            </w:pPr>
            <w:r>
              <w:rPr>
                <w:color w:val="auto"/>
              </w:rPr>
              <w:drawing>
                <wp:inline distT="0" distB="0" distL="114300" distR="114300">
                  <wp:extent cx="3566160" cy="2674620"/>
                  <wp:effectExtent l="0" t="0" r="15240" b="11430"/>
                  <wp:docPr id="7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
                          <pic:cNvPicPr>
                            <a:picLocks noChangeAspect="1"/>
                          </pic:cNvPicPr>
                        </pic:nvPicPr>
                        <pic:blipFill>
                          <a:blip r:embed="rId12"/>
                          <a:stretch>
                            <a:fillRect/>
                          </a:stretch>
                        </pic:blipFill>
                        <pic:spPr>
                          <a:xfrm>
                            <a:off x="0" y="0"/>
                            <a:ext cx="3566160" cy="2674620"/>
                          </a:xfrm>
                          <a:prstGeom prst="rect">
                            <a:avLst/>
                          </a:prstGeom>
                          <a:noFill/>
                          <a:ln>
                            <a:noFill/>
                          </a:ln>
                        </pic:spPr>
                      </pic:pic>
                    </a:graphicData>
                  </a:graphic>
                </wp:inline>
              </w:drawing>
            </w:r>
          </w:p>
          <w:p w14:paraId="4258FEE8">
            <w:pPr>
              <w:numPr>
                <w:ilvl w:val="0"/>
                <w:numId w:val="0"/>
              </w:numPr>
              <w:autoSpaceDE w:val="0"/>
              <w:autoSpaceDN w:val="0"/>
              <w:adjustRightInd w:val="0"/>
              <w:snapToGrid w:val="0"/>
              <w:spacing w:line="360" w:lineRule="auto"/>
              <w:jc w:val="center"/>
              <w:rPr>
                <w:rFonts w:hint="default"/>
                <w:color w:val="auto"/>
                <w:sz w:val="24"/>
                <w:szCs w:val="24"/>
              </w:rPr>
            </w:pPr>
            <w:r>
              <w:rPr>
                <w:rFonts w:hint="default" w:ascii="Times New Roman" w:hAnsi="Times New Roman" w:cs="Times New Roman"/>
                <w:b/>
                <w:bCs/>
                <w:color w:val="auto"/>
                <w:sz w:val="24"/>
                <w:szCs w:val="24"/>
                <w:lang w:eastAsia="zh-CN"/>
              </w:rPr>
              <w:t>图</w:t>
            </w:r>
            <w:r>
              <w:rPr>
                <w:rFonts w:hint="default" w:ascii="Times New Roman" w:hAnsi="Times New Roman" w:cs="Times New Roman"/>
                <w:b/>
                <w:bCs/>
                <w:color w:val="auto"/>
                <w:sz w:val="24"/>
                <w:szCs w:val="24"/>
                <w:lang w:val="en-US" w:eastAsia="zh-CN"/>
              </w:rPr>
              <w:t>1-2 项目与地下水环境管控区叠加图</w:t>
            </w:r>
          </w:p>
          <w:p w14:paraId="23DA6C20">
            <w:pPr>
              <w:tabs>
                <w:tab w:val="left" w:pos="6480"/>
              </w:tabs>
              <w:autoSpaceDE w:val="0"/>
              <w:autoSpaceDN w:val="0"/>
              <w:spacing w:line="360" w:lineRule="auto"/>
              <w:ind w:firstLine="480" w:firstLineChars="200"/>
              <w:rPr>
                <w:rFonts w:hint="default"/>
                <w:color w:val="auto"/>
                <w:sz w:val="24"/>
                <w:szCs w:val="24"/>
              </w:rPr>
            </w:pPr>
            <w:r>
              <w:rPr>
                <w:rFonts w:hint="default" w:ascii="Times New Roman" w:hAnsi="Times New Roman" w:eastAsia="宋体" w:cs="Times New Roman"/>
                <w:color w:val="auto"/>
                <w:sz w:val="24"/>
                <w:lang w:val="en-US" w:eastAsia="zh-CN"/>
              </w:rPr>
              <w:t>（2）“一表”</w:t>
            </w:r>
          </w:p>
          <w:p w14:paraId="13DF2EA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lang w:val="en-US" w:eastAsia="zh-CN"/>
              </w:rPr>
            </w:pPr>
            <w:r>
              <w:rPr>
                <w:rFonts w:hint="default"/>
                <w:color w:val="auto"/>
                <w:sz w:val="24"/>
                <w:szCs w:val="24"/>
              </w:rPr>
              <w:t>生态保护红线符合性分析</w:t>
            </w:r>
            <w:r>
              <w:rPr>
                <w:rFonts w:hint="eastAsia"/>
                <w:color w:val="auto"/>
                <w:sz w:val="24"/>
                <w:szCs w:val="24"/>
                <w:lang w:eastAsia="zh-CN"/>
              </w:rPr>
              <w:t>：</w:t>
            </w:r>
            <w:r>
              <w:rPr>
                <w:rFonts w:hint="default" w:ascii="Times New Roman" w:hAnsi="Times New Roman" w:eastAsia="宋体" w:cs="Times New Roman"/>
                <w:color w:val="auto"/>
                <w:sz w:val="24"/>
                <w:szCs w:val="24"/>
                <w:lang w:val="en-US" w:eastAsia="zh-CN"/>
              </w:rPr>
              <w:t>本项目位于黑龙江省</w:t>
            </w:r>
            <w:r>
              <w:rPr>
                <w:rFonts w:hint="eastAsia" w:ascii="Times New Roman" w:hAnsi="Times New Roman" w:eastAsia="宋体" w:cs="Times New Roman"/>
                <w:color w:val="auto"/>
                <w:sz w:val="24"/>
                <w:szCs w:val="24"/>
                <w:lang w:val="en-US" w:eastAsia="zh-CN"/>
              </w:rPr>
              <w:t>鸡西市</w:t>
            </w:r>
            <w:r>
              <w:rPr>
                <w:rFonts w:hint="eastAsia" w:ascii="宋体" w:hAnsi="宋体" w:eastAsia="宋体" w:cs="宋体"/>
                <w:color w:val="auto"/>
                <w:sz w:val="24"/>
                <w:szCs w:val="24"/>
                <w:lang w:val="en-US" w:eastAsia="zh-CN"/>
              </w:rPr>
              <w:t>鸡西市城子河铁城煤矿有限公司现有厂区内</w:t>
            </w:r>
            <w:r>
              <w:rPr>
                <w:rFonts w:hint="default" w:ascii="Times New Roman" w:hAnsi="Times New Roman" w:eastAsia="宋体" w:cs="Times New Roman"/>
                <w:color w:val="auto"/>
                <w:sz w:val="24"/>
                <w:szCs w:val="24"/>
                <w:lang w:val="en-US" w:eastAsia="zh-CN"/>
              </w:rPr>
              <w:t>，所在区域不属于生态空间和有优先保护区，周边无不涉及自然保护区、地质公园、风景名胜区、森林公园、水产种质资源保护区、饮用水水源保护区、湿地公园和一级国家级工公益生态林等生态保护红线区等生态保护目标。</w:t>
            </w:r>
          </w:p>
          <w:p w14:paraId="103105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lang w:eastAsia="zh-CN"/>
              </w:rPr>
              <w:t>（</w:t>
            </w:r>
            <w:r>
              <w:rPr>
                <w:rFonts w:hint="eastAsia" w:ascii="Times New Roman" w:hAnsi="Times New Roman" w:eastAsia="宋体" w:cs="Times New Roman"/>
                <w:color w:val="auto"/>
                <w:sz w:val="24"/>
                <w:szCs w:val="24"/>
                <w:lang w:val="en-US" w:eastAsia="zh-CN"/>
              </w:rPr>
              <w:t>2</w:t>
            </w:r>
            <w:r>
              <w:rPr>
                <w:rFonts w:hint="eastAsia" w:ascii="Times New Roman" w:hAnsi="Times New Roman" w:eastAsia="宋体" w:cs="Times New Roman"/>
                <w:color w:val="auto"/>
                <w:sz w:val="24"/>
                <w:szCs w:val="24"/>
                <w:lang w:eastAsia="zh-CN"/>
              </w:rPr>
              <w:t>）</w:t>
            </w:r>
            <w:r>
              <w:rPr>
                <w:rFonts w:ascii="Times New Roman" w:hAnsi="Times New Roman" w:eastAsia="宋体" w:cs="Times New Roman"/>
                <w:color w:val="auto"/>
                <w:sz w:val="24"/>
                <w:szCs w:val="24"/>
              </w:rPr>
              <w:t>环境质量底线</w:t>
            </w:r>
          </w:p>
          <w:p w14:paraId="36B51E5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kern w:val="0"/>
                <w:sz w:val="24"/>
                <w:szCs w:val="24"/>
                <w:highlight w:val="none"/>
                <w:lang w:val="en-US" w:eastAsia="zh-CN" w:bidi="ar"/>
              </w:rPr>
              <w:t>根据《20</w:t>
            </w:r>
            <w:r>
              <w:rPr>
                <w:rFonts w:hint="eastAsia" w:cs="Times New Roman"/>
                <w:color w:val="auto"/>
                <w:kern w:val="0"/>
                <w:sz w:val="24"/>
                <w:szCs w:val="24"/>
                <w:highlight w:val="none"/>
                <w:lang w:val="en-US" w:eastAsia="zh-CN" w:bidi="ar"/>
              </w:rPr>
              <w:t>25</w:t>
            </w:r>
            <w:r>
              <w:rPr>
                <w:rFonts w:hint="eastAsia" w:ascii="Times New Roman" w:hAnsi="Times New Roman" w:eastAsia="宋体" w:cs="Times New Roman"/>
                <w:color w:val="auto"/>
                <w:kern w:val="0"/>
                <w:sz w:val="24"/>
                <w:szCs w:val="24"/>
                <w:highlight w:val="none"/>
                <w:lang w:val="en-US" w:eastAsia="zh-CN" w:bidi="ar"/>
              </w:rPr>
              <w:t>年黑龙江省生态环境质量状况》</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sz w:val="24"/>
                <w:szCs w:val="24"/>
                <w:lang w:val="en-US" w:eastAsia="zh-CN"/>
              </w:rPr>
              <w:t>项目所在区域</w:t>
            </w:r>
            <w:r>
              <w:rPr>
                <w:rFonts w:hint="eastAsia" w:cs="Times New Roman"/>
                <w:color w:val="auto"/>
                <w:sz w:val="24"/>
                <w:szCs w:val="24"/>
                <w:lang w:val="en-US" w:eastAsia="zh-CN"/>
              </w:rPr>
              <w:t>各污染物</w:t>
            </w:r>
            <w:r>
              <w:rPr>
                <w:rFonts w:hint="eastAsia" w:ascii="Times New Roman" w:hAnsi="Times New Roman" w:eastAsia="宋体" w:cs="Times New Roman"/>
                <w:color w:val="auto"/>
                <w:sz w:val="24"/>
                <w:szCs w:val="24"/>
                <w:lang w:val="en-US" w:eastAsia="zh-CN"/>
              </w:rPr>
              <w:t>满足《环境空气质量标准》(GB3095-20</w:t>
            </w:r>
            <w:r>
              <w:rPr>
                <w:rFonts w:hint="eastAsia" w:cs="Times New Roman"/>
                <w:color w:val="auto"/>
                <w:sz w:val="24"/>
                <w:szCs w:val="24"/>
                <w:lang w:val="en-US" w:eastAsia="zh-CN"/>
              </w:rPr>
              <w:t>26</w:t>
            </w:r>
            <w:r>
              <w:rPr>
                <w:rFonts w:hint="eastAsia" w:ascii="Times New Roman" w:hAnsi="Times New Roman" w:eastAsia="宋体" w:cs="Times New Roman"/>
                <w:color w:val="auto"/>
                <w:sz w:val="24"/>
                <w:szCs w:val="24"/>
                <w:lang w:val="en-US" w:eastAsia="zh-CN"/>
              </w:rPr>
              <w:t>)中的过渡阶段浓度限值二级标准要求，区域大气环境质量较好</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highlight w:val="none"/>
                <w:shd w:val="clear" w:color="auto" w:fill="auto"/>
                <w:lang w:val="en-US" w:eastAsia="zh-CN"/>
              </w:rPr>
              <w:t>穆棱河</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鸡古路西</w:t>
            </w:r>
            <w:r>
              <w:rPr>
                <w:rFonts w:hint="default" w:ascii="Times New Roman" w:hAnsi="Times New Roman" w:cs="Times New Roman"/>
                <w:color w:val="auto"/>
                <w:sz w:val="24"/>
                <w:szCs w:val="24"/>
                <w:lang w:val="en-US" w:eastAsia="zh-CN"/>
              </w:rPr>
              <w:t>100m</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凯北站</w:t>
            </w:r>
            <w:r>
              <w:rPr>
                <w:rFonts w:hint="default" w:ascii="Times New Roman" w:hAnsi="Times New Roman" w:cs="Times New Roman"/>
                <w:color w:val="auto"/>
                <w:sz w:val="24"/>
                <w:szCs w:val="24"/>
              </w:rPr>
              <w:t>）</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规</w:t>
            </w:r>
            <w:r>
              <w:rPr>
                <w:rFonts w:hint="default" w:ascii="Times New Roman" w:hAnsi="Times New Roman" w:cs="Times New Roman"/>
                <w:color w:val="auto"/>
                <w:sz w:val="24"/>
                <w:szCs w:val="24"/>
                <w:lang w:val="en-US" w:eastAsia="zh-CN"/>
              </w:rPr>
              <w:t>划水体类别为</w:t>
            </w:r>
            <w:r>
              <w:rPr>
                <w:rFonts w:hint="default" w:ascii="Times New Roman" w:hAnsi="Times New Roman" w:eastAsia="宋体" w:cs="Times New Roman"/>
                <w:color w:val="auto"/>
                <w:sz w:val="24"/>
                <w:szCs w:val="24"/>
                <w:highlight w:val="none"/>
                <w:shd w:val="clear" w:color="auto" w:fill="auto"/>
                <w:lang w:val="en-US" w:eastAsia="zh-CN"/>
              </w:rPr>
              <w:t>Ⅲ类</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根据鸡西市生态环境局网站公布的202</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202</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highlight w:val="none"/>
                <w:shd w:val="clear" w:color="auto" w:fill="auto"/>
                <w:lang w:val="en-US" w:eastAsia="zh-CN"/>
              </w:rPr>
              <w:t>，</w:t>
            </w:r>
            <w:r>
              <w:rPr>
                <w:rFonts w:hint="default" w:ascii="Times New Roman" w:hAnsi="Times New Roman" w:eastAsia="宋体" w:cs="Times New Roman"/>
                <w:color w:val="auto"/>
                <w:sz w:val="24"/>
                <w:szCs w:val="24"/>
              </w:rPr>
              <w:t>《鸡西市地表水国控考核断面水质信息公开》</w:t>
            </w:r>
            <w:r>
              <w:rPr>
                <w:rFonts w:hint="eastAsia" w:eastAsia="宋体" w:cs="Times New Roman"/>
                <w:color w:val="auto"/>
                <w:sz w:val="24"/>
                <w:szCs w:val="24"/>
                <w:lang w:eastAsia="zh-CN"/>
              </w:rPr>
              <w:t>，知一桥断面和穆棱河河口内断面全年达到</w:t>
            </w:r>
            <w:r>
              <w:rPr>
                <w:rFonts w:hint="default" w:ascii="Times New Roman" w:hAnsi="Times New Roman" w:eastAsia="宋体" w:cs="Times New Roman"/>
                <w:color w:val="auto"/>
                <w:sz w:val="24"/>
                <w:szCs w:val="24"/>
                <w:highlight w:val="none"/>
                <w:shd w:val="clear" w:color="auto" w:fill="auto"/>
                <w:lang w:val="en-US" w:eastAsia="zh-CN"/>
              </w:rPr>
              <w:t>Ⅲ</w:t>
            </w:r>
            <w:r>
              <w:rPr>
                <w:rFonts w:hint="eastAsia" w:eastAsia="宋体" w:cs="Times New Roman"/>
                <w:color w:val="auto"/>
                <w:sz w:val="24"/>
                <w:szCs w:val="24"/>
                <w:lang w:eastAsia="zh-CN"/>
              </w:rPr>
              <w:t>类水质类别标准</w:t>
            </w:r>
            <w:r>
              <w:rPr>
                <w:rFonts w:hint="eastAsia" w:ascii="Times New Roman" w:hAnsi="Times New Roman" w:eastAsia="宋体" w:cs="Times New Roman"/>
                <w:color w:val="auto"/>
                <w:sz w:val="24"/>
                <w:szCs w:val="24"/>
              </w:rPr>
              <w:t>；区域声环境满足</w:t>
            </w:r>
            <w:r>
              <w:rPr>
                <w:rFonts w:ascii="Times New Roman" w:hAnsi="Times New Roman" w:eastAsia="宋体" w:cs="Times New Roman"/>
                <w:color w:val="auto"/>
                <w:sz w:val="24"/>
                <w:szCs w:val="24"/>
              </w:rPr>
              <w:t>《声环境质量标准》（GB3096-2008）中2类标准。</w:t>
            </w:r>
          </w:p>
          <w:p w14:paraId="294E8270">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lang w:eastAsia="zh-CN"/>
              </w:rPr>
            </w:pPr>
            <w:r>
              <w:rPr>
                <w:rFonts w:hint="eastAsia" w:ascii="Times New Roman" w:hAnsi="Times New Roman" w:eastAsia="宋体" w:cs="Times New Roman"/>
                <w:color w:val="auto"/>
                <w:sz w:val="24"/>
                <w:szCs w:val="24"/>
              </w:rPr>
              <w:t>根据项目区域环境质量现状分析结果，项目所在区域大气、声环境、地表水环境质量较好。结合后续章节，本项目建成后所产生的各项污染物经采取报告提出的防治措施后均可达标排放，不会加剧所在地的环境污染，本项目的建设不会突破环境质量底线</w:t>
            </w:r>
            <w:r>
              <w:rPr>
                <w:rFonts w:hint="eastAsia" w:cs="Times New Roman"/>
                <w:color w:val="auto"/>
                <w:sz w:val="24"/>
                <w:szCs w:val="24"/>
                <w:lang w:eastAsia="zh-CN"/>
              </w:rPr>
              <w:t>。</w:t>
            </w:r>
          </w:p>
          <w:p w14:paraId="5770F394">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w:t>
            </w:r>
            <w:r>
              <w:rPr>
                <w:rFonts w:ascii="Times New Roman" w:hAnsi="Times New Roman" w:eastAsia="宋体" w:cs="Times New Roman"/>
                <w:color w:val="auto"/>
                <w:sz w:val="24"/>
                <w:szCs w:val="24"/>
              </w:rPr>
              <w:t>3）资源利用上线</w:t>
            </w:r>
          </w:p>
          <w:p w14:paraId="177B5D1E">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ascii="Times New Roman" w:hAnsi="Times New Roman" w:eastAsia="宋体" w:cs="Times New Roman"/>
                <w:color w:val="auto"/>
                <w:sz w:val="24"/>
                <w:szCs w:val="24"/>
              </w:rPr>
            </w:pPr>
            <w:r>
              <w:rPr>
                <w:rFonts w:ascii="Times New Roman" w:hAnsi="Times New Roman" w:eastAsia="宋体" w:cs="Times New Roman"/>
                <w:color w:val="auto"/>
                <w:sz w:val="24"/>
                <w:szCs w:val="24"/>
              </w:rPr>
              <w:t>本项目用地为</w:t>
            </w:r>
            <w:r>
              <w:rPr>
                <w:rFonts w:hint="eastAsia" w:cs="Times New Roman"/>
                <w:color w:val="auto"/>
                <w:sz w:val="24"/>
                <w:szCs w:val="24"/>
                <w:highlight w:val="none"/>
                <w:lang w:eastAsia="zh-CN"/>
              </w:rPr>
              <w:t>采矿</w:t>
            </w:r>
            <w:r>
              <w:rPr>
                <w:rFonts w:ascii="Times New Roman" w:hAnsi="Times New Roman" w:eastAsia="宋体" w:cs="Times New Roman"/>
                <w:color w:val="auto"/>
                <w:sz w:val="24"/>
                <w:szCs w:val="24"/>
                <w:highlight w:val="none"/>
              </w:rPr>
              <w:t>用地</w:t>
            </w:r>
            <w:r>
              <w:rPr>
                <w:rFonts w:ascii="Times New Roman" w:hAnsi="Times New Roman" w:eastAsia="宋体" w:cs="Times New Roman"/>
                <w:color w:val="auto"/>
                <w:sz w:val="24"/>
                <w:szCs w:val="24"/>
              </w:rPr>
              <w:t>，</w:t>
            </w:r>
            <w:r>
              <w:rPr>
                <w:rFonts w:hint="default" w:ascii="Times New Roman" w:hAnsi="Times New Roman" w:eastAsia="宋体" w:cs="Times New Roman"/>
                <w:color w:val="auto"/>
                <w:sz w:val="24"/>
                <w:szCs w:val="24"/>
                <w:lang w:val="en-US" w:eastAsia="zh-CN"/>
              </w:rPr>
              <w:t>本项目用生物质颗粒做为燃料，属废物利用，不消耗煤炭资源；</w:t>
            </w:r>
            <w:r>
              <w:rPr>
                <w:rFonts w:ascii="Times New Roman" w:hAnsi="Times New Roman" w:eastAsia="宋体" w:cs="Times New Roman"/>
                <w:color w:val="auto"/>
                <w:sz w:val="24"/>
                <w:szCs w:val="24"/>
              </w:rPr>
              <w:t>运营期</w:t>
            </w:r>
            <w:r>
              <w:rPr>
                <w:rFonts w:ascii="宋体" w:hAnsi="宋体" w:eastAsia="宋体" w:cs="宋体"/>
                <w:color w:val="auto"/>
                <w:sz w:val="24"/>
                <w:szCs w:val="24"/>
              </w:rPr>
              <w:t>水源为深水井，通过供水管路向矿井地面及井下供水</w:t>
            </w:r>
            <w:r>
              <w:rPr>
                <w:rFonts w:hint="eastAsia" w:ascii="宋体" w:hAnsi="宋体" w:eastAsia="宋体" w:cs="宋体"/>
                <w:color w:val="auto"/>
                <w:sz w:val="24"/>
                <w:szCs w:val="24"/>
                <w:lang w:eastAsia="zh-CN"/>
              </w:rPr>
              <w:t>，用水</w:t>
            </w:r>
            <w:r>
              <w:rPr>
                <w:rFonts w:hint="eastAsia" w:ascii="Times New Roman" w:hAnsi="Times New Roman" w:eastAsia="宋体" w:cs="Times New Roman"/>
                <w:color w:val="auto"/>
                <w:sz w:val="24"/>
                <w:szCs w:val="24"/>
                <w:lang w:eastAsia="zh-CN"/>
              </w:rPr>
              <w:t>为原有员工生活用水</w:t>
            </w:r>
            <w:r>
              <w:rPr>
                <w:rFonts w:ascii="Times New Roman" w:hAnsi="Times New Roman" w:eastAsia="宋体" w:cs="Times New Roman"/>
                <w:color w:val="auto"/>
                <w:sz w:val="24"/>
                <w:szCs w:val="24"/>
              </w:rPr>
              <w:t>，</w:t>
            </w:r>
            <w:r>
              <w:rPr>
                <w:rFonts w:hint="eastAsia" w:ascii="Times New Roman" w:hAnsi="Times New Roman" w:eastAsia="宋体" w:cs="Times New Roman"/>
                <w:color w:val="auto"/>
                <w:sz w:val="24"/>
                <w:szCs w:val="24"/>
                <w:lang w:val="en-US" w:eastAsia="zh-CN"/>
              </w:rPr>
              <w:t>本次扩建无新增用水，</w:t>
            </w:r>
            <w:r>
              <w:rPr>
                <w:rFonts w:ascii="Times New Roman" w:hAnsi="Times New Roman" w:eastAsia="宋体" w:cs="Times New Roman"/>
                <w:color w:val="auto"/>
                <w:sz w:val="24"/>
                <w:szCs w:val="24"/>
              </w:rPr>
              <w:t>不会突破资源利用上线。</w:t>
            </w:r>
          </w:p>
          <w:p w14:paraId="15493D2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（4）生态环境准入清单</w:t>
            </w:r>
          </w:p>
          <w:p w14:paraId="67FC90FB">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z w:val="24"/>
                <w:szCs w:val="24"/>
              </w:rPr>
            </w:pPr>
            <w:r>
              <w:rPr>
                <w:rFonts w:hint="eastAsia" w:ascii="Times New Roman" w:hAnsi="Times New Roman" w:eastAsia="宋体" w:cs="Times New Roman"/>
                <w:color w:val="auto"/>
                <w:sz w:val="24"/>
                <w:szCs w:val="24"/>
              </w:rPr>
              <w:t>根据《鸡西市及管控单元生态环境准入清单》中环境管控单元划分情况，本项目属于</w:t>
            </w:r>
            <w:r>
              <w:rPr>
                <w:rFonts w:hint="eastAsia" w:ascii="Times New Roman" w:hAnsi="Times New Roman" w:eastAsia="宋体" w:cs="Times New Roman"/>
                <w:color w:val="auto"/>
                <w:sz w:val="24"/>
                <w:szCs w:val="24"/>
                <w:lang w:val="en-US" w:eastAsia="zh-CN"/>
              </w:rPr>
              <w:t>城子河区水环境农业污染重点管控区</w:t>
            </w:r>
          </w:p>
          <w:p w14:paraId="3B055A9B">
            <w:pPr>
              <w:keepNext w:val="0"/>
              <w:keepLines w:val="0"/>
              <w:widowControl/>
              <w:suppressLineNumbers w:val="0"/>
              <w:jc w:val="left"/>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rPr>
              <w:t>，环境管控单元编码</w:t>
            </w:r>
            <w:r>
              <w:rPr>
                <w:rFonts w:hint="eastAsia" w:cs="Times New Roman"/>
                <w:color w:val="auto"/>
                <w:sz w:val="24"/>
                <w:szCs w:val="24"/>
                <w:lang w:eastAsia="zh-CN"/>
              </w:rPr>
              <w:t>为</w:t>
            </w:r>
            <w:r>
              <w:rPr>
                <w:rFonts w:hint="default" w:ascii="Times New Roman" w:hAnsi="Times New Roman" w:eastAsia="宋体" w:cs="Times New Roman"/>
                <w:b/>
                <w:bCs/>
                <w:color w:val="auto"/>
                <w:kern w:val="0"/>
                <w:sz w:val="24"/>
                <w:szCs w:val="24"/>
                <w:lang w:val="en-US" w:eastAsia="zh-CN" w:bidi="ar"/>
              </w:rPr>
              <w:t>ZH23030620003</w:t>
            </w:r>
            <w:r>
              <w:rPr>
                <w:rFonts w:hint="eastAsia" w:cs="Times New Roman"/>
                <w:color w:val="auto"/>
                <w:sz w:val="24"/>
                <w:szCs w:val="24"/>
                <w:lang w:eastAsia="zh-CN"/>
              </w:rPr>
              <w:t>，</w:t>
            </w:r>
            <w:r>
              <w:rPr>
                <w:rFonts w:hint="eastAsia" w:ascii="Times New Roman" w:hAnsi="Times New Roman" w:eastAsia="宋体" w:cs="Times New Roman"/>
                <w:color w:val="auto"/>
                <w:sz w:val="24"/>
                <w:szCs w:val="24"/>
              </w:rPr>
              <w:t>本项目与生态环境准入清单符合性分析见表1-</w:t>
            </w:r>
            <w:r>
              <w:rPr>
                <w:rFonts w:hint="eastAsia" w:cs="Times New Roman"/>
                <w:color w:val="auto"/>
                <w:sz w:val="24"/>
                <w:szCs w:val="24"/>
                <w:lang w:val="en-US" w:eastAsia="zh-CN"/>
              </w:rPr>
              <w:t>1</w:t>
            </w:r>
            <w:r>
              <w:rPr>
                <w:rFonts w:hint="eastAsia" w:ascii="Times New Roman" w:hAnsi="Times New Roman" w:eastAsia="宋体" w:cs="Times New Roman"/>
                <w:color w:val="auto"/>
                <w:sz w:val="24"/>
                <w:szCs w:val="24"/>
              </w:rPr>
              <w:t>。</w:t>
            </w:r>
          </w:p>
        </w:tc>
      </w:tr>
    </w:tbl>
    <w:p w14:paraId="4938E76E">
      <w:pPr>
        <w:spacing w:line="360" w:lineRule="auto"/>
        <w:outlineLvl w:val="9"/>
        <w:rPr>
          <w:rFonts w:hint="default" w:ascii="Times New Roman" w:hAnsi="Times New Roman" w:eastAsia="黑体" w:cs="Times New Roman"/>
          <w:color w:val="auto"/>
          <w:sz w:val="30"/>
        </w:rPr>
        <w:sectPr>
          <w:footerReference r:id="rId5" w:type="default"/>
          <w:pgSz w:w="11906" w:h="16838"/>
          <w:pgMar w:top="1701" w:right="1531" w:bottom="1701" w:left="1531" w:header="851" w:footer="1077" w:gutter="0"/>
          <w:pgBorders>
            <w:top w:val="none" w:sz="0" w:space="0"/>
            <w:left w:val="none" w:sz="0" w:space="0"/>
            <w:bottom w:val="none" w:sz="0" w:space="0"/>
            <w:right w:val="none" w:sz="0" w:space="0"/>
          </w:pgBorders>
          <w:pgNumType w:fmt="decimal" w:start="1"/>
          <w:cols w:space="720" w:num="1"/>
          <w:docGrid w:linePitch="312" w:charSpace="0"/>
        </w:sectPr>
      </w:pPr>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70"/>
        <w:gridCol w:w="11509"/>
      </w:tblGrid>
      <w:tr w14:paraId="4A0B72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279" w:hRule="atLeast"/>
          <w:jc w:val="center"/>
        </w:trPr>
        <w:tc>
          <w:tcPr>
            <w:tcW w:w="970" w:type="dxa"/>
            <w:noWrap w:val="0"/>
            <w:vAlign w:val="center"/>
          </w:tcPr>
          <w:p w14:paraId="123BA7C6">
            <w:pPr>
              <w:autoSpaceDE w:val="0"/>
              <w:autoSpaceDN w:val="0"/>
              <w:adjustRightInd w:val="0"/>
              <w:snapToGrid w:val="0"/>
              <w:jc w:val="center"/>
              <w:rPr>
                <w:rFonts w:hint="default" w:ascii="Times New Roman" w:hAnsi="Times New Roman" w:cs="Times New Roman"/>
                <w:color w:val="auto"/>
                <w:kern w:val="0"/>
                <w:szCs w:val="21"/>
              </w:rPr>
            </w:pPr>
          </w:p>
        </w:tc>
        <w:tc>
          <w:tcPr>
            <w:tcW w:w="11509" w:type="dxa"/>
            <w:noWrap w:val="0"/>
            <w:vAlign w:val="top"/>
          </w:tcPr>
          <w:p w14:paraId="53039E21">
            <w:pPr>
              <w:keepNext w:val="0"/>
              <w:keepLines w:val="0"/>
              <w:pageBreakBefore w:val="0"/>
              <w:widowControl w:val="0"/>
              <w:kinsoku/>
              <w:wordWrap/>
              <w:overflowPunct/>
              <w:topLinePunct w:val="0"/>
              <w:autoSpaceDE/>
              <w:autoSpaceDN/>
              <w:bidi w:val="0"/>
              <w:adjustRightInd/>
              <w:snapToGrid/>
              <w:spacing w:line="480" w:lineRule="exact"/>
              <w:jc w:val="center"/>
              <w:textAlignment w:val="auto"/>
              <w:rPr>
                <w:rFonts w:hint="default" w:ascii="Times New Roman" w:hAnsi="Times New Roman" w:eastAsia="宋体" w:cs="Times New Roman"/>
                <w:b/>
                <w:bCs/>
                <w:snapToGrid w:val="0"/>
                <w:color w:val="auto"/>
                <w:kern w:val="0"/>
                <w:sz w:val="24"/>
                <w:szCs w:val="24"/>
                <w:highlight w:val="none"/>
                <w:lang w:val="en-US" w:eastAsia="zh-CN" w:bidi="ar-SA"/>
              </w:rPr>
            </w:pPr>
            <w:r>
              <w:rPr>
                <w:rFonts w:hint="default" w:ascii="Times New Roman" w:hAnsi="Times New Roman" w:eastAsia="宋体" w:cs="Times New Roman"/>
                <w:b/>
                <w:bCs/>
                <w:snapToGrid w:val="0"/>
                <w:color w:val="auto"/>
                <w:kern w:val="0"/>
                <w:sz w:val="24"/>
                <w:szCs w:val="24"/>
                <w:highlight w:val="none"/>
                <w:lang w:val="en-US" w:eastAsia="zh-CN" w:bidi="ar-SA"/>
              </w:rPr>
              <w:t>表1-</w:t>
            </w:r>
            <w:r>
              <w:rPr>
                <w:rFonts w:hint="eastAsia" w:cs="Times New Roman"/>
                <w:b/>
                <w:bCs/>
                <w:snapToGrid w:val="0"/>
                <w:color w:val="auto"/>
                <w:kern w:val="0"/>
                <w:sz w:val="24"/>
                <w:szCs w:val="24"/>
                <w:highlight w:val="none"/>
                <w:lang w:val="en-US" w:eastAsia="zh-CN" w:bidi="ar-SA"/>
              </w:rPr>
              <w:t>1</w:t>
            </w:r>
            <w:r>
              <w:rPr>
                <w:rFonts w:hint="default" w:ascii="Times New Roman" w:hAnsi="Times New Roman" w:eastAsia="宋体" w:cs="Times New Roman"/>
                <w:b/>
                <w:bCs/>
                <w:snapToGrid w:val="0"/>
                <w:color w:val="auto"/>
                <w:kern w:val="0"/>
                <w:sz w:val="24"/>
                <w:szCs w:val="24"/>
                <w:highlight w:val="none"/>
                <w:lang w:val="en-US" w:eastAsia="zh-CN" w:bidi="ar-SA"/>
              </w:rPr>
              <w:t xml:space="preserve"> </w:t>
            </w:r>
            <w:r>
              <w:rPr>
                <w:rFonts w:hint="eastAsia" w:ascii="Times New Roman" w:hAnsi="Times New Roman" w:eastAsia="宋体" w:cs="Times New Roman"/>
                <w:b/>
                <w:bCs/>
                <w:snapToGrid w:val="0"/>
                <w:color w:val="auto"/>
                <w:kern w:val="0"/>
                <w:sz w:val="24"/>
                <w:szCs w:val="24"/>
                <w:highlight w:val="none"/>
                <w:lang w:val="en-US" w:eastAsia="zh-CN" w:bidi="ar-SA"/>
              </w:rPr>
              <w:t>生</w:t>
            </w:r>
            <w:r>
              <w:rPr>
                <w:rFonts w:hint="default" w:ascii="Times New Roman" w:hAnsi="Times New Roman" w:eastAsia="宋体" w:cs="Times New Roman"/>
                <w:b/>
                <w:bCs/>
                <w:snapToGrid w:val="0"/>
                <w:color w:val="auto"/>
                <w:kern w:val="0"/>
                <w:sz w:val="24"/>
                <w:szCs w:val="24"/>
                <w:highlight w:val="none"/>
                <w:lang w:val="en-US" w:eastAsia="zh-CN" w:bidi="ar-SA"/>
              </w:rPr>
              <w:t>态环境准入清单符合性分析</w:t>
            </w:r>
          </w:p>
          <w:tbl>
            <w:tblPr>
              <w:tblStyle w:val="30"/>
              <w:tblW w:w="480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56"/>
              <w:gridCol w:w="829"/>
              <w:gridCol w:w="665"/>
              <w:gridCol w:w="678"/>
              <w:gridCol w:w="4887"/>
              <w:gridCol w:w="3040"/>
            </w:tblGrid>
            <w:tr w14:paraId="23395E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2" w:hRule="atLeast"/>
                <w:tblHeader/>
                <w:jc w:val="center"/>
              </w:trPr>
              <w:tc>
                <w:tcPr>
                  <w:tcW w:w="348" w:type="pct"/>
                  <w:noWrap w:val="0"/>
                  <w:vAlign w:val="center"/>
                </w:tcPr>
                <w:p w14:paraId="15C14162">
                  <w:pPr>
                    <w:pStyle w:val="6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环境管控单元编码</w:t>
                  </w:r>
                </w:p>
              </w:tc>
              <w:tc>
                <w:tcPr>
                  <w:tcW w:w="381" w:type="pct"/>
                  <w:noWrap w:val="0"/>
                  <w:vAlign w:val="center"/>
                </w:tcPr>
                <w:p w14:paraId="6112E5EE">
                  <w:pPr>
                    <w:pStyle w:val="6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环境管控单元名称</w:t>
                  </w:r>
                </w:p>
              </w:tc>
              <w:tc>
                <w:tcPr>
                  <w:tcW w:w="306" w:type="pct"/>
                  <w:noWrap w:val="0"/>
                  <w:vAlign w:val="center"/>
                </w:tcPr>
                <w:p w14:paraId="60CAD438">
                  <w:pPr>
                    <w:pStyle w:val="6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管控单元类别</w:t>
                  </w:r>
                </w:p>
              </w:tc>
              <w:tc>
                <w:tcPr>
                  <w:tcW w:w="2563" w:type="pct"/>
                  <w:gridSpan w:val="2"/>
                  <w:noWrap w:val="0"/>
                  <w:vAlign w:val="center"/>
                </w:tcPr>
                <w:p w14:paraId="0270F805">
                  <w:pPr>
                    <w:pStyle w:val="6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管控要求</w:t>
                  </w:r>
                </w:p>
              </w:tc>
              <w:tc>
                <w:tcPr>
                  <w:tcW w:w="1400" w:type="pct"/>
                  <w:noWrap w:val="0"/>
                  <w:vAlign w:val="center"/>
                </w:tcPr>
                <w:p w14:paraId="29FF7966">
                  <w:pPr>
                    <w:pStyle w:val="60"/>
                    <w:rPr>
                      <w:rFonts w:hint="default" w:ascii="Times New Roman" w:hAnsi="Times New Roman" w:cs="Times New Roman"/>
                      <w:color w:val="auto"/>
                      <w:sz w:val="21"/>
                      <w:szCs w:val="21"/>
                    </w:rPr>
                  </w:pPr>
                </w:p>
              </w:tc>
            </w:tr>
            <w:tr w14:paraId="7DA607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34" w:hRule="atLeast"/>
                <w:jc w:val="center"/>
              </w:trPr>
              <w:tc>
                <w:tcPr>
                  <w:tcW w:w="348" w:type="pct"/>
                  <w:vMerge w:val="restart"/>
                  <w:noWrap w:val="0"/>
                  <w:vAlign w:val="center"/>
                </w:tcPr>
                <w:p w14:paraId="25BCB453">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ZH23030620003</w:t>
                  </w:r>
                </w:p>
                <w:p w14:paraId="1C31E5F9">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81" w:type="pct"/>
                  <w:vMerge w:val="restart"/>
                  <w:noWrap w:val="0"/>
                  <w:vAlign w:val="center"/>
                </w:tcPr>
                <w:p w14:paraId="21CE187B">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 xml:space="preserve">城子河区水环境农业污 </w:t>
                  </w:r>
                </w:p>
                <w:p w14:paraId="1B48C059">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染重点管控区</w:t>
                  </w:r>
                </w:p>
                <w:p w14:paraId="0EA23BF2">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06" w:type="pct"/>
                  <w:vMerge w:val="restart"/>
                  <w:noWrap w:val="0"/>
                  <w:vAlign w:val="center"/>
                </w:tcPr>
                <w:p w14:paraId="744CCF23">
                  <w:pPr>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重点管控单元</w:t>
                  </w:r>
                </w:p>
              </w:tc>
              <w:tc>
                <w:tcPr>
                  <w:tcW w:w="312" w:type="pct"/>
                  <w:noWrap w:val="0"/>
                  <w:vAlign w:val="center"/>
                </w:tcPr>
                <w:p w14:paraId="32049704">
                  <w:pPr>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空间布局约束</w:t>
                  </w:r>
                </w:p>
              </w:tc>
              <w:tc>
                <w:tcPr>
                  <w:tcW w:w="2251" w:type="pct"/>
                  <w:noWrap w:val="0"/>
                  <w:vAlign w:val="center"/>
                </w:tcPr>
                <w:p w14:paraId="0362DEC3">
                  <w:pPr>
                    <w:keepNext w:val="0"/>
                    <w:keepLines w:val="0"/>
                    <w:widowControl/>
                    <w:numPr>
                      <w:ilvl w:val="0"/>
                      <w:numId w:val="2"/>
                    </w:numPr>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同时执行： （1）科学划定畜禽养殖禁养区。 （2）加快农业结构调整。松嫩平原和三江平原等地下水易受污染地区优先种植需肥需药量低、环境效益突出的农作物；在西部干旱区发展谷子、高粱等耐旱杂粮种植；在北部四、五积温区开展米豆麦轮作，促进化肥需求低的农作物面积恢复性增长。</w:t>
                  </w:r>
                </w:p>
                <w:p w14:paraId="72FD20D6">
                  <w:pPr>
                    <w:keepNext w:val="0"/>
                    <w:keepLines w:val="0"/>
                    <w:widowControl/>
                    <w:numPr>
                      <w:ilvl w:val="0"/>
                      <w:numId w:val="0"/>
                    </w:numPr>
                    <w:suppressLineNumbers w:val="0"/>
                    <w:jc w:val="left"/>
                    <w:rPr>
                      <w:color w:val="auto"/>
                    </w:rPr>
                  </w:pPr>
                  <w:r>
                    <w:rPr>
                      <w:rFonts w:hint="eastAsia" w:ascii="宋体" w:hAnsi="宋体" w:eastAsia="宋体" w:cs="宋体"/>
                      <w:color w:val="auto"/>
                      <w:kern w:val="0"/>
                      <w:sz w:val="21"/>
                      <w:szCs w:val="21"/>
                      <w:lang w:val="en-US" w:eastAsia="zh-CN" w:bidi="ar"/>
                    </w:rPr>
                    <w:t xml:space="preserve"> 2.大气环境布局敏感重点管控区同时执行 （1）严控“两高”行业产能。严格执行钢铁、水泥、平板玻璃等行业产能置换实施办法。 （2）利用水泥窑协同处置城市生活垃圾、危险废弃物、电石渣等固废伴生水泥项目，必须依托现有新型干法水泥 </w:t>
                  </w:r>
                </w:p>
                <w:p w14:paraId="620BF31C">
                  <w:pPr>
                    <w:keepNext w:val="0"/>
                    <w:keepLines w:val="0"/>
                    <w:widowControl/>
                    <w:suppressLineNumbers w:val="0"/>
                    <w:jc w:val="left"/>
                    <w:rPr>
                      <w:rFonts w:hint="default" w:ascii="Times New Roman" w:hAnsi="Times New Roman" w:eastAsia="宋体" w:cs="Times New Roman"/>
                      <w:color w:val="auto"/>
                      <w:sz w:val="21"/>
                      <w:szCs w:val="21"/>
                    </w:rPr>
                  </w:pPr>
                  <w:r>
                    <w:rPr>
                      <w:rFonts w:hint="eastAsia" w:ascii="宋体" w:hAnsi="宋体" w:eastAsia="宋体" w:cs="宋体"/>
                      <w:color w:val="auto"/>
                      <w:kern w:val="0"/>
                      <w:sz w:val="21"/>
                      <w:szCs w:val="21"/>
                      <w:lang w:val="en-US" w:eastAsia="zh-CN" w:bidi="ar"/>
                    </w:rPr>
                    <w:t>熟料生产线进行不扩产能改造。</w:t>
                  </w:r>
                </w:p>
              </w:tc>
              <w:tc>
                <w:tcPr>
                  <w:tcW w:w="1400" w:type="pct"/>
                  <w:noWrap w:val="0"/>
                  <w:vAlign w:val="center"/>
                </w:tcPr>
                <w:p w14:paraId="0C87086A">
                  <w:pPr>
                    <w:keepNext w:val="0"/>
                    <w:keepLines w:val="0"/>
                    <w:pageBreakBefore w:val="0"/>
                    <w:numPr>
                      <w:ilvl w:val="0"/>
                      <w:numId w:val="0"/>
                    </w:numPr>
                    <w:kinsoku/>
                    <w:wordWrap/>
                    <w:overflowPunct/>
                    <w:topLinePunct w:val="0"/>
                    <w:autoSpaceDE/>
                    <w:autoSpaceDN/>
                    <w:bidi w:val="0"/>
                    <w:adjustRightInd/>
                    <w:spacing w:line="0" w:lineRule="atLeast"/>
                    <w:ind w:firstLine="420" w:firstLineChars="200"/>
                    <w:jc w:val="both"/>
                    <w:textAlignment w:val="auto"/>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本项目属于热力生产和供应行业，不属于畜禽养殖企业</w:t>
                  </w:r>
                  <w:r>
                    <w:rPr>
                      <w:rFonts w:hint="eastAsia" w:cs="Times New Roman"/>
                      <w:color w:val="auto"/>
                      <w:sz w:val="21"/>
                      <w:szCs w:val="21"/>
                      <w:lang w:val="en-US" w:eastAsia="zh-CN"/>
                    </w:rPr>
                    <w:t>、“两高”行业、</w:t>
                  </w:r>
                  <w:r>
                    <w:rPr>
                      <w:rFonts w:hint="eastAsia" w:ascii="宋体" w:hAnsi="宋体" w:eastAsia="宋体" w:cs="宋体"/>
                      <w:color w:val="auto"/>
                      <w:kern w:val="0"/>
                      <w:sz w:val="21"/>
                      <w:szCs w:val="21"/>
                      <w:lang w:val="en-US" w:eastAsia="zh-CN" w:bidi="ar"/>
                    </w:rPr>
                    <w:t>利用水泥窑协同处置城市生活垃圾、危险废弃物、电石渣等固废伴生水泥项目</w:t>
                  </w:r>
                  <w:r>
                    <w:rPr>
                      <w:rFonts w:hint="default" w:ascii="Times New Roman" w:hAnsi="Times New Roman" w:eastAsia="宋体" w:cs="Times New Roman"/>
                      <w:color w:val="auto"/>
                      <w:sz w:val="21"/>
                      <w:szCs w:val="21"/>
                      <w:lang w:val="en-US" w:eastAsia="zh-CN"/>
                    </w:rPr>
                    <w:t>，符合空间约束管控要求</w:t>
                  </w:r>
                </w:p>
                <w:p w14:paraId="5C37DFD3">
                  <w:pPr>
                    <w:jc w:val="center"/>
                    <w:rPr>
                      <w:rFonts w:hint="default" w:ascii="Times New Roman" w:hAnsi="Times New Roman" w:eastAsia="宋体" w:cs="Times New Roman"/>
                      <w:color w:val="auto"/>
                      <w:sz w:val="21"/>
                      <w:szCs w:val="21"/>
                      <w:lang w:val="en-US" w:eastAsia="zh-CN"/>
                    </w:rPr>
                  </w:pPr>
                </w:p>
              </w:tc>
            </w:tr>
            <w:tr w14:paraId="770FFA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8" w:type="pct"/>
                  <w:vMerge w:val="continue"/>
                  <w:noWrap w:val="0"/>
                  <w:vAlign w:val="center"/>
                </w:tcPr>
                <w:p w14:paraId="4A7592C5">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81" w:type="pct"/>
                  <w:vMerge w:val="continue"/>
                  <w:noWrap w:val="0"/>
                  <w:vAlign w:val="center"/>
                </w:tcPr>
                <w:p w14:paraId="580F4766">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06" w:type="pct"/>
                  <w:vMerge w:val="continue"/>
                  <w:noWrap w:val="0"/>
                  <w:vAlign w:val="center"/>
                </w:tcPr>
                <w:p w14:paraId="2A6ADA2A">
                  <w:pPr>
                    <w:ind w:left="0" w:leftChars="0" w:right="0" w:rightChars="0"/>
                    <w:jc w:val="center"/>
                    <w:rPr>
                      <w:rFonts w:hint="default" w:ascii="Times New Roman" w:hAnsi="Times New Roman" w:eastAsia="宋体" w:cs="Times New Roman"/>
                      <w:color w:val="auto"/>
                      <w:sz w:val="21"/>
                      <w:szCs w:val="21"/>
                    </w:rPr>
                  </w:pPr>
                </w:p>
              </w:tc>
              <w:tc>
                <w:tcPr>
                  <w:tcW w:w="312" w:type="pct"/>
                  <w:noWrap w:val="0"/>
                  <w:vAlign w:val="center"/>
                </w:tcPr>
                <w:p w14:paraId="388D9729">
                  <w:pPr>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污染物排放管控</w:t>
                  </w:r>
                </w:p>
              </w:tc>
              <w:tc>
                <w:tcPr>
                  <w:tcW w:w="2251" w:type="pct"/>
                  <w:noWrap w:val="0"/>
                  <w:vAlign w:val="center"/>
                </w:tcPr>
                <w:p w14:paraId="15645E0C">
                  <w:pPr>
                    <w:keepNext w:val="0"/>
                    <w:keepLines w:val="0"/>
                    <w:widowControl/>
                    <w:suppressLineNumbers w:val="0"/>
                    <w:jc w:val="left"/>
                    <w:rPr>
                      <w:color w:val="auto"/>
                    </w:rPr>
                  </w:pPr>
                  <w:r>
                    <w:rPr>
                      <w:rFonts w:hint="eastAsia" w:ascii="宋体" w:hAnsi="宋体" w:eastAsia="宋体" w:cs="宋体"/>
                      <w:color w:val="auto"/>
                      <w:kern w:val="0"/>
                      <w:sz w:val="21"/>
                      <w:szCs w:val="21"/>
                      <w:lang w:val="en-US" w:eastAsia="zh-CN" w:bidi="ar"/>
                    </w:rPr>
                    <w:t>1.执行本清单 （1）支持规模化畜禽养殖场（小区）开展标准化改造和建设，提高畜禽粪污收集和处理机械化水平，实施雨污分流、粪污资源化利用，控制畜禽养殖污染排放。 （2） 畜禽养殖户应当及时</w:t>
                  </w:r>
                </w:p>
                <w:p w14:paraId="1A7AC4E3">
                  <w:pPr>
                    <w:keepNext w:val="0"/>
                    <w:keepLines w:val="0"/>
                    <w:widowControl/>
                    <w:suppressLineNumbers w:val="0"/>
                    <w:jc w:val="left"/>
                    <w:rPr>
                      <w:rFonts w:hint="default" w:ascii="Times New Roman" w:hAnsi="Times New Roman" w:eastAsia="宋体" w:cs="Times New Roman"/>
                      <w:color w:val="auto"/>
                      <w:sz w:val="21"/>
                      <w:szCs w:val="21"/>
                    </w:rPr>
                  </w:pPr>
                  <w:r>
                    <w:rPr>
                      <w:rFonts w:hint="eastAsia" w:ascii="宋体" w:hAnsi="宋体" w:eastAsia="宋体" w:cs="宋体"/>
                      <w:color w:val="auto"/>
                      <w:kern w:val="0"/>
                      <w:sz w:val="21"/>
                      <w:szCs w:val="21"/>
                      <w:lang w:val="en-US" w:eastAsia="zh-CN" w:bidi="ar"/>
                    </w:rPr>
                    <w:t>对畜禽粪便、污水进行收集、贮存、清运，或者进行无害化处理。县级人民政府应当组织对本行政区域的畜禽散养密集区畜禽粪便、污水进行集中处理利用，督促乡镇人民政府建设或者配备污染防治配套设施。 （3）全面加强农业面源污染防控，科学合理使用农业投入品，提高使用效率，减少农业内源性污染。 2.大气环境布局敏感重点管控区同时执行 （1）对以煤、石焦油、渣油、重油等为燃料的锅炉和工业炉窑，加快使用清洁低碳能源以及工厂余热、电力热力等进行替代。 （2）到 2025 年，在用 65 蒸吨/小时以上的燃煤锅炉（含电力）实现超低排放，钢铁企业基本实现超低排放。</w:t>
                  </w:r>
                </w:p>
              </w:tc>
              <w:tc>
                <w:tcPr>
                  <w:tcW w:w="1400" w:type="pct"/>
                  <w:noWrap w:val="0"/>
                  <w:vAlign w:val="center"/>
                </w:tcPr>
                <w:p w14:paraId="048BEAF5">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 xml:space="preserve">  </w:t>
                  </w:r>
                  <w:r>
                    <w:rPr>
                      <w:rFonts w:hint="default" w:ascii="Times New Roman" w:hAnsi="Times New Roman" w:eastAsia="宋体" w:cs="Times New Roman"/>
                      <w:color w:val="auto"/>
                      <w:sz w:val="21"/>
                      <w:szCs w:val="21"/>
                      <w:lang w:val="en-US" w:eastAsia="zh-CN"/>
                    </w:rPr>
                    <w:t>本项目</w:t>
                  </w:r>
                  <w:r>
                    <w:rPr>
                      <w:rFonts w:hint="eastAsia" w:cs="Times New Roman"/>
                      <w:color w:val="auto"/>
                      <w:sz w:val="21"/>
                      <w:szCs w:val="21"/>
                      <w:lang w:val="en-US" w:eastAsia="zh-CN"/>
                    </w:rPr>
                    <w:t>矿</w:t>
                  </w:r>
                  <w:r>
                    <w:rPr>
                      <w:rFonts w:hint="default" w:ascii="Times New Roman" w:hAnsi="Times New Roman" w:eastAsia="宋体" w:cs="Times New Roman"/>
                      <w:color w:val="auto"/>
                      <w:sz w:val="21"/>
                      <w:szCs w:val="21"/>
                      <w:lang w:val="en-US" w:eastAsia="zh-CN"/>
                    </w:rPr>
                    <w:t>井井筒防冻由一台5t/h生物质热风炉提供，生物质热风炉经布袋除尘器处理后由</w:t>
                  </w:r>
                  <w:r>
                    <w:rPr>
                      <w:rFonts w:hint="eastAsia" w:cs="Times New Roman"/>
                      <w:color w:val="auto"/>
                      <w:sz w:val="21"/>
                      <w:szCs w:val="21"/>
                      <w:lang w:val="en-US" w:eastAsia="zh-CN"/>
                    </w:rPr>
                    <w:t>20</w:t>
                  </w:r>
                  <w:r>
                    <w:rPr>
                      <w:rFonts w:hint="default" w:ascii="Times New Roman" w:hAnsi="Times New Roman" w:eastAsia="宋体" w:cs="Times New Roman"/>
                      <w:color w:val="auto"/>
                      <w:sz w:val="21"/>
                      <w:szCs w:val="21"/>
                      <w:lang w:val="en-US" w:eastAsia="zh-CN"/>
                    </w:rPr>
                    <w:t>m烟囱排放，布袋除尘器除尘效率为99%，对大气环境影响较小。本项目无生产废水产生，无新增员工，废水为原有员工产生的生活污水，经一体化设备处理后达标后排入地面静 压水池供井下消尘用水，废水不外排。符合污染物排放管控要求</w:t>
                  </w:r>
                </w:p>
                <w:p w14:paraId="3FFF2EA4">
                  <w:pPr>
                    <w:jc w:val="center"/>
                    <w:rPr>
                      <w:rFonts w:hint="default" w:ascii="Times New Roman" w:hAnsi="Times New Roman" w:eastAsia="宋体" w:cs="Times New Roman"/>
                      <w:color w:val="auto"/>
                      <w:sz w:val="21"/>
                      <w:szCs w:val="21"/>
                      <w:lang w:val="en-US" w:eastAsia="zh-CN"/>
                    </w:rPr>
                  </w:pPr>
                </w:p>
              </w:tc>
            </w:tr>
            <w:tr w14:paraId="25419D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70" w:hRule="atLeast"/>
                <w:jc w:val="center"/>
              </w:trPr>
              <w:tc>
                <w:tcPr>
                  <w:tcW w:w="348" w:type="pct"/>
                  <w:vMerge w:val="continue"/>
                  <w:noWrap w:val="0"/>
                  <w:vAlign w:val="center"/>
                </w:tcPr>
                <w:p w14:paraId="4F907D81">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81" w:type="pct"/>
                  <w:vMerge w:val="continue"/>
                  <w:noWrap w:val="0"/>
                  <w:vAlign w:val="center"/>
                </w:tcPr>
                <w:p w14:paraId="7D876E26">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06" w:type="pct"/>
                  <w:vMerge w:val="continue"/>
                  <w:noWrap w:val="0"/>
                  <w:vAlign w:val="center"/>
                </w:tcPr>
                <w:p w14:paraId="506256CA">
                  <w:pPr>
                    <w:ind w:left="0" w:leftChars="0" w:right="0" w:rightChars="0"/>
                    <w:jc w:val="center"/>
                    <w:rPr>
                      <w:rFonts w:hint="default" w:ascii="Times New Roman" w:hAnsi="Times New Roman" w:eastAsia="宋体" w:cs="Times New Roman"/>
                      <w:color w:val="auto"/>
                      <w:sz w:val="21"/>
                      <w:szCs w:val="21"/>
                    </w:rPr>
                  </w:pPr>
                </w:p>
              </w:tc>
              <w:tc>
                <w:tcPr>
                  <w:tcW w:w="312" w:type="pct"/>
                  <w:noWrap w:val="0"/>
                  <w:vAlign w:val="center"/>
                </w:tcPr>
                <w:p w14:paraId="0FA9D2CC">
                  <w:pPr>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环境风险防控</w:t>
                  </w:r>
                </w:p>
              </w:tc>
              <w:tc>
                <w:tcPr>
                  <w:tcW w:w="2251" w:type="pct"/>
                  <w:noWrap w:val="0"/>
                  <w:vAlign w:val="center"/>
                </w:tcPr>
                <w:p w14:paraId="1FDA881B">
                  <w:pPr>
                    <w:keepNext w:val="0"/>
                    <w:keepLines w:val="0"/>
                    <w:widowControl/>
                    <w:suppressLineNumbers w:val="0"/>
                    <w:jc w:val="left"/>
                    <w:rPr>
                      <w:color w:val="auto"/>
                    </w:rPr>
                  </w:pPr>
                  <w:r>
                    <w:rPr>
                      <w:rFonts w:hint="eastAsia" w:ascii="宋体" w:hAnsi="宋体" w:eastAsia="宋体" w:cs="宋体"/>
                      <w:color w:val="auto"/>
                      <w:kern w:val="0"/>
                      <w:sz w:val="21"/>
                      <w:szCs w:val="21"/>
                      <w:lang w:val="en-US" w:eastAsia="zh-CN" w:bidi="ar"/>
                    </w:rPr>
                    <w:t xml:space="preserve">大气环境布局敏感重点管控区同时执行本清单禁止在居民区、学校、医疗和养老机构等周边 </w:t>
                  </w:r>
                </w:p>
                <w:p w14:paraId="2D687C1C">
                  <w:pPr>
                    <w:keepNext w:val="0"/>
                    <w:keepLines w:val="0"/>
                    <w:widowControl/>
                    <w:suppressLineNumbers w:val="0"/>
                    <w:jc w:val="left"/>
                    <w:rPr>
                      <w:rFonts w:hint="default" w:ascii="Times New Roman" w:hAnsi="Times New Roman" w:eastAsia="宋体" w:cs="Times New Roman"/>
                      <w:color w:val="auto"/>
                      <w:sz w:val="21"/>
                      <w:szCs w:val="21"/>
                    </w:rPr>
                  </w:pPr>
                  <w:r>
                    <w:rPr>
                      <w:rFonts w:hint="eastAsia" w:ascii="宋体" w:hAnsi="宋体" w:eastAsia="宋体" w:cs="宋体"/>
                      <w:color w:val="auto"/>
                      <w:kern w:val="0"/>
                      <w:sz w:val="21"/>
                      <w:szCs w:val="21"/>
                      <w:lang w:val="en-US" w:eastAsia="zh-CN" w:bidi="ar"/>
                    </w:rPr>
                    <w:t>新建有色金属冶炼、焦化等行业企业。</w:t>
                  </w:r>
                </w:p>
              </w:tc>
              <w:tc>
                <w:tcPr>
                  <w:tcW w:w="1400" w:type="pct"/>
                  <w:noWrap w:val="0"/>
                  <w:vAlign w:val="center"/>
                </w:tcPr>
                <w:p w14:paraId="0F3B1F92">
                  <w:pPr>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本项目不属于清单中环境风险防控的内容</w:t>
                  </w:r>
                </w:p>
                <w:p w14:paraId="5C4402A8">
                  <w:pPr>
                    <w:jc w:val="center"/>
                    <w:rPr>
                      <w:rFonts w:hint="default" w:ascii="Times New Roman" w:hAnsi="Times New Roman" w:eastAsia="宋体" w:cs="Times New Roman"/>
                      <w:color w:val="auto"/>
                      <w:sz w:val="21"/>
                      <w:szCs w:val="21"/>
                      <w:lang w:val="en-US" w:eastAsia="zh-CN"/>
                    </w:rPr>
                  </w:pPr>
                </w:p>
              </w:tc>
            </w:tr>
            <w:tr w14:paraId="1345CE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2" w:hRule="atLeast"/>
                <w:jc w:val="center"/>
              </w:trPr>
              <w:tc>
                <w:tcPr>
                  <w:tcW w:w="348" w:type="pct"/>
                  <w:vMerge w:val="continue"/>
                  <w:noWrap w:val="0"/>
                  <w:vAlign w:val="center"/>
                </w:tcPr>
                <w:p w14:paraId="5C047CE7">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81" w:type="pct"/>
                  <w:vMerge w:val="continue"/>
                  <w:noWrap w:val="0"/>
                  <w:vAlign w:val="center"/>
                </w:tcPr>
                <w:p w14:paraId="4828C6C4">
                  <w:pPr>
                    <w:pStyle w:val="74"/>
                    <w:spacing w:before="0" w:line="240" w:lineRule="auto"/>
                    <w:ind w:left="0" w:leftChars="0" w:right="0" w:rightChars="0" w:firstLine="0" w:firstLineChars="0"/>
                    <w:jc w:val="center"/>
                    <w:rPr>
                      <w:rFonts w:hint="default" w:ascii="Times New Roman" w:hAnsi="Times New Roman" w:eastAsia="宋体" w:cs="Times New Roman"/>
                      <w:color w:val="auto"/>
                      <w:sz w:val="21"/>
                      <w:szCs w:val="21"/>
                    </w:rPr>
                  </w:pPr>
                </w:p>
              </w:tc>
              <w:tc>
                <w:tcPr>
                  <w:tcW w:w="306" w:type="pct"/>
                  <w:vMerge w:val="continue"/>
                  <w:noWrap w:val="0"/>
                  <w:vAlign w:val="center"/>
                </w:tcPr>
                <w:p w14:paraId="0A93721E">
                  <w:pPr>
                    <w:ind w:left="0" w:leftChars="0" w:right="0" w:rightChars="0"/>
                    <w:jc w:val="center"/>
                    <w:rPr>
                      <w:rFonts w:hint="default" w:ascii="Times New Roman" w:hAnsi="Times New Roman" w:eastAsia="宋体" w:cs="Times New Roman"/>
                      <w:color w:val="auto"/>
                      <w:sz w:val="21"/>
                      <w:szCs w:val="21"/>
                    </w:rPr>
                  </w:pPr>
                </w:p>
              </w:tc>
              <w:tc>
                <w:tcPr>
                  <w:tcW w:w="312" w:type="pct"/>
                  <w:noWrap w:val="0"/>
                  <w:vAlign w:val="center"/>
                </w:tcPr>
                <w:p w14:paraId="76B2627A">
                  <w:pPr>
                    <w:ind w:left="0" w:leftChars="0" w:right="0" w:rightChars="0"/>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lang w:val="en-US" w:eastAsia="zh-CN"/>
                    </w:rPr>
                    <w:t>资源开发效率要求</w:t>
                  </w:r>
                </w:p>
              </w:tc>
              <w:tc>
                <w:tcPr>
                  <w:tcW w:w="2251" w:type="pct"/>
                  <w:noWrap w:val="0"/>
                  <w:vAlign w:val="center"/>
                </w:tcPr>
                <w:p w14:paraId="6B80B51A">
                  <w:pPr>
                    <w:jc w:val="center"/>
                    <w:rPr>
                      <w:rFonts w:hint="default" w:ascii="Times New Roman" w:hAnsi="Times New Roman" w:eastAsia="宋体" w:cs="Times New Roman"/>
                      <w:color w:val="auto"/>
                      <w:sz w:val="21"/>
                      <w:szCs w:val="21"/>
                    </w:rPr>
                  </w:pPr>
                  <w:r>
                    <w:rPr>
                      <w:rFonts w:hint="eastAsia" w:cs="Times New Roman"/>
                      <w:color w:val="auto"/>
                      <w:sz w:val="21"/>
                      <w:szCs w:val="21"/>
                      <w:lang w:val="en-US" w:eastAsia="zh-CN"/>
                    </w:rPr>
                    <w:t>/</w:t>
                  </w:r>
                </w:p>
              </w:tc>
              <w:tc>
                <w:tcPr>
                  <w:tcW w:w="1400" w:type="pct"/>
                  <w:noWrap w:val="0"/>
                  <w:vAlign w:val="center"/>
                </w:tcPr>
                <w:p w14:paraId="7F8E997E">
                  <w:pPr>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w:t>
                  </w:r>
                </w:p>
              </w:tc>
            </w:tr>
          </w:tbl>
          <w:p w14:paraId="3B2C52F8">
            <w:pPr>
              <w:pStyle w:val="12"/>
              <w:keepNext w:val="0"/>
              <w:keepLines w:val="0"/>
              <w:pageBreakBefore w:val="0"/>
              <w:widowControl w:val="0"/>
              <w:numPr>
                <w:ilvl w:val="0"/>
                <w:numId w:val="0"/>
              </w:numPr>
              <w:kinsoku/>
              <w:wordWrap/>
              <w:overflowPunct/>
              <w:topLinePunct w:val="0"/>
              <w:autoSpaceDE/>
              <w:autoSpaceDN/>
              <w:bidi w:val="0"/>
              <w:adjustRightInd/>
              <w:snapToGrid/>
              <w:spacing w:before="0" w:after="0" w:line="360" w:lineRule="auto"/>
              <w:ind w:right="0" w:rightChars="0" w:firstLine="480" w:firstLineChars="200"/>
              <w:jc w:val="both"/>
              <w:textAlignment w:val="auto"/>
              <w:outlineLvl w:val="9"/>
              <w:rPr>
                <w:rFonts w:hint="eastAsia" w:ascii="Times New Roman" w:hAnsi="Times New Roman" w:eastAsia="宋体" w:cs="Times New Roman"/>
                <w:color w:val="auto"/>
                <w:kern w:val="2"/>
                <w:sz w:val="24"/>
                <w:szCs w:val="24"/>
                <w:lang w:val="en-US" w:eastAsia="zh-CN" w:bidi="ar-SA"/>
              </w:rPr>
            </w:pPr>
            <w:r>
              <w:rPr>
                <w:rFonts w:hint="eastAsia" w:ascii="Times New Roman" w:hAnsi="Times New Roman" w:eastAsia="宋体" w:cs="Times New Roman"/>
                <w:color w:val="auto"/>
                <w:kern w:val="2"/>
                <w:sz w:val="24"/>
                <w:szCs w:val="24"/>
                <w:lang w:val="en-US" w:eastAsia="zh-CN" w:bidi="ar-SA"/>
              </w:rPr>
              <w:t>综上分析，本项目符合《鸡西市人民政府关于实施“三线一单”生态环境分区管控的意见》（鸡政发〔2021〕7号）、《鸡西市及管控单元生态环境准入清单》的要求。</w:t>
            </w:r>
          </w:p>
          <w:p w14:paraId="0EBBF746">
            <w:pPr>
              <w:pStyle w:val="16"/>
              <w:numPr>
                <w:ilvl w:val="0"/>
                <w:numId w:val="0"/>
              </w:numPr>
              <w:rPr>
                <w:rFonts w:hint="default"/>
                <w:color w:val="auto"/>
                <w:lang w:val="en-US" w:eastAsia="zh-CN"/>
              </w:rPr>
            </w:pPr>
            <w:r>
              <w:rPr>
                <w:rFonts w:hint="eastAsia" w:cs="Times New Roman"/>
                <w:color w:val="auto"/>
                <w:kern w:val="2"/>
                <w:sz w:val="24"/>
                <w:szCs w:val="24"/>
                <w:lang w:val="en-US" w:eastAsia="zh-CN" w:bidi="ar-SA"/>
              </w:rPr>
              <w:t xml:space="preserve">  </w:t>
            </w:r>
          </w:p>
          <w:p w14:paraId="18CD1F95">
            <w:pPr>
              <w:pStyle w:val="16"/>
              <w:numPr>
                <w:ilvl w:val="0"/>
                <w:numId w:val="0"/>
              </w:numPr>
              <w:rPr>
                <w:rFonts w:hint="default"/>
                <w:color w:val="auto"/>
                <w:lang w:val="en-US" w:eastAsia="zh-CN"/>
              </w:rPr>
            </w:pPr>
          </w:p>
          <w:p w14:paraId="52528963">
            <w:pPr>
              <w:spacing w:line="360" w:lineRule="auto"/>
              <w:ind w:firstLine="420" w:firstLineChars="200"/>
              <w:rPr>
                <w:rFonts w:hint="eastAsia" w:ascii="Times New Roman" w:hAnsi="Times New Roman" w:eastAsia="宋体" w:cs="Times New Roman"/>
                <w:color w:val="auto"/>
                <w:kern w:val="0"/>
                <w:szCs w:val="21"/>
                <w:lang w:val="en-US" w:eastAsia="zh-CN"/>
              </w:rPr>
            </w:pPr>
          </w:p>
        </w:tc>
      </w:tr>
    </w:tbl>
    <w:p w14:paraId="4AC347CE">
      <w:pPr>
        <w:pStyle w:val="38"/>
        <w:outlineLvl w:val="9"/>
        <w:rPr>
          <w:rFonts w:hint="default"/>
          <w:color w:val="auto"/>
        </w:rPr>
        <w:sectPr>
          <w:pgSz w:w="16838" w:h="11906" w:orient="landscape"/>
          <w:pgMar w:top="1531" w:right="1701" w:bottom="1531" w:left="1701" w:header="851" w:footer="1077" w:gutter="0"/>
          <w:pgBorders>
            <w:top w:val="none" w:sz="0" w:space="0"/>
            <w:left w:val="none" w:sz="0" w:space="0"/>
            <w:bottom w:val="none" w:sz="0" w:space="0"/>
            <w:right w:val="none" w:sz="0" w:space="0"/>
          </w:pgBorders>
          <w:pgNumType w:fmt="decimal"/>
          <w:cols w:space="720" w:num="1"/>
          <w:docGrid w:linePitch="312" w:charSpace="0"/>
        </w:sectPr>
      </w:pPr>
    </w:p>
    <w:tbl>
      <w:tblPr>
        <w:tblStyle w:val="30"/>
        <w:tblW w:w="9219"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072"/>
        <w:gridCol w:w="8147"/>
      </w:tblGrid>
      <w:tr w14:paraId="66CD681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178" w:hRule="atLeast"/>
          <w:jc w:val="center"/>
        </w:trPr>
        <w:tc>
          <w:tcPr>
            <w:tcW w:w="1072" w:type="dxa"/>
            <w:noWrap w:val="0"/>
            <w:vAlign w:val="center"/>
          </w:tcPr>
          <w:p w14:paraId="31E9AAB2">
            <w:pPr>
              <w:autoSpaceDE w:val="0"/>
              <w:autoSpaceDN w:val="0"/>
              <w:adjustRightInd w:val="0"/>
              <w:snapToGrid w:val="0"/>
              <w:jc w:val="center"/>
              <w:rPr>
                <w:rFonts w:hint="default" w:ascii="Times New Roman" w:hAnsi="Times New Roman" w:cs="Times New Roman"/>
                <w:color w:val="auto"/>
                <w:kern w:val="0"/>
                <w:szCs w:val="21"/>
              </w:rPr>
            </w:pPr>
          </w:p>
        </w:tc>
        <w:tc>
          <w:tcPr>
            <w:tcW w:w="8147" w:type="dxa"/>
            <w:noWrap w:val="0"/>
            <w:vAlign w:val="top"/>
          </w:tcPr>
          <w:p w14:paraId="1E7863C4">
            <w:pPr>
              <w:tabs>
                <w:tab w:val="left" w:pos="6480"/>
              </w:tabs>
              <w:autoSpaceDE w:val="0"/>
              <w:autoSpaceDN w:val="0"/>
              <w:spacing w:line="360" w:lineRule="auto"/>
              <w:ind w:firstLine="480" w:firstLineChars="200"/>
              <w:rPr>
                <w:rFonts w:hint="eastAsia"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3</w:t>
            </w:r>
            <w:r>
              <w:rPr>
                <w:rFonts w:hint="default" w:ascii="Times New Roman" w:hAnsi="Times New Roman" w:eastAsia="宋体" w:cs="Times New Roman"/>
                <w:color w:val="auto"/>
                <w:sz w:val="24"/>
                <w:szCs w:val="24"/>
                <w:lang w:val="en-US" w:eastAsia="zh-CN"/>
              </w:rPr>
              <w:t>）</w:t>
            </w:r>
            <w:r>
              <w:rPr>
                <w:rFonts w:hint="eastAsia" w:ascii="Times New Roman" w:hAnsi="Times New Roman" w:eastAsia="宋体" w:cs="Times New Roman"/>
                <w:color w:val="auto"/>
                <w:sz w:val="24"/>
                <w:szCs w:val="24"/>
                <w:lang w:val="en-US" w:eastAsia="zh-CN"/>
              </w:rPr>
              <w:t>“一说明”</w:t>
            </w:r>
          </w:p>
          <w:p w14:paraId="75070DFF">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鸡西市城子河铁城煤矿锅炉改扩建项目位置涉及鸡西市城子河区</w:t>
            </w:r>
            <w:r>
              <w:rPr>
                <w:rFonts w:hint="eastAsia" w:ascii="Times New Roman" w:hAnsi="Times New Roman" w:eastAsia="宋体"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 xml:space="preserve">项目占地总面积0.04平方公里。 </w:t>
            </w:r>
          </w:p>
          <w:p w14:paraId="5CBCE9FA">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与生态保护红线交集面积为0.00平方公里，占项目占地面积的0.00%。 </w:t>
            </w:r>
          </w:p>
          <w:p w14:paraId="7AE4C9F9">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与自然保护地整合优化方案数据交集面积为0.00平方公里，占项目占地面积的0.00%。保护地涉及等类型。与自然保护地（现状管理数据）交集面积为0.00 平方公里，占项目占地面积的0.00%。保护地涉及等类型。 </w:t>
            </w:r>
          </w:p>
          <w:p w14:paraId="5F7D9EA5">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与饮用水水源保护区交集面积为0.00平方公里，占项占地面积的 0.00%。与国家级水产种质资源保护区交集面积为0.00平方公里，占项</w:t>
            </w:r>
            <w:r>
              <w:rPr>
                <w:rFonts w:hint="eastAsia" w:ascii="Times New Roman" w:hAnsi="Times New Roman" w:eastAsia="宋体" w:cs="Times New Roman"/>
                <w:color w:val="auto"/>
                <w:sz w:val="24"/>
                <w:szCs w:val="24"/>
                <w:lang w:val="en-US" w:eastAsia="zh-CN"/>
              </w:rPr>
              <w:t>目</w:t>
            </w:r>
            <w:r>
              <w:rPr>
                <w:rFonts w:hint="default" w:ascii="Times New Roman" w:hAnsi="Times New Roman" w:eastAsia="宋体" w:cs="Times New Roman"/>
                <w:color w:val="auto"/>
                <w:sz w:val="24"/>
                <w:szCs w:val="24"/>
                <w:lang w:val="en-US" w:eastAsia="zh-CN"/>
              </w:rPr>
              <w:t xml:space="preserve">占地面积的 0.00%。 </w:t>
            </w:r>
          </w:p>
          <w:p w14:paraId="30D4BBF3">
            <w:pPr>
              <w:tabs>
                <w:tab w:val="left" w:pos="6480"/>
              </w:tabs>
              <w:autoSpaceDE w:val="0"/>
              <w:autoSpaceDN w:val="0"/>
              <w:spacing w:line="360" w:lineRule="auto"/>
              <w:ind w:firstLine="480" w:firstLineChars="20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 xml:space="preserve">与环境管控单元优先保护单元交集面积为0.00平方公里，占项目占地面积的0.00%；与重点管控单元交集面积为0.04 平方公里，占项目占地面积的100.00%；一般管控单元交集面积为0.00 平方公里，占项目占地面积的0.00%。 </w:t>
            </w:r>
          </w:p>
          <w:p w14:paraId="7588E5C7">
            <w:pPr>
              <w:tabs>
                <w:tab w:val="left" w:pos="6480"/>
              </w:tabs>
              <w:autoSpaceDE w:val="0"/>
              <w:autoSpaceDN w:val="0"/>
              <w:spacing w:line="360" w:lineRule="auto"/>
              <w:ind w:firstLine="480" w:firstLineChars="200"/>
              <w:rPr>
                <w:rFonts w:hint="eastAsia" w:cs="Times New Roman"/>
                <w:b/>
                <w:bCs/>
                <w:color w:val="auto"/>
                <w:sz w:val="24"/>
                <w:lang w:val="en-US" w:eastAsia="zh-CN"/>
              </w:rPr>
            </w:pPr>
            <w:r>
              <w:rPr>
                <w:rFonts w:hint="default" w:ascii="Times New Roman" w:hAnsi="Times New Roman" w:eastAsia="宋体" w:cs="Times New Roman"/>
                <w:color w:val="auto"/>
                <w:sz w:val="24"/>
                <w:szCs w:val="24"/>
                <w:lang w:val="en-US" w:eastAsia="zh-CN"/>
              </w:rPr>
              <w:t>与地下水环境优先保护区交集面积为0.00平方公里，占项目占地面积的 0.00%；与地下水环境重点管控区交集面积为0.00平方公里，占项目占地面积的0.00%，与地下水环境一般管控区交集面积为0.04平方公里，占项目占地面积的100.00%。</w:t>
            </w:r>
          </w:p>
          <w:p w14:paraId="5147F44C">
            <w:pPr>
              <w:numPr>
                <w:ilvl w:val="0"/>
                <w:numId w:val="3"/>
              </w:numPr>
              <w:spacing w:line="360" w:lineRule="auto"/>
              <w:ind w:firstLine="482" w:firstLineChars="200"/>
              <w:rPr>
                <w:rFonts w:hint="eastAsia" w:cs="Times New Roman"/>
                <w:b/>
                <w:bCs/>
                <w:color w:val="auto"/>
                <w:sz w:val="24"/>
                <w:lang w:val="en-US" w:eastAsia="zh-CN"/>
              </w:rPr>
            </w:pPr>
            <w:r>
              <w:rPr>
                <w:rFonts w:hint="eastAsia" w:cs="Times New Roman"/>
                <w:b/>
                <w:bCs/>
                <w:color w:val="auto"/>
                <w:sz w:val="24"/>
                <w:lang w:val="en-US" w:eastAsia="zh-CN"/>
              </w:rPr>
              <w:t>鸡西市国土空间总体规划成果符合性分析</w:t>
            </w:r>
          </w:p>
          <w:p w14:paraId="1E86036E">
            <w:pPr>
              <w:tabs>
                <w:tab w:val="left" w:pos="6480"/>
              </w:tabs>
              <w:autoSpaceDE w:val="0"/>
              <w:autoSpaceDN w:val="0"/>
              <w:spacing w:line="360" w:lineRule="auto"/>
              <w:ind w:firstLine="480" w:firstLineChars="200"/>
              <w:rPr>
                <w:rFonts w:hint="default" w:cs="Times New Roman"/>
                <w:b/>
                <w:bCs/>
                <w:color w:val="auto"/>
                <w:sz w:val="24"/>
                <w:lang w:val="en-US" w:eastAsia="zh-CN"/>
              </w:rPr>
            </w:pPr>
            <w:r>
              <w:rPr>
                <w:rFonts w:hint="eastAsia" w:ascii="Times New Roman" w:hAnsi="Times New Roman" w:eastAsia="宋体" w:cs="Times New Roman"/>
                <w:color w:val="auto"/>
                <w:sz w:val="24"/>
                <w:szCs w:val="24"/>
                <w:lang w:eastAsia="zh-CN"/>
              </w:rPr>
              <w:t>根据《自然资源部办公厅关于依据“三区三线”划定成果报批建设项目用地用海有关事宜的函》（自然资办函〔2022〕2072号）和《鸡西市国土空间总体规划（2021-2035年）》中“三区三线”划定成果可知，本项目所在区域内无自然保护区、风景名胜区、水源地保护区、野生动植物保护区及重要湿地分布，本项目不涉及生态保护红线，</w:t>
            </w:r>
            <w:r>
              <w:rPr>
                <w:rFonts w:hint="eastAsia" w:ascii="Times New Roman" w:hAnsi="Times New Roman" w:eastAsia="宋体" w:cs="Times New Roman"/>
                <w:color w:val="auto"/>
                <w:sz w:val="24"/>
                <w:szCs w:val="24"/>
                <w:highlight w:val="none"/>
                <w:lang w:eastAsia="zh-CN"/>
              </w:rPr>
              <w:t>本项目拟建厂区所在位置按照建设用地报批</w:t>
            </w:r>
            <w:r>
              <w:rPr>
                <w:rFonts w:hint="eastAsia" w:cs="Times New Roman"/>
                <w:color w:val="auto"/>
                <w:sz w:val="24"/>
                <w:szCs w:val="24"/>
                <w:highlight w:val="none"/>
                <w:lang w:eastAsia="zh-CN"/>
              </w:rPr>
              <w:t>且</w:t>
            </w:r>
            <w:r>
              <w:rPr>
                <w:rFonts w:hint="eastAsia" w:ascii="Times New Roman" w:hAnsi="Times New Roman" w:eastAsia="宋体" w:cs="Times New Roman"/>
                <w:color w:val="auto"/>
                <w:sz w:val="24"/>
                <w:szCs w:val="24"/>
                <w:highlight w:val="none"/>
                <w:lang w:eastAsia="zh-CN"/>
              </w:rPr>
              <w:t>不涉及永久基本农田，项目所在地位于城镇开发边界范围外。</w:t>
            </w:r>
          </w:p>
          <w:p w14:paraId="48A3C2FB">
            <w:pPr>
              <w:spacing w:line="360" w:lineRule="auto"/>
              <w:ind w:firstLine="482" w:firstLineChars="200"/>
              <w:rPr>
                <w:rFonts w:hint="default" w:ascii="Times New Roman" w:hAnsi="Times New Roman" w:cs="Times New Roman"/>
                <w:b/>
                <w:bCs/>
                <w:color w:val="auto"/>
                <w:kern w:val="0"/>
                <w:sz w:val="24"/>
                <w:szCs w:val="24"/>
                <w:lang w:val="en-US" w:eastAsia="zh-CN"/>
              </w:rPr>
            </w:pPr>
            <w:r>
              <w:rPr>
                <w:rFonts w:hint="eastAsia" w:cs="Times New Roman"/>
                <w:b/>
                <w:bCs/>
                <w:color w:val="auto"/>
                <w:kern w:val="0"/>
                <w:sz w:val="24"/>
                <w:szCs w:val="24"/>
                <w:lang w:val="en-US" w:eastAsia="zh-CN"/>
              </w:rPr>
              <w:t>3</w:t>
            </w:r>
            <w:r>
              <w:rPr>
                <w:rFonts w:hint="eastAsia" w:ascii="Times New Roman" w:hAnsi="Times New Roman" w:cs="Times New Roman"/>
                <w:b/>
                <w:bCs/>
                <w:color w:val="auto"/>
                <w:kern w:val="0"/>
                <w:sz w:val="24"/>
                <w:szCs w:val="24"/>
                <w:lang w:val="en-US" w:eastAsia="zh-CN"/>
              </w:rPr>
              <w:t>、</w:t>
            </w:r>
            <w:r>
              <w:rPr>
                <w:rFonts w:hint="default" w:ascii="Times New Roman" w:hAnsi="Times New Roman" w:cs="Times New Roman"/>
                <w:b/>
                <w:bCs/>
                <w:color w:val="auto"/>
                <w:kern w:val="0"/>
                <w:sz w:val="24"/>
                <w:szCs w:val="24"/>
                <w:lang w:val="en-US" w:eastAsia="zh-CN"/>
              </w:rPr>
              <w:t>产业政策符合性分析</w:t>
            </w:r>
          </w:p>
          <w:p w14:paraId="695BAE9C">
            <w:pPr>
              <w:spacing w:line="360" w:lineRule="auto"/>
              <w:ind w:firstLine="480" w:firstLineChars="200"/>
              <w:rPr>
                <w:rFonts w:hint="default" w:ascii="Times New Roman" w:hAnsi="Times New Roman" w:cs="Times New Roman"/>
                <w:b/>
                <w:bCs/>
                <w:color w:val="auto"/>
                <w:kern w:val="0"/>
                <w:sz w:val="24"/>
                <w:szCs w:val="24"/>
                <w:lang w:val="en-US" w:eastAsia="zh-CN"/>
              </w:rPr>
            </w:pPr>
            <w:r>
              <w:rPr>
                <w:rFonts w:hint="eastAsia"/>
                <w:color w:val="auto"/>
                <w:sz w:val="24"/>
              </w:rPr>
              <w:t>根据《产业结构调整指导目录（2024年本）》</w:t>
            </w:r>
            <w:r>
              <w:rPr>
                <w:color w:val="auto"/>
                <w:sz w:val="24"/>
              </w:rPr>
              <w:t>，本项目</w:t>
            </w:r>
            <w:r>
              <w:rPr>
                <w:rFonts w:hint="eastAsia" w:ascii="宋体" w:hAnsi="宋体" w:eastAsia="宋体" w:cs="宋体"/>
                <w:color w:val="auto"/>
                <w:sz w:val="24"/>
                <w:szCs w:val="24"/>
              </w:rPr>
              <w:t>不属于鼓励类、限制类和淘汰类，且符合国家有关法律法规和政策规定</w:t>
            </w:r>
            <w:r>
              <w:rPr>
                <w:rFonts w:hint="eastAsia" w:ascii="宋体" w:hAnsi="宋体" w:eastAsia="宋体" w:cs="宋体"/>
                <w:color w:val="auto"/>
                <w:sz w:val="24"/>
                <w:szCs w:val="24"/>
                <w:lang w:val="en-US" w:eastAsia="zh-CN"/>
              </w:rPr>
              <w:t>的项目</w:t>
            </w:r>
            <w:r>
              <w:rPr>
                <w:rFonts w:hint="eastAsia" w:ascii="宋体" w:hAnsi="宋体" w:eastAsia="宋体" w:cs="宋体"/>
                <w:color w:val="auto"/>
                <w:sz w:val="24"/>
                <w:szCs w:val="24"/>
              </w:rPr>
              <w:t>属于允许类项目</w:t>
            </w:r>
            <w:r>
              <w:rPr>
                <w:rFonts w:hint="eastAsia" w:ascii="宋体" w:hAnsi="宋体" w:eastAsia="宋体" w:cs="宋体"/>
                <w:color w:val="auto"/>
                <w:sz w:val="24"/>
                <w:szCs w:val="24"/>
                <w:lang w:val="en-US" w:eastAsia="zh-CN"/>
              </w:rPr>
              <w:t>。</w:t>
            </w:r>
          </w:p>
          <w:p w14:paraId="7DE3F0B9">
            <w:pPr>
              <w:spacing w:line="360" w:lineRule="auto"/>
              <w:ind w:firstLine="482" w:firstLineChars="200"/>
              <w:rPr>
                <w:b/>
                <w:bCs/>
                <w:color w:val="auto"/>
                <w:sz w:val="24"/>
              </w:rPr>
            </w:pPr>
            <w:r>
              <w:rPr>
                <w:rFonts w:hint="eastAsia" w:cs="Times New Roman"/>
                <w:b/>
                <w:bCs/>
                <w:color w:val="auto"/>
                <w:kern w:val="0"/>
                <w:sz w:val="24"/>
                <w:szCs w:val="24"/>
                <w:highlight w:val="none"/>
                <w:lang w:val="en-US" w:eastAsia="zh-CN"/>
              </w:rPr>
              <w:t>4</w:t>
            </w:r>
            <w:r>
              <w:rPr>
                <w:rFonts w:hint="eastAsia" w:ascii="Times New Roman" w:hAnsi="Times New Roman" w:cs="Times New Roman"/>
                <w:b/>
                <w:bCs/>
                <w:color w:val="auto"/>
                <w:kern w:val="0"/>
                <w:sz w:val="24"/>
                <w:szCs w:val="24"/>
                <w:highlight w:val="none"/>
                <w:lang w:val="en-US" w:eastAsia="zh-CN"/>
              </w:rPr>
              <w:t>、</w:t>
            </w:r>
            <w:r>
              <w:rPr>
                <w:b/>
                <w:bCs/>
                <w:color w:val="auto"/>
                <w:sz w:val="24"/>
                <w:highlight w:val="none"/>
              </w:rPr>
              <w:t>选址合理性分析</w:t>
            </w:r>
            <w:r>
              <w:rPr>
                <w:rFonts w:hint="eastAsia"/>
                <w:b/>
                <w:bCs/>
                <w:color w:val="auto"/>
                <w:sz w:val="24"/>
                <w:highlight w:val="none"/>
              </w:rPr>
              <w:t xml:space="preserve">     </w:t>
            </w:r>
            <w:r>
              <w:rPr>
                <w:rFonts w:hint="eastAsia"/>
                <w:b/>
                <w:bCs/>
                <w:color w:val="auto"/>
                <w:sz w:val="24"/>
              </w:rPr>
              <w:t xml:space="preserve"> </w:t>
            </w:r>
          </w:p>
          <w:p w14:paraId="565C9460">
            <w:pPr>
              <w:spacing w:line="360" w:lineRule="auto"/>
              <w:ind w:firstLine="480" w:firstLineChars="200"/>
              <w:rPr>
                <w:color w:val="auto"/>
                <w:sz w:val="24"/>
              </w:rPr>
            </w:pPr>
            <w:r>
              <w:rPr>
                <w:color w:val="auto"/>
                <w:sz w:val="24"/>
              </w:rPr>
              <w:t>本项目位于</w:t>
            </w:r>
            <w:r>
              <w:rPr>
                <w:rFonts w:hint="eastAsia"/>
                <w:color w:val="auto"/>
                <w:sz w:val="24"/>
                <w:lang w:val="en-US" w:eastAsia="zh-CN"/>
              </w:rPr>
              <w:t>黑龙江省</w:t>
            </w:r>
            <w:r>
              <w:rPr>
                <w:rFonts w:hint="eastAsia"/>
                <w:color w:val="auto"/>
                <w:sz w:val="24"/>
                <w:highlight w:val="none"/>
                <w:lang w:val="en-US" w:eastAsia="zh-CN"/>
              </w:rPr>
              <w:t>鸡西市</w:t>
            </w:r>
            <w:r>
              <w:rPr>
                <w:rFonts w:hint="eastAsia" w:ascii="宋体" w:hAnsi="宋体" w:eastAsia="宋体" w:cs="宋体"/>
                <w:color w:val="auto"/>
                <w:sz w:val="24"/>
                <w:szCs w:val="24"/>
                <w:lang w:val="en-US" w:eastAsia="zh-CN"/>
              </w:rPr>
              <w:t>鸡西市城子河铁城煤矿有限公司现有厂区内</w:t>
            </w:r>
            <w:r>
              <w:rPr>
                <w:rFonts w:hint="eastAsia"/>
                <w:color w:val="auto"/>
                <w:sz w:val="24"/>
                <w:highlight w:val="none"/>
                <w:lang w:val="en-US" w:eastAsia="zh-CN"/>
              </w:rPr>
              <w:t>，</w:t>
            </w:r>
            <w:r>
              <w:rPr>
                <w:color w:val="auto"/>
                <w:sz w:val="24"/>
                <w:highlight w:val="none"/>
              </w:rPr>
              <w:t>用地性质</w:t>
            </w:r>
            <w:r>
              <w:rPr>
                <w:color w:val="auto"/>
                <w:sz w:val="24"/>
              </w:rPr>
              <w:t>为</w:t>
            </w:r>
            <w:r>
              <w:rPr>
                <w:rFonts w:hint="eastAsia"/>
                <w:color w:val="auto"/>
                <w:sz w:val="24"/>
                <w:highlight w:val="none"/>
                <w:lang w:eastAsia="zh-CN"/>
              </w:rPr>
              <w:t>采矿用地</w:t>
            </w:r>
            <w:r>
              <w:rPr>
                <w:color w:val="auto"/>
                <w:sz w:val="24"/>
              </w:rPr>
              <w:t>，</w:t>
            </w:r>
            <w:r>
              <w:rPr>
                <w:color w:val="auto"/>
                <w:sz w:val="24"/>
                <w:highlight w:val="none"/>
              </w:rPr>
              <w:t>项目</w:t>
            </w:r>
            <w:r>
              <w:rPr>
                <w:rFonts w:hint="eastAsia"/>
                <w:color w:val="auto"/>
                <w:sz w:val="24"/>
                <w:highlight w:val="none"/>
                <w:lang w:eastAsia="zh-CN"/>
              </w:rPr>
              <w:t>四周均为工业场地，</w:t>
            </w:r>
            <w:r>
              <w:rPr>
                <w:rFonts w:hint="eastAsia"/>
                <w:color w:val="auto"/>
                <w:sz w:val="24"/>
                <w:highlight w:val="none"/>
              </w:rPr>
              <w:t>符</w:t>
            </w:r>
            <w:r>
              <w:rPr>
                <w:rFonts w:hint="eastAsia"/>
                <w:color w:val="auto"/>
                <w:sz w:val="24"/>
              </w:rPr>
              <w:t>合</w:t>
            </w:r>
            <w:r>
              <w:rPr>
                <w:rFonts w:hint="eastAsia"/>
                <w:color w:val="auto"/>
                <w:sz w:val="24"/>
                <w:lang w:eastAsia="zh-CN"/>
              </w:rPr>
              <w:t>鸡西</w:t>
            </w:r>
            <w:r>
              <w:rPr>
                <w:color w:val="auto"/>
                <w:sz w:val="24"/>
              </w:rPr>
              <w:t>市土地利用规划</w:t>
            </w:r>
            <w:r>
              <w:rPr>
                <w:rFonts w:hint="eastAsia"/>
                <w:color w:val="auto"/>
                <w:sz w:val="24"/>
              </w:rPr>
              <w:t>。</w:t>
            </w:r>
            <w:r>
              <w:rPr>
                <w:color w:val="auto"/>
                <w:sz w:val="24"/>
              </w:rPr>
              <w:t>本项目评价范围内没有自然保护区、风景名胜区、饮用水水源保护区等环境敏感目标；其次有良好的施工条件，选址地势平坦，构造稳定，无影响地质的大断裂和不良地质现象；再次项目所在区域交通通讯便利，为生产运营提供了方便；该区域环境质量较好，大气和声环境能够满足标准要求。</w:t>
            </w:r>
          </w:p>
          <w:p w14:paraId="6D5D5DC0">
            <w:pPr>
              <w:spacing w:line="360" w:lineRule="auto"/>
              <w:ind w:firstLine="480" w:firstLineChars="200"/>
              <w:rPr>
                <w:rFonts w:hint="eastAsia" w:eastAsia="宋体"/>
                <w:color w:val="auto"/>
                <w:sz w:val="24"/>
                <w:lang w:eastAsia="zh-CN"/>
              </w:rPr>
            </w:pPr>
            <w:r>
              <w:rPr>
                <w:rFonts w:hint="eastAsia"/>
                <w:color w:val="auto"/>
                <w:sz w:val="24"/>
                <w:lang w:eastAsia="zh-CN"/>
              </w:rPr>
              <w:t>鸡西市主导风向为西北风，本项目生物质堆场为全封闭，无面源污染且下风向为工业场地，无环境保护目标。</w:t>
            </w:r>
          </w:p>
          <w:p w14:paraId="2AF23CF5">
            <w:pPr>
              <w:spacing w:line="360" w:lineRule="auto"/>
              <w:ind w:firstLine="480" w:firstLineChars="200"/>
              <w:rPr>
                <w:rFonts w:hint="default" w:ascii="Times New Roman" w:hAnsi="Times New Roman" w:eastAsia="宋体" w:cs="Times New Roman"/>
                <w:color w:val="auto"/>
                <w:spacing w:val="0"/>
                <w:w w:val="100"/>
                <w:kern w:val="21"/>
                <w:sz w:val="24"/>
                <w:highlight w:val="none"/>
                <w:lang w:val="en-US" w:eastAsia="zh-CN"/>
              </w:rPr>
            </w:pPr>
            <w:r>
              <w:rPr>
                <w:rFonts w:hint="default" w:ascii="Times New Roman" w:hAnsi="Times New Roman" w:eastAsia="宋体" w:cs="Times New Roman"/>
                <w:color w:val="auto"/>
                <w:spacing w:val="0"/>
                <w:w w:val="100"/>
                <w:kern w:val="21"/>
                <w:sz w:val="24"/>
                <w:highlight w:val="none"/>
                <w:lang w:val="en-US" w:eastAsia="zh-CN"/>
              </w:rPr>
              <w:t>综上所述，项目选址符合规划，无明显的环境制约因素，公辅设施配套条件完备，交通便捷，项目选址合理。</w:t>
            </w:r>
          </w:p>
          <w:p w14:paraId="6227BD5E">
            <w:pPr>
              <w:numPr>
                <w:ilvl w:val="0"/>
                <w:numId w:val="0"/>
              </w:numPr>
              <w:spacing w:line="360" w:lineRule="auto"/>
              <w:ind w:firstLine="482" w:firstLineChars="200"/>
              <w:rPr>
                <w:rFonts w:hint="eastAsia" w:cs="Times New Roman"/>
                <w:b/>
                <w:bCs/>
                <w:color w:val="auto"/>
                <w:spacing w:val="0"/>
                <w:w w:val="100"/>
                <w:kern w:val="21"/>
                <w:sz w:val="24"/>
                <w:highlight w:val="none"/>
                <w:lang w:val="en-US" w:eastAsia="zh-CN"/>
              </w:rPr>
            </w:pPr>
            <w:r>
              <w:rPr>
                <w:rFonts w:hint="eastAsia" w:cs="Times New Roman"/>
                <w:b/>
                <w:bCs/>
                <w:color w:val="auto"/>
                <w:spacing w:val="0"/>
                <w:w w:val="100"/>
                <w:kern w:val="21"/>
                <w:sz w:val="24"/>
                <w:szCs w:val="24"/>
                <w:lang w:val="en-US" w:eastAsia="zh-CN" w:bidi="ar-SA"/>
              </w:rPr>
              <w:t>5</w:t>
            </w:r>
            <w:r>
              <w:rPr>
                <w:rFonts w:hint="eastAsia" w:ascii="Times New Roman" w:hAnsi="Times New Roman" w:eastAsia="宋体" w:cs="Times New Roman"/>
                <w:b/>
                <w:bCs/>
                <w:color w:val="auto"/>
                <w:spacing w:val="0"/>
                <w:w w:val="100"/>
                <w:kern w:val="21"/>
                <w:sz w:val="24"/>
                <w:szCs w:val="24"/>
                <w:lang w:val="en-US" w:eastAsia="zh-CN" w:bidi="ar-SA"/>
              </w:rPr>
              <w:t>、</w:t>
            </w:r>
            <w:r>
              <w:rPr>
                <w:rFonts w:hint="eastAsia" w:cs="Times New Roman"/>
                <w:b/>
                <w:bCs/>
                <w:color w:val="auto"/>
                <w:spacing w:val="0"/>
                <w:w w:val="100"/>
                <w:kern w:val="21"/>
                <w:sz w:val="24"/>
                <w:highlight w:val="none"/>
                <w:lang w:val="en-US" w:eastAsia="zh-CN"/>
              </w:rPr>
              <w:t>与《工业炉窑大气污染综合治理方案》符合性分析</w:t>
            </w:r>
          </w:p>
          <w:p w14:paraId="49AA6D19">
            <w:pPr>
              <w:pStyle w:val="9"/>
              <w:numPr>
                <w:ilvl w:val="0"/>
                <w:numId w:val="0"/>
              </w:numPr>
              <w:spacing w:line="240" w:lineRule="auto"/>
              <w:jc w:val="center"/>
              <w:rPr>
                <w:rFonts w:hint="default" w:ascii="Times New Roman" w:hAnsi="Times New Roman" w:cs="Times New Roman"/>
                <w:b/>
                <w:bCs/>
                <w:color w:val="auto"/>
                <w:spacing w:val="0"/>
                <w:w w:val="100"/>
                <w:kern w:val="21"/>
                <w:sz w:val="21"/>
                <w:szCs w:val="21"/>
                <w:highlight w:val="none"/>
                <w:lang w:val="en-US" w:eastAsia="zh-CN"/>
              </w:rPr>
            </w:pPr>
            <w:r>
              <w:rPr>
                <w:rFonts w:hint="default" w:ascii="Times New Roman" w:hAnsi="Times New Roman" w:cs="Times New Roman"/>
                <w:b/>
                <w:bCs/>
                <w:color w:val="auto"/>
                <w:sz w:val="24"/>
                <w:szCs w:val="24"/>
                <w:lang w:val="en-US" w:eastAsia="zh-CN"/>
              </w:rPr>
              <w:t>表1-</w:t>
            </w:r>
            <w:r>
              <w:rPr>
                <w:rFonts w:hint="eastAsia" w:cs="Times New Roman"/>
                <w:b/>
                <w:bCs/>
                <w:color w:val="auto"/>
                <w:sz w:val="24"/>
                <w:szCs w:val="24"/>
                <w:lang w:val="en-US" w:eastAsia="zh-CN"/>
              </w:rPr>
              <w:t>2</w:t>
            </w:r>
            <w:r>
              <w:rPr>
                <w:rFonts w:hint="default" w:ascii="Times New Roman" w:hAnsi="Times New Roman" w:cs="Times New Roman"/>
                <w:b/>
                <w:bCs/>
                <w:color w:val="auto"/>
                <w:sz w:val="24"/>
                <w:szCs w:val="24"/>
                <w:lang w:val="en-US" w:eastAsia="zh-CN"/>
              </w:rPr>
              <w:t xml:space="preserve"> 本项目</w:t>
            </w:r>
            <w:r>
              <w:rPr>
                <w:rFonts w:hint="default" w:ascii="Times New Roman" w:hAnsi="Times New Roman" w:cs="Times New Roman"/>
                <w:b/>
                <w:bCs/>
                <w:color w:val="auto"/>
                <w:spacing w:val="0"/>
                <w:w w:val="100"/>
                <w:kern w:val="21"/>
                <w:sz w:val="24"/>
                <w:szCs w:val="24"/>
                <w:highlight w:val="none"/>
                <w:lang w:val="en-US" w:eastAsia="zh-CN"/>
              </w:rPr>
              <w:t>与《工业炉窑大气污染综合治理方案》符合性分析</w:t>
            </w:r>
          </w:p>
          <w:tbl>
            <w:tblPr>
              <w:tblStyle w:val="30"/>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0"/>
              <w:gridCol w:w="4605"/>
              <w:gridCol w:w="2394"/>
            </w:tblGrid>
            <w:tr w14:paraId="25975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880" w:type="dxa"/>
                  <w:noWrap w:val="0"/>
                  <w:vAlign w:val="center"/>
                </w:tcPr>
                <w:p w14:paraId="74CE5593">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eastAsia" w:ascii="Times New Roman" w:hAnsi="Times New Roman" w:eastAsia="宋体" w:cs="Times New Roman"/>
                      <w:b/>
                      <w:bCs w:val="0"/>
                      <w:color w:val="auto"/>
                      <w:sz w:val="21"/>
                      <w:szCs w:val="21"/>
                      <w:u w:val="none"/>
                      <w:lang w:eastAsia="zh-CN"/>
                    </w:rPr>
                  </w:pPr>
                  <w:r>
                    <w:rPr>
                      <w:rFonts w:hint="eastAsia" w:ascii="Times New Roman" w:hAnsi="Times New Roman" w:eastAsia="宋体" w:cs="Times New Roman"/>
                      <w:b/>
                      <w:bCs w:val="0"/>
                      <w:color w:val="auto"/>
                      <w:sz w:val="21"/>
                      <w:szCs w:val="21"/>
                      <w:u w:val="none"/>
                      <w:lang w:eastAsia="zh-CN"/>
                    </w:rPr>
                    <w:t>序号</w:t>
                  </w:r>
                </w:p>
              </w:tc>
              <w:tc>
                <w:tcPr>
                  <w:tcW w:w="4605" w:type="dxa"/>
                  <w:noWrap w:val="0"/>
                  <w:vAlign w:val="center"/>
                </w:tcPr>
                <w:p w14:paraId="34EC74A6">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default" w:ascii="Times New Roman" w:hAnsi="Times New Roman" w:eastAsia="宋体" w:cs="Times New Roman"/>
                      <w:b/>
                      <w:bCs w:val="0"/>
                      <w:color w:val="auto"/>
                      <w:sz w:val="21"/>
                      <w:szCs w:val="21"/>
                      <w:u w:val="none"/>
                    </w:rPr>
                  </w:pPr>
                  <w:r>
                    <w:rPr>
                      <w:rFonts w:hint="default" w:ascii="Times New Roman" w:hAnsi="Times New Roman" w:eastAsia="宋体" w:cs="Times New Roman"/>
                      <w:b/>
                      <w:bCs w:val="0"/>
                      <w:color w:val="auto"/>
                      <w:sz w:val="21"/>
                      <w:szCs w:val="21"/>
                      <w:u w:val="none"/>
                    </w:rPr>
                    <w:t>管控要求</w:t>
                  </w:r>
                </w:p>
              </w:tc>
              <w:tc>
                <w:tcPr>
                  <w:tcW w:w="2394" w:type="dxa"/>
                  <w:noWrap w:val="0"/>
                  <w:vAlign w:val="center"/>
                </w:tcPr>
                <w:p w14:paraId="7161436A">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default" w:ascii="Times New Roman" w:hAnsi="Times New Roman" w:eastAsia="宋体" w:cs="Times New Roman"/>
                      <w:b/>
                      <w:bCs w:val="0"/>
                      <w:color w:val="auto"/>
                      <w:sz w:val="21"/>
                      <w:szCs w:val="21"/>
                      <w:u w:val="none"/>
                    </w:rPr>
                  </w:pPr>
                  <w:r>
                    <w:rPr>
                      <w:rFonts w:hint="default" w:ascii="Times New Roman" w:hAnsi="Times New Roman" w:eastAsia="宋体" w:cs="Times New Roman"/>
                      <w:b/>
                      <w:bCs w:val="0"/>
                      <w:color w:val="auto"/>
                      <w:sz w:val="21"/>
                      <w:szCs w:val="21"/>
                      <w:u w:val="none"/>
                    </w:rPr>
                    <w:t>符合性分析</w:t>
                  </w:r>
                </w:p>
              </w:tc>
            </w:tr>
            <w:tr w14:paraId="4D8DD6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99" w:hRule="atLeast"/>
                <w:jc w:val="center"/>
              </w:trPr>
              <w:tc>
                <w:tcPr>
                  <w:tcW w:w="880" w:type="dxa"/>
                  <w:noWrap w:val="0"/>
                  <w:vAlign w:val="center"/>
                </w:tcPr>
                <w:p w14:paraId="3383DAE2">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default"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1</w:t>
                  </w:r>
                </w:p>
              </w:tc>
              <w:tc>
                <w:tcPr>
                  <w:tcW w:w="4605" w:type="dxa"/>
                  <w:noWrap w:val="0"/>
                  <w:vAlign w:val="center"/>
                </w:tcPr>
                <w:p w14:paraId="783CCC7E">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bottom"/>
                    <w:rPr>
                      <w:rFonts w:hint="default"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加大产业结构调整力度。严格建设项目环境准入。重点区域严格控制涉工业炉窑建设项目，严禁新增钢铁、焦化、电解铝、铸造、水泥和平板玻璃等产能；严格执行钢铁、水泥、平板玻璃等行业产能置换实施办法；原则上禁止新建燃料类煤气发生炉（园区现有企业统一建设的清洁煤制气中心除外）。加大落后产能和不达标工业炉窑淘汰力度。</w:t>
                  </w:r>
                </w:p>
              </w:tc>
              <w:tc>
                <w:tcPr>
                  <w:tcW w:w="2394" w:type="dxa"/>
                  <w:noWrap w:val="0"/>
                  <w:vAlign w:val="center"/>
                </w:tcPr>
                <w:p w14:paraId="047C0946">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ottom"/>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符合。本项目为</w:t>
                  </w:r>
                  <w:r>
                    <w:rPr>
                      <w:rFonts w:hint="eastAsia" w:ascii="Times New Roman" w:hAnsi="Times New Roman" w:eastAsia="宋体" w:cs="Times New Roman"/>
                      <w:b w:val="0"/>
                      <w:bCs/>
                      <w:color w:val="auto"/>
                      <w:sz w:val="21"/>
                      <w:szCs w:val="21"/>
                      <w:highlight w:val="none"/>
                      <w:u w:val="none"/>
                      <w:lang w:eastAsia="zh-CN"/>
                    </w:rPr>
                    <w:t>煤矿</w:t>
                  </w:r>
                  <w:r>
                    <w:rPr>
                      <w:rFonts w:hint="eastAsia" w:cs="Times New Roman"/>
                      <w:b w:val="0"/>
                      <w:bCs/>
                      <w:color w:val="auto"/>
                      <w:sz w:val="21"/>
                      <w:szCs w:val="21"/>
                      <w:highlight w:val="none"/>
                      <w:u w:val="none"/>
                      <w:lang w:eastAsia="zh-CN"/>
                    </w:rPr>
                    <w:t>矿</w:t>
                  </w:r>
                  <w:r>
                    <w:rPr>
                      <w:rFonts w:hint="eastAsia" w:ascii="Times New Roman" w:hAnsi="Times New Roman" w:eastAsia="宋体" w:cs="Times New Roman"/>
                      <w:b w:val="0"/>
                      <w:bCs/>
                      <w:color w:val="auto"/>
                      <w:sz w:val="21"/>
                      <w:szCs w:val="21"/>
                      <w:highlight w:val="none"/>
                      <w:u w:val="none"/>
                      <w:lang w:eastAsia="zh-CN"/>
                    </w:rPr>
                    <w:t>井</w:t>
                  </w:r>
                  <w:r>
                    <w:rPr>
                      <w:rFonts w:hint="eastAsia" w:ascii="Times New Roman" w:hAnsi="Times New Roman" w:eastAsia="宋体" w:cs="Times New Roman"/>
                      <w:b w:val="0"/>
                      <w:bCs/>
                      <w:color w:val="auto"/>
                      <w:sz w:val="21"/>
                      <w:szCs w:val="21"/>
                      <w:u w:val="none"/>
                      <w:lang w:eastAsia="zh-CN"/>
                    </w:rPr>
                    <w:t>供热生物质热风炉，且配套建有布袋除尘器环保治理设施，不属于淘汰类工业炉窑，建设地点不属于重点区域。</w:t>
                  </w:r>
                </w:p>
              </w:tc>
            </w:tr>
            <w:tr w14:paraId="67D5E0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5" w:hRule="atLeast"/>
                <w:jc w:val="center"/>
              </w:trPr>
              <w:tc>
                <w:tcPr>
                  <w:tcW w:w="880" w:type="dxa"/>
                  <w:noWrap w:val="0"/>
                  <w:vAlign w:val="center"/>
                </w:tcPr>
                <w:p w14:paraId="3414165D">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eastAsia"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2</w:t>
                  </w:r>
                </w:p>
              </w:tc>
              <w:tc>
                <w:tcPr>
                  <w:tcW w:w="4605" w:type="dxa"/>
                  <w:noWrap w:val="0"/>
                  <w:vAlign w:val="center"/>
                </w:tcPr>
                <w:p w14:paraId="49484E54">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bottom"/>
                    <w:rPr>
                      <w:rFonts w:hint="default"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加快燃料清洁低碳化替代。对以煤、石油焦、渣油、重油等为燃料的工业炉窑，加快使用清洁低碳能源以及利用工厂余热、电厂热力等进行替代。加大煤气发生炉淘汰力度。2020年年底前，重点区域淘汰炉膛直径3米以下燃料类煤气发生炉；集中使用煤气发生炉的工业园区，暂不具备改用天然气条件的，原则上应建设统一的清洁煤制气中心。加快淘汰燃煤工业炉窑。重点区域取缔燃煤热风炉，基本淘汰热电联产供热管网覆盖范围内的燃煤加热、烘干炉（窑）。加快推动铸造（10吨/小时及以下）、岩棉等行业冲天炉改为电炉。</w:t>
                  </w:r>
                </w:p>
              </w:tc>
              <w:tc>
                <w:tcPr>
                  <w:tcW w:w="2394" w:type="dxa"/>
                  <w:noWrap w:val="0"/>
                  <w:vAlign w:val="center"/>
                </w:tcPr>
                <w:p w14:paraId="6C57C55E">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ottom"/>
                    <w:rPr>
                      <w:rFonts w:hint="eastAsia"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符合。本项目热风炉的燃料为生物质，不属于淘汰类工业炉窑，建设地点不属于重点区域。</w:t>
                  </w:r>
                </w:p>
              </w:tc>
            </w:tr>
            <w:tr w14:paraId="211F3D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880" w:type="dxa"/>
                  <w:noWrap w:val="0"/>
                  <w:vAlign w:val="center"/>
                </w:tcPr>
                <w:p w14:paraId="4625FF2C">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eastAsia"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3</w:t>
                  </w:r>
                </w:p>
              </w:tc>
              <w:tc>
                <w:tcPr>
                  <w:tcW w:w="4605" w:type="dxa"/>
                  <w:noWrap w:val="0"/>
                  <w:vAlign w:val="center"/>
                </w:tcPr>
                <w:p w14:paraId="554D6D10">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bottom"/>
                    <w:rPr>
                      <w:rFonts w:hint="default"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实施污染深度治理。推进工业炉窑全面达标排放。已有行业排放标准的工业炉窑（见附件3），严格执行行业排放标准相关规定，配套建设高效脱硫脱硝除尘设施（见附件4），确保稳定达标排放。</w:t>
                  </w:r>
                </w:p>
              </w:tc>
              <w:tc>
                <w:tcPr>
                  <w:tcW w:w="2394" w:type="dxa"/>
                  <w:noWrap w:val="0"/>
                  <w:vAlign w:val="center"/>
                </w:tcPr>
                <w:p w14:paraId="12ED011E">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bottom"/>
                    <w:rPr>
                      <w:rFonts w:hint="default"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eastAsia="zh-CN"/>
                    </w:rPr>
                    <w:t>符合。本项目为</w:t>
                  </w:r>
                  <w:r>
                    <w:rPr>
                      <w:rFonts w:hint="eastAsia" w:ascii="Times New Roman" w:hAnsi="Times New Roman" w:eastAsia="宋体" w:cs="Times New Roman"/>
                      <w:b w:val="0"/>
                      <w:bCs/>
                      <w:color w:val="auto"/>
                      <w:sz w:val="21"/>
                      <w:szCs w:val="21"/>
                      <w:highlight w:val="none"/>
                      <w:u w:val="none"/>
                      <w:lang w:eastAsia="zh-CN"/>
                    </w:rPr>
                    <w:t>煤矿</w:t>
                  </w:r>
                  <w:r>
                    <w:rPr>
                      <w:rFonts w:hint="eastAsia" w:cs="Times New Roman"/>
                      <w:b w:val="0"/>
                      <w:bCs/>
                      <w:color w:val="auto"/>
                      <w:sz w:val="21"/>
                      <w:szCs w:val="21"/>
                      <w:highlight w:val="none"/>
                      <w:u w:val="none"/>
                      <w:lang w:eastAsia="zh-CN"/>
                    </w:rPr>
                    <w:t>矿</w:t>
                  </w:r>
                  <w:r>
                    <w:rPr>
                      <w:rFonts w:hint="eastAsia" w:ascii="Times New Roman" w:hAnsi="Times New Roman" w:eastAsia="宋体" w:cs="Times New Roman"/>
                      <w:b w:val="0"/>
                      <w:bCs/>
                      <w:color w:val="auto"/>
                      <w:sz w:val="21"/>
                      <w:szCs w:val="21"/>
                      <w:highlight w:val="none"/>
                      <w:u w:val="none"/>
                      <w:lang w:eastAsia="zh-CN"/>
                    </w:rPr>
                    <w:t>井</w:t>
                  </w:r>
                  <w:r>
                    <w:rPr>
                      <w:rFonts w:hint="eastAsia" w:ascii="Times New Roman" w:hAnsi="Times New Roman" w:eastAsia="宋体" w:cs="Times New Roman"/>
                      <w:b w:val="0"/>
                      <w:bCs/>
                      <w:color w:val="auto"/>
                      <w:sz w:val="21"/>
                      <w:szCs w:val="21"/>
                      <w:u w:val="none"/>
                      <w:lang w:eastAsia="zh-CN"/>
                    </w:rPr>
                    <w:t>供热生物质热风炉，且配套建有布袋除尘器环保治理设施，废气可达标排放。</w:t>
                  </w:r>
                </w:p>
              </w:tc>
            </w:tr>
            <w:tr w14:paraId="5C6B9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55" w:hRule="atLeast"/>
                <w:jc w:val="center"/>
              </w:trPr>
              <w:tc>
                <w:tcPr>
                  <w:tcW w:w="880" w:type="dxa"/>
                  <w:noWrap w:val="0"/>
                  <w:vAlign w:val="center"/>
                </w:tcPr>
                <w:p w14:paraId="6EB2ECB1">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textAlignment w:val="bottom"/>
                    <w:rPr>
                      <w:rFonts w:hint="eastAsia" w:ascii="Times New Roman" w:hAnsi="Times New Roman" w:eastAsia="宋体" w:cs="Times New Roman"/>
                      <w:b w:val="0"/>
                      <w:bCs/>
                      <w:color w:val="auto"/>
                      <w:sz w:val="21"/>
                      <w:szCs w:val="21"/>
                      <w:u w:val="none"/>
                      <w:lang w:val="en-US" w:eastAsia="zh-CN"/>
                    </w:rPr>
                  </w:pPr>
                  <w:r>
                    <w:rPr>
                      <w:rFonts w:hint="eastAsia" w:ascii="Times New Roman" w:hAnsi="Times New Roman" w:eastAsia="宋体" w:cs="Times New Roman"/>
                      <w:b w:val="0"/>
                      <w:bCs/>
                      <w:color w:val="auto"/>
                      <w:sz w:val="21"/>
                      <w:szCs w:val="21"/>
                      <w:u w:val="none"/>
                      <w:lang w:val="en-US" w:eastAsia="zh-CN"/>
                    </w:rPr>
                    <w:t>4</w:t>
                  </w:r>
                </w:p>
              </w:tc>
              <w:tc>
                <w:tcPr>
                  <w:tcW w:w="4605" w:type="dxa"/>
                  <w:noWrap w:val="0"/>
                  <w:vAlign w:val="center"/>
                </w:tcPr>
                <w:p w14:paraId="10D7B8CF">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both"/>
                    <w:textAlignment w:val="bottom"/>
                    <w:rPr>
                      <w:rFonts w:hint="default" w:ascii="Times New Roman" w:hAnsi="Times New Roman" w:eastAsia="宋体" w:cs="Times New Roman"/>
                      <w:b w:val="0"/>
                      <w:bCs/>
                      <w:color w:val="auto"/>
                      <w:sz w:val="21"/>
                      <w:szCs w:val="21"/>
                      <w:u w:val="none"/>
                      <w:lang w:eastAsia="zh-CN"/>
                    </w:rPr>
                  </w:pPr>
                  <w:r>
                    <w:rPr>
                      <w:rFonts w:hint="eastAsia" w:ascii="Times New Roman" w:hAnsi="Times New Roman" w:eastAsia="宋体" w:cs="Times New Roman"/>
                      <w:b w:val="0"/>
                      <w:bCs/>
                      <w:color w:val="auto"/>
                      <w:sz w:val="21"/>
                      <w:szCs w:val="21"/>
                      <w:u w:val="none"/>
                      <w:lang w:eastAsia="zh-CN"/>
                    </w:rPr>
                    <w:t>全面加强无组织排放管理。严格控制工业炉窑生产工艺过程及相关物料储存、输送等无组织排放，在保障生产安全的前提下，采取密闭、封闭等有效措施，有效提高废气收集率，产尘点及车间不得有可见烟粉尘外逸。生产工艺产尘点（装置）应采取密闭、封闭或设置集气罩等措施。煤粉、粉煤灰、石灰、除尘灰、脱硫灰等粉状物料应密闭或封闭储存，采用密闭皮带、封闭通廊、管状带式输送机或密闭车厢、真空罐车、气力输送等方式输送。粒状、块状物料应采用入棚入仓或建设防风抑尘网等方式进行储存，粒状物料采用密闭、封闭等方式输送。物料输送过程中产尘点应采取有效抑尘措施。</w:t>
                  </w:r>
                </w:p>
              </w:tc>
              <w:tc>
                <w:tcPr>
                  <w:tcW w:w="2394" w:type="dxa"/>
                  <w:noWrap w:val="0"/>
                  <w:vAlign w:val="center"/>
                </w:tcPr>
                <w:p w14:paraId="47D469F2">
                  <w:pPr>
                    <w:pStyle w:val="84"/>
                    <w:keepNext w:val="0"/>
                    <w:keepLines w:val="0"/>
                    <w:pageBreakBefore w:val="0"/>
                    <w:widowControl w:val="0"/>
                    <w:kinsoku/>
                    <w:wordWrap/>
                    <w:overflowPunct/>
                    <w:topLinePunct w:val="0"/>
                    <w:autoSpaceDE w:val="0"/>
                    <w:autoSpaceDN w:val="0"/>
                    <w:bidi w:val="0"/>
                    <w:adjustRightInd w:val="0"/>
                    <w:snapToGrid/>
                    <w:spacing w:line="240" w:lineRule="auto"/>
                    <w:ind w:firstLine="0" w:firstLineChars="0"/>
                    <w:jc w:val="center"/>
                    <w:textAlignment w:val="bottom"/>
                    <w:rPr>
                      <w:rFonts w:hint="eastAsia" w:ascii="Times New Roman" w:hAnsi="Times New Roman" w:eastAsia="宋体" w:cs="Times New Roman"/>
                      <w:b w:val="0"/>
                      <w:bCs/>
                      <w:color w:val="auto"/>
                      <w:sz w:val="21"/>
                      <w:szCs w:val="21"/>
                      <w:highlight w:val="red"/>
                      <w:u w:val="none"/>
                      <w:lang w:eastAsia="zh-CN"/>
                    </w:rPr>
                  </w:pPr>
                  <w:r>
                    <w:rPr>
                      <w:rFonts w:hint="eastAsia" w:ascii="Times New Roman" w:hAnsi="Times New Roman" w:eastAsia="宋体" w:cs="Times New Roman"/>
                      <w:color w:val="auto"/>
                      <w:spacing w:val="0"/>
                      <w:w w:val="100"/>
                      <w:kern w:val="21"/>
                      <w:sz w:val="21"/>
                      <w:szCs w:val="21"/>
                      <w:highlight w:val="none"/>
                      <w:lang w:val="en-US" w:eastAsia="zh-CN" w:bidi="ar-SA"/>
                    </w:rPr>
                    <w:t>符合。生物质热风炉烟气经布袋除尘器处理后由</w:t>
                  </w:r>
                  <w:r>
                    <w:rPr>
                      <w:rFonts w:hint="eastAsia" w:cs="Times New Roman"/>
                      <w:color w:val="auto"/>
                      <w:spacing w:val="0"/>
                      <w:w w:val="100"/>
                      <w:kern w:val="21"/>
                      <w:sz w:val="21"/>
                      <w:szCs w:val="21"/>
                      <w:highlight w:val="none"/>
                      <w:lang w:val="en-US" w:eastAsia="zh-CN" w:bidi="ar-SA"/>
                    </w:rPr>
                    <w:t>20</w:t>
                  </w:r>
                  <w:r>
                    <w:rPr>
                      <w:rFonts w:hint="eastAsia" w:ascii="Times New Roman" w:hAnsi="Times New Roman" w:eastAsia="宋体" w:cs="Times New Roman"/>
                      <w:color w:val="auto"/>
                      <w:spacing w:val="0"/>
                      <w:w w:val="100"/>
                      <w:kern w:val="21"/>
                      <w:sz w:val="21"/>
                      <w:szCs w:val="21"/>
                      <w:highlight w:val="none"/>
                      <w:lang w:val="en-US" w:eastAsia="zh-CN" w:bidi="ar-SA"/>
                    </w:rPr>
                    <w:t>m</w:t>
                  </w:r>
                  <w:r>
                    <w:rPr>
                      <w:rFonts w:hint="eastAsia" w:cs="Times New Roman"/>
                      <w:color w:val="auto"/>
                      <w:spacing w:val="0"/>
                      <w:w w:val="100"/>
                      <w:kern w:val="21"/>
                      <w:sz w:val="21"/>
                      <w:szCs w:val="21"/>
                      <w:highlight w:val="none"/>
                      <w:lang w:val="en-US" w:eastAsia="zh-CN" w:bidi="ar-SA"/>
                    </w:rPr>
                    <w:t>烟囱</w:t>
                  </w:r>
                  <w:r>
                    <w:rPr>
                      <w:rFonts w:hint="eastAsia" w:ascii="Times New Roman" w:hAnsi="Times New Roman" w:eastAsia="宋体" w:cs="Times New Roman"/>
                      <w:color w:val="auto"/>
                      <w:spacing w:val="0"/>
                      <w:w w:val="100"/>
                      <w:kern w:val="21"/>
                      <w:sz w:val="21"/>
                      <w:szCs w:val="21"/>
                      <w:highlight w:val="none"/>
                      <w:lang w:val="en-US" w:eastAsia="zh-CN" w:bidi="ar-SA"/>
                    </w:rPr>
                    <w:t>排放。灰渣在清掏、装卸及运输过程中易产生扬尘，由于清掏频率低，装卸车辆分布分散，且装卸时间较短，清掏及装卸过程中采取洒水降尘，运输过程中采取封闭措施。</w:t>
                  </w:r>
                </w:p>
              </w:tc>
            </w:tr>
          </w:tbl>
          <w:p w14:paraId="4A508003">
            <w:pPr>
              <w:pStyle w:val="36"/>
              <w:spacing w:line="240" w:lineRule="auto"/>
              <w:ind w:left="0" w:leftChars="0" w:firstLine="480" w:firstLineChars="200"/>
              <w:rPr>
                <w:rFonts w:hint="eastAsia" w:ascii="Times New Roman" w:hAnsi="Times New Roman" w:eastAsia="宋体" w:cs="Times New Roman"/>
                <w:b w:val="0"/>
                <w:bCs w:val="0"/>
                <w:color w:val="auto"/>
                <w:spacing w:val="0"/>
                <w:w w:val="100"/>
                <w:kern w:val="21"/>
                <w:sz w:val="24"/>
                <w:szCs w:val="24"/>
                <w:highlight w:val="none"/>
                <w:lang w:val="en-US" w:eastAsia="zh-CN" w:bidi="ar-SA"/>
              </w:rPr>
            </w:pPr>
            <w:r>
              <w:rPr>
                <w:rFonts w:hint="eastAsia" w:ascii="Times New Roman" w:hAnsi="Times New Roman" w:eastAsia="宋体" w:cs="Times New Roman"/>
                <w:b w:val="0"/>
                <w:bCs w:val="0"/>
                <w:color w:val="auto"/>
                <w:spacing w:val="0"/>
                <w:w w:val="100"/>
                <w:kern w:val="21"/>
                <w:sz w:val="24"/>
                <w:szCs w:val="24"/>
                <w:highlight w:val="none"/>
                <w:lang w:val="en-US" w:eastAsia="zh-CN" w:bidi="ar-SA"/>
              </w:rPr>
              <w:t>综上所述，本项目符合《</w:t>
            </w:r>
            <w:r>
              <w:rPr>
                <w:rFonts w:hint="eastAsia" w:ascii="Times New Roman" w:hAnsi="Times New Roman" w:eastAsia="宋体" w:cs="Times New Roman"/>
                <w:b w:val="0"/>
                <w:bCs w:val="0"/>
                <w:color w:val="auto"/>
                <w:spacing w:val="0"/>
                <w:w w:val="100"/>
                <w:kern w:val="21"/>
                <w:sz w:val="24"/>
                <w:szCs w:val="24"/>
                <w:highlight w:val="none"/>
                <w:lang w:val="zh-CN" w:eastAsia="zh-CN" w:bidi="ar-SA"/>
              </w:rPr>
              <w:t>工业炉窑大气污染综合治理方案</w:t>
            </w:r>
            <w:r>
              <w:rPr>
                <w:rFonts w:hint="eastAsia" w:ascii="Times New Roman" w:hAnsi="Times New Roman" w:eastAsia="宋体" w:cs="Times New Roman"/>
                <w:b w:val="0"/>
                <w:bCs w:val="0"/>
                <w:color w:val="auto"/>
                <w:spacing w:val="0"/>
                <w:w w:val="100"/>
                <w:kern w:val="21"/>
                <w:sz w:val="24"/>
                <w:szCs w:val="24"/>
                <w:highlight w:val="none"/>
                <w:lang w:val="en-US" w:eastAsia="zh-CN" w:bidi="ar-SA"/>
              </w:rPr>
              <w:t>》的相关要求。</w:t>
            </w:r>
          </w:p>
          <w:p w14:paraId="6AED41FB">
            <w:pPr>
              <w:pStyle w:val="36"/>
              <w:spacing w:line="240" w:lineRule="auto"/>
              <w:ind w:left="0" w:leftChars="0" w:firstLine="482" w:firstLineChars="200"/>
              <w:rPr>
                <w:rFonts w:hint="eastAsia" w:ascii="Times New Roman" w:hAnsi="Times New Roman" w:eastAsia="宋体" w:cs="Times New Roman"/>
                <w:b/>
                <w:bCs/>
                <w:color w:val="auto"/>
                <w:sz w:val="24"/>
                <w:lang w:val="en-US" w:eastAsia="zh-CN"/>
              </w:rPr>
            </w:pPr>
            <w:r>
              <w:rPr>
                <w:rFonts w:hint="eastAsia" w:ascii="Times New Roman" w:hAnsi="Times New Roman" w:cs="Times New Roman"/>
                <w:b/>
                <w:bCs/>
                <w:color w:val="auto"/>
                <w:spacing w:val="0"/>
                <w:w w:val="100"/>
                <w:kern w:val="21"/>
                <w:sz w:val="24"/>
                <w:szCs w:val="24"/>
                <w:highlight w:val="none"/>
                <w:lang w:val="en-US" w:eastAsia="zh-CN" w:bidi="ar-SA"/>
              </w:rPr>
              <w:t>6、</w:t>
            </w:r>
            <w:r>
              <w:rPr>
                <w:rFonts w:hint="eastAsia" w:ascii="Times New Roman" w:hAnsi="Times New Roman" w:eastAsia="宋体" w:cs="Times New Roman"/>
                <w:b/>
                <w:bCs/>
                <w:color w:val="auto"/>
                <w:sz w:val="24"/>
                <w:lang w:val="en-US" w:eastAsia="zh-CN"/>
              </w:rPr>
              <w:t>与《黑龙江省大气污染防治条例》符合性分析</w:t>
            </w:r>
          </w:p>
          <w:p w14:paraId="095A62A8">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（1）相关内容</w:t>
            </w:r>
          </w:p>
          <w:p w14:paraId="79BD99C9">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根据《黑龙江省大气污染防治条例》（2018年12月27日修改）相关内容：</w:t>
            </w:r>
          </w:p>
          <w:p w14:paraId="3F2FDD5A">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第六条  企业事业单位和其他生产经营者应当采取有效措施，防止和减少大气污染，对所造成的损害依法承担责任。</w:t>
            </w:r>
          </w:p>
          <w:p w14:paraId="7507E79A">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第十条  企业事业单位和其他生产经营者建设对大气环境有影响的项目，应当依法进行环境影响评价、公开环境影响评价文件；向大气排放污染物的，应当符合大气污染物排放标准，遵守重点大气污染物排放总量控制要求。</w:t>
            </w:r>
          </w:p>
          <w:p w14:paraId="536F1B35">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第十一条  向大气排放污染物的企业事业单位和其他生产经营者，应当配套建设大气污染防治设施。</w:t>
            </w:r>
          </w:p>
          <w:p w14:paraId="341E4768">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第二十九条  各级人民政府应当调整能源结构，推广清洁能源的生产和使用，制定并组织实施煤炭消费总量控制规划，减少煤炭生产、使用、转化过程中的大气污染物排放。</w:t>
            </w:r>
          </w:p>
          <w:p w14:paraId="16C2838A">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第三十四条  禁止新建设计用煤不符合国家规定商品煤质量标准的锅炉；已经建成的，应当按照国家和省有关规定进行技术改造。</w:t>
            </w:r>
          </w:p>
          <w:p w14:paraId="2223E0A7">
            <w:pPr>
              <w:spacing w:line="360" w:lineRule="auto"/>
              <w:ind w:firstLine="480" w:firstLineChars="200"/>
              <w:rPr>
                <w:rFonts w:hint="default" w:ascii="Times New Roman" w:hAnsi="Times New Roman" w:eastAsia="宋体" w:cs="Times New Roman"/>
                <w:color w:val="auto"/>
                <w:sz w:val="24"/>
                <w:highlight w:val="none"/>
                <w:lang w:val="en-US" w:eastAsia="zh-CN"/>
              </w:rPr>
            </w:pPr>
            <w:r>
              <w:rPr>
                <w:rFonts w:hint="eastAsia" w:ascii="Times New Roman" w:hAnsi="Times New Roman" w:eastAsia="宋体" w:cs="Times New Roman"/>
                <w:color w:val="auto"/>
                <w:sz w:val="24"/>
                <w:highlight w:val="none"/>
                <w:lang w:val="en-US" w:eastAsia="zh-CN"/>
              </w:rPr>
              <w:t>（2）符合性分析</w:t>
            </w:r>
          </w:p>
          <w:p w14:paraId="34107B5E">
            <w:pPr>
              <w:spacing w:line="360" w:lineRule="auto"/>
              <w:ind w:firstLine="480" w:firstLineChars="200"/>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本项目采用1台5t/h生物质热风炉为</w:t>
            </w:r>
            <w:r>
              <w:rPr>
                <w:rFonts w:hint="eastAsia" w:cs="Times New Roman"/>
                <w:color w:val="auto"/>
                <w:sz w:val="24"/>
                <w:lang w:val="en-US" w:eastAsia="zh-CN"/>
              </w:rPr>
              <w:t>矿</w:t>
            </w:r>
            <w:r>
              <w:rPr>
                <w:rFonts w:hint="eastAsia" w:ascii="Times New Roman" w:hAnsi="Times New Roman" w:eastAsia="宋体" w:cs="Times New Roman"/>
                <w:color w:val="auto"/>
                <w:sz w:val="24"/>
                <w:lang w:val="en-US" w:eastAsia="zh-CN"/>
              </w:rPr>
              <w:t>井供热。生物质热风炉烟气经布袋除尘器处理后由</w:t>
            </w:r>
            <w:r>
              <w:rPr>
                <w:rFonts w:hint="eastAsia" w:cs="Times New Roman"/>
                <w:color w:val="auto"/>
                <w:sz w:val="24"/>
                <w:lang w:val="en-US" w:eastAsia="zh-CN"/>
              </w:rPr>
              <w:t>20</w:t>
            </w:r>
            <w:r>
              <w:rPr>
                <w:rFonts w:hint="eastAsia" w:ascii="Times New Roman" w:hAnsi="Times New Roman" w:eastAsia="宋体" w:cs="Times New Roman"/>
                <w:color w:val="auto"/>
                <w:sz w:val="24"/>
                <w:lang w:val="en-US" w:eastAsia="zh-CN"/>
              </w:rPr>
              <w:t>m</w:t>
            </w:r>
            <w:r>
              <w:rPr>
                <w:rFonts w:hint="eastAsia" w:cs="Times New Roman"/>
                <w:color w:val="auto"/>
                <w:sz w:val="24"/>
                <w:lang w:val="en-US" w:eastAsia="zh-CN"/>
              </w:rPr>
              <w:t>烟囱DA001</w:t>
            </w:r>
            <w:r>
              <w:rPr>
                <w:rFonts w:hint="eastAsia" w:ascii="Times New Roman" w:hAnsi="Times New Roman" w:eastAsia="宋体" w:cs="Times New Roman"/>
                <w:color w:val="auto"/>
                <w:sz w:val="24"/>
                <w:lang w:val="en-US" w:eastAsia="zh-CN"/>
              </w:rPr>
              <w:t>排放，污染物排放浓度满足</w:t>
            </w:r>
            <w:r>
              <w:rPr>
                <w:rFonts w:hint="eastAsia" w:ascii="Times New Roman" w:hAnsi="Times New Roman" w:eastAsia="宋体" w:cs="Times New Roman"/>
                <w:color w:val="auto"/>
                <w:sz w:val="24"/>
                <w:highlight w:val="none"/>
                <w:lang w:val="en-US" w:eastAsia="zh-CN"/>
              </w:rPr>
              <w:t>《工业炉窑大气污染物排放标准》</w:t>
            </w:r>
            <w:r>
              <w:rPr>
                <w:rFonts w:hint="eastAsia" w:ascii="Times New Roman" w:hAnsi="Times New Roman" w:eastAsia="宋体" w:cs="Times New Roman"/>
                <w:color w:val="auto"/>
                <w:sz w:val="24"/>
                <w:lang w:val="en-US" w:eastAsia="zh-CN"/>
              </w:rPr>
              <w:t>（GB 9078-1996）相关标准。生物质</w:t>
            </w:r>
            <w:r>
              <w:rPr>
                <w:rFonts w:hint="eastAsia" w:cs="Times New Roman"/>
                <w:color w:val="auto"/>
                <w:sz w:val="24"/>
                <w:lang w:val="en-US" w:eastAsia="zh-CN"/>
              </w:rPr>
              <w:t>堆场为全</w:t>
            </w:r>
            <w:r>
              <w:rPr>
                <w:rFonts w:hint="eastAsia" w:ascii="Times New Roman" w:hAnsi="Times New Roman" w:eastAsia="宋体" w:cs="Times New Roman"/>
                <w:color w:val="auto"/>
                <w:sz w:val="24"/>
                <w:lang w:val="en-US" w:eastAsia="zh-CN"/>
              </w:rPr>
              <w:t>封闭</w:t>
            </w:r>
            <w:r>
              <w:rPr>
                <w:rFonts w:hint="eastAsia" w:cs="Times New Roman"/>
                <w:color w:val="auto"/>
                <w:sz w:val="24"/>
                <w:lang w:val="en-US" w:eastAsia="zh-CN"/>
              </w:rPr>
              <w:t>结构</w:t>
            </w:r>
            <w:r>
              <w:rPr>
                <w:rFonts w:hint="eastAsia" w:ascii="Times New Roman" w:hAnsi="Times New Roman" w:eastAsia="宋体" w:cs="Times New Roman"/>
                <w:color w:val="auto"/>
                <w:sz w:val="24"/>
                <w:lang w:val="en-US" w:eastAsia="zh-CN"/>
              </w:rPr>
              <w:t>，</w:t>
            </w:r>
            <w:r>
              <w:rPr>
                <w:rFonts w:hint="eastAsia" w:cs="Times New Roman"/>
                <w:color w:val="auto"/>
                <w:sz w:val="24"/>
                <w:lang w:val="en-US" w:eastAsia="zh-CN"/>
              </w:rPr>
              <w:t>生物质颗粒袋装放置堆场内并</w:t>
            </w:r>
            <w:r>
              <w:rPr>
                <w:rFonts w:hint="eastAsia" w:ascii="Times New Roman" w:hAnsi="Times New Roman" w:eastAsia="宋体" w:cs="Times New Roman"/>
                <w:color w:val="auto"/>
                <w:sz w:val="24"/>
                <w:lang w:val="en-US" w:eastAsia="zh-CN"/>
              </w:rPr>
              <w:t>定期洒水的方式抑尘</w:t>
            </w:r>
            <w:r>
              <w:rPr>
                <w:rFonts w:hint="eastAsia" w:cs="Times New Roman"/>
                <w:color w:val="auto"/>
                <w:sz w:val="24"/>
                <w:lang w:val="en-US" w:eastAsia="zh-CN"/>
              </w:rPr>
              <w:t>;</w:t>
            </w:r>
            <w:r>
              <w:rPr>
                <w:rFonts w:hint="eastAsia" w:ascii="Times New Roman" w:hAnsi="Times New Roman" w:eastAsia="宋体" w:cs="Times New Roman"/>
                <w:color w:val="auto"/>
                <w:sz w:val="24"/>
                <w:lang w:val="en-US" w:eastAsia="zh-CN"/>
              </w:rPr>
              <w:t>无组织粉尘为热风炉灰渣在清掏、装卸及运输过程中易产生扬尘，由于清掏频率低，装卸车辆分布分散，且装卸时间较短，清掏及装卸过程中采取洒水降尘，运输过程中采取封闭措施。</w:t>
            </w:r>
          </w:p>
          <w:p w14:paraId="728294C9">
            <w:pPr>
              <w:spacing w:line="360" w:lineRule="auto"/>
              <w:ind w:firstLine="480" w:firstLineChars="200"/>
              <w:rPr>
                <w:rFonts w:hint="eastAsia"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lang w:val="en-US" w:eastAsia="zh-CN"/>
              </w:rPr>
              <w:t>综上所述，项目符合《黑龙江省大气污染防治条例》（2018年12月27日修改）相关要求。</w:t>
            </w:r>
          </w:p>
          <w:p w14:paraId="513EA106">
            <w:pPr>
              <w:spacing w:line="360" w:lineRule="auto"/>
              <w:ind w:firstLine="482" w:firstLineChars="200"/>
              <w:rPr>
                <w:rFonts w:hint="eastAsia" w:ascii="Times New Roman" w:hAnsi="Times New Roman" w:eastAsia="宋体" w:cs="Times New Roman"/>
                <w:color w:val="auto"/>
                <w:sz w:val="24"/>
                <w:lang w:val="en-US" w:eastAsia="zh-CN"/>
              </w:rPr>
            </w:pPr>
            <w:r>
              <w:rPr>
                <w:rFonts w:hint="eastAsia" w:cs="Times New Roman"/>
                <w:b/>
                <w:bCs/>
                <w:color w:val="auto"/>
                <w:sz w:val="24"/>
                <w:lang w:val="en-US" w:eastAsia="zh-CN"/>
              </w:rPr>
              <w:t>7</w:t>
            </w:r>
            <w:r>
              <w:rPr>
                <w:rFonts w:hint="eastAsia" w:ascii="Times New Roman" w:hAnsi="Times New Roman" w:eastAsia="宋体" w:cs="Times New Roman"/>
                <w:b/>
                <w:bCs/>
                <w:color w:val="auto"/>
                <w:sz w:val="24"/>
                <w:lang w:val="en-US" w:eastAsia="zh-CN"/>
              </w:rPr>
              <w:t>、</w:t>
            </w:r>
            <w:r>
              <w:rPr>
                <w:rFonts w:hint="eastAsia" w:ascii="Times New Roman" w:hAnsi="Times New Roman" w:eastAsia="宋体" w:cs="Times New Roman"/>
                <w:color w:val="auto"/>
                <w:sz w:val="24"/>
                <w:lang w:val="en-US" w:eastAsia="zh-CN"/>
              </w:rPr>
              <w:t>与《鸡西市大气污染防治行动计划方案》符合性分析</w:t>
            </w:r>
          </w:p>
          <w:p w14:paraId="742CBC43">
            <w:pPr>
              <w:spacing w:line="240" w:lineRule="auto"/>
              <w:jc w:val="center"/>
              <w:rPr>
                <w:rFonts w:hint="eastAsia"/>
                <w:b/>
                <w:bCs/>
                <w:color w:val="auto"/>
                <w:sz w:val="24"/>
                <w:szCs w:val="24"/>
                <w:lang w:val="en-US" w:eastAsia="zh-CN"/>
              </w:rPr>
            </w:pPr>
            <w:r>
              <w:rPr>
                <w:rFonts w:hint="eastAsia"/>
                <w:b/>
                <w:bCs/>
                <w:color w:val="auto"/>
                <w:sz w:val="24"/>
                <w:szCs w:val="24"/>
                <w:lang w:val="en-US" w:eastAsia="zh-CN"/>
              </w:rPr>
              <w:t>表1-3 项目与《鸡西市大气污染防治行动计划方案》符合性分析</w:t>
            </w:r>
          </w:p>
          <w:tbl>
            <w:tblPr>
              <w:tblStyle w:val="31"/>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58"/>
              <w:gridCol w:w="4446"/>
              <w:gridCol w:w="2827"/>
            </w:tblGrid>
            <w:tr w14:paraId="565739F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58" w:type="dxa"/>
                  <w:tcBorders>
                    <w:tl2br w:val="nil"/>
                    <w:tr2bl w:val="nil"/>
                  </w:tcBorders>
                  <w:vAlign w:val="center"/>
                </w:tcPr>
                <w:p w14:paraId="360CA487">
                  <w:pPr>
                    <w:pStyle w:val="3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序号</w:t>
                  </w:r>
                </w:p>
              </w:tc>
              <w:tc>
                <w:tcPr>
                  <w:tcW w:w="4446" w:type="dxa"/>
                  <w:tcBorders>
                    <w:tl2br w:val="nil"/>
                    <w:tr2bl w:val="nil"/>
                  </w:tcBorders>
                  <w:vAlign w:val="center"/>
                </w:tcPr>
                <w:p w14:paraId="0FC5AE0E">
                  <w:pPr>
                    <w:pStyle w:val="3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相关内容</w:t>
                  </w:r>
                </w:p>
              </w:tc>
              <w:tc>
                <w:tcPr>
                  <w:tcW w:w="2827" w:type="dxa"/>
                  <w:tcBorders>
                    <w:tl2br w:val="nil"/>
                    <w:tr2bl w:val="nil"/>
                  </w:tcBorders>
                  <w:vAlign w:val="center"/>
                </w:tcPr>
                <w:p w14:paraId="36E2E3D2">
                  <w:pPr>
                    <w:pStyle w:val="38"/>
                    <w:jc w:val="center"/>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符合性分析</w:t>
                  </w:r>
                </w:p>
              </w:tc>
            </w:tr>
            <w:tr w14:paraId="3EB94F5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58" w:type="dxa"/>
                  <w:tcBorders>
                    <w:tl2br w:val="nil"/>
                    <w:tr2bl w:val="nil"/>
                  </w:tcBorders>
                  <w:vAlign w:val="center"/>
                </w:tcPr>
                <w:p w14:paraId="0F2F6EF5">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一</w:t>
                  </w:r>
                </w:p>
              </w:tc>
              <w:tc>
                <w:tcPr>
                  <w:tcW w:w="4446" w:type="dxa"/>
                  <w:tcBorders>
                    <w:tl2br w:val="nil"/>
                    <w:tr2bl w:val="nil"/>
                  </w:tcBorders>
                  <w:vAlign w:val="center"/>
                </w:tcPr>
                <w:p w14:paraId="00B87E0D">
                  <w:pPr>
                    <w:pStyle w:val="3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（一）推进锅炉改造及淘汰，严控燃煤污染</w:t>
                  </w:r>
                </w:p>
                <w:p w14:paraId="3F701694">
                  <w:pPr>
                    <w:pStyle w:val="3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1.控制燃煤消费总量。2.提高燃煤质量。3.淘汰分散小锅炉。4.完成燃煤锅炉达标治理。5.推进建筑供热计量和节能改造</w:t>
                  </w:r>
                  <w:r>
                    <w:rPr>
                      <w:rFonts w:hint="eastAsia" w:ascii="Times New Roman" w:hAnsi="Times New Roman" w:cs="Times New Roman"/>
                      <w:color w:val="auto"/>
                      <w:sz w:val="21"/>
                      <w:szCs w:val="21"/>
                      <w:vertAlign w:val="baseline"/>
                      <w:lang w:val="en-US" w:eastAsia="zh-CN"/>
                    </w:rPr>
                    <w:t>。</w:t>
                  </w:r>
                </w:p>
              </w:tc>
              <w:tc>
                <w:tcPr>
                  <w:tcW w:w="2827" w:type="dxa"/>
                  <w:tcBorders>
                    <w:tl2br w:val="nil"/>
                    <w:tr2bl w:val="nil"/>
                  </w:tcBorders>
                  <w:vAlign w:val="center"/>
                </w:tcPr>
                <w:p w14:paraId="79600258">
                  <w:pPr>
                    <w:pStyle w:val="38"/>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p w14:paraId="2B2ED44D">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本项目为热风炉燃料为生物质，主要为矿区矿井供热使用。</w:t>
                  </w:r>
                </w:p>
              </w:tc>
            </w:tr>
            <w:tr w14:paraId="3FC6902E">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58" w:type="dxa"/>
                  <w:tcBorders>
                    <w:tl2br w:val="nil"/>
                    <w:tr2bl w:val="nil"/>
                  </w:tcBorders>
                  <w:vAlign w:val="center"/>
                </w:tcPr>
                <w:p w14:paraId="745614CB">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二</w:t>
                  </w:r>
                </w:p>
              </w:tc>
              <w:tc>
                <w:tcPr>
                  <w:tcW w:w="4446" w:type="dxa"/>
                  <w:tcBorders>
                    <w:tl2br w:val="nil"/>
                    <w:tr2bl w:val="nil"/>
                  </w:tcBorders>
                  <w:vAlign w:val="center"/>
                </w:tcPr>
                <w:p w14:paraId="028801EF">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w:t>
                  </w:r>
                  <w:r>
                    <w:rPr>
                      <w:rFonts w:hint="default" w:ascii="Times New Roman" w:hAnsi="Times New Roman" w:cs="Times New Roman"/>
                      <w:color w:val="auto"/>
                      <w:sz w:val="21"/>
                      <w:szCs w:val="21"/>
                      <w:vertAlign w:val="baseline"/>
                      <w:lang w:val="en-US" w:eastAsia="zh-CN"/>
                    </w:rPr>
                    <w:t>二）升级改造治理设施，严治工业企业污染</w:t>
                  </w:r>
                </w:p>
                <w:p w14:paraId="3FFE6E89">
                  <w:pPr>
                    <w:pStyle w:val="38"/>
                    <w:jc w:val="center"/>
                    <w:rPr>
                      <w:rFonts w:hint="default" w:ascii="Times New Roman" w:hAnsi="Times New Roman" w:cs="Times New Roman"/>
                      <w:color w:val="auto"/>
                      <w:sz w:val="21"/>
                      <w:szCs w:val="21"/>
                      <w:vertAlign w:val="baseline"/>
                      <w:lang w:val="en-US" w:eastAsia="zh-CN"/>
                    </w:rPr>
                  </w:pPr>
                  <w:r>
                    <w:rPr>
                      <w:rFonts w:hint="default" w:ascii="Times New Roman" w:hAnsi="Times New Roman" w:cs="Times New Roman"/>
                      <w:color w:val="auto"/>
                      <w:sz w:val="21"/>
                      <w:szCs w:val="21"/>
                      <w:vertAlign w:val="baseline"/>
                      <w:lang w:val="en-US" w:eastAsia="zh-CN"/>
                    </w:rPr>
                    <w:t>6.实施燃煤电厂超低浓度排放。7.推进钢铁企业脱硫除尘改造。8.实行水泥企业脱硝除尘改造。9.开展石墨等其他行业专项治理。</w:t>
                  </w:r>
                </w:p>
              </w:tc>
              <w:tc>
                <w:tcPr>
                  <w:tcW w:w="2827" w:type="dxa"/>
                  <w:tcBorders>
                    <w:tl2br w:val="nil"/>
                    <w:tr2bl w:val="nil"/>
                  </w:tcBorders>
                  <w:vAlign w:val="center"/>
                </w:tcPr>
                <w:p w14:paraId="5D40FA26">
                  <w:pPr>
                    <w:pStyle w:val="38"/>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p w14:paraId="70951AB9">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本项目属于热力生产和供应业，产生的热风炉烟气收集经布袋除尘器处理后通过20m烟囱排放。</w:t>
                  </w:r>
                </w:p>
              </w:tc>
            </w:tr>
            <w:tr w14:paraId="1B3211B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58" w:type="dxa"/>
                  <w:tcBorders>
                    <w:tl2br w:val="nil"/>
                    <w:tr2bl w:val="nil"/>
                  </w:tcBorders>
                  <w:vAlign w:val="center"/>
                </w:tcPr>
                <w:p w14:paraId="40689D64">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三</w:t>
                  </w:r>
                </w:p>
              </w:tc>
              <w:tc>
                <w:tcPr>
                  <w:tcW w:w="4446" w:type="dxa"/>
                  <w:tcBorders>
                    <w:tl2br w:val="nil"/>
                    <w:tr2bl w:val="nil"/>
                  </w:tcBorders>
                  <w:vAlign w:val="center"/>
                </w:tcPr>
                <w:p w14:paraId="11CE4E58">
                  <w:pPr>
                    <w:pStyle w:val="38"/>
                    <w:numPr>
                      <w:ilvl w:val="0"/>
                      <w:numId w:val="0"/>
                    </w:numPr>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（四）</w:t>
                  </w:r>
                  <w:r>
                    <w:rPr>
                      <w:rFonts w:hint="default" w:ascii="Times New Roman" w:hAnsi="Times New Roman" w:cs="Times New Roman"/>
                      <w:color w:val="auto"/>
                      <w:sz w:val="21"/>
                      <w:szCs w:val="21"/>
                      <w:vertAlign w:val="baseline"/>
                      <w:lang w:val="en-US" w:eastAsia="zh-CN"/>
                    </w:rPr>
                    <w:t>强化大气污染综合治理，严防城乡面源污染15.综合整治城市面源污染。16.实施清洁能源替代。17.完善高污染燃料禁燃区划定。18.加强秸秆禁烧和综合利用。19.推进氨排放控制。</w:t>
                  </w:r>
                </w:p>
              </w:tc>
              <w:tc>
                <w:tcPr>
                  <w:tcW w:w="2827" w:type="dxa"/>
                  <w:tcBorders>
                    <w:tl2br w:val="nil"/>
                    <w:tr2bl w:val="nil"/>
                  </w:tcBorders>
                  <w:vAlign w:val="center"/>
                </w:tcPr>
                <w:p w14:paraId="7DE1CF47">
                  <w:pPr>
                    <w:pStyle w:val="38"/>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p w14:paraId="544ABF93">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w:t>
                  </w:r>
                  <w:r>
                    <w:rPr>
                      <w:rFonts w:hint="default" w:ascii="Times New Roman" w:hAnsi="Times New Roman" w:eastAsia="宋体" w:cs="Times New Roman"/>
                      <w:color w:val="auto"/>
                      <w:kern w:val="2"/>
                      <w:sz w:val="21"/>
                      <w:szCs w:val="21"/>
                      <w:lang w:val="en-US" w:eastAsia="zh-CN" w:bidi="ar-SA"/>
                    </w:rPr>
                    <w:t>用生物质颗粒做为燃料，属废物利用，</w:t>
                  </w:r>
                  <w:r>
                    <w:rPr>
                      <w:rFonts w:hint="eastAsia" w:ascii="Times New Roman" w:hAnsi="Times New Roman" w:cs="Times New Roman"/>
                      <w:color w:val="auto"/>
                      <w:kern w:val="2"/>
                      <w:sz w:val="21"/>
                      <w:szCs w:val="21"/>
                      <w:lang w:val="en-US" w:eastAsia="zh-CN" w:bidi="ar-SA"/>
                    </w:rPr>
                    <w:t>且营运期不产生氨。</w:t>
                  </w:r>
                </w:p>
              </w:tc>
            </w:tr>
            <w:tr w14:paraId="6A9B29B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3" w:hRule="atLeast"/>
                <w:jc w:val="center"/>
              </w:trPr>
              <w:tc>
                <w:tcPr>
                  <w:tcW w:w="658" w:type="dxa"/>
                  <w:tcBorders>
                    <w:tl2br w:val="nil"/>
                    <w:tr2bl w:val="nil"/>
                  </w:tcBorders>
                  <w:vAlign w:val="center"/>
                </w:tcPr>
                <w:p w14:paraId="5E2E1147">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四</w:t>
                  </w:r>
                </w:p>
              </w:tc>
              <w:tc>
                <w:tcPr>
                  <w:tcW w:w="4446" w:type="dxa"/>
                  <w:tcBorders>
                    <w:tl2br w:val="nil"/>
                    <w:tr2bl w:val="nil"/>
                  </w:tcBorders>
                  <w:vAlign w:val="center"/>
                </w:tcPr>
                <w:p w14:paraId="7B75B0E7">
                  <w:pPr>
                    <w:pStyle w:val="38"/>
                    <w:numPr>
                      <w:ilvl w:val="0"/>
                      <w:numId w:val="0"/>
                    </w:numPr>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（五）</w:t>
                  </w:r>
                  <w:r>
                    <w:rPr>
                      <w:rFonts w:hint="default" w:ascii="Times New Roman" w:hAnsi="Times New Roman" w:cs="Times New Roman"/>
                      <w:color w:val="auto"/>
                      <w:sz w:val="21"/>
                      <w:szCs w:val="21"/>
                      <w:vertAlign w:val="baseline"/>
                      <w:lang w:val="en-US" w:eastAsia="zh-CN"/>
                    </w:rPr>
                    <w:t>加强重污染天气应对，严格特殊时段环境空气质量管控20.完善重污染天气应急预案。21.提高重污染天气预警预报能力。22.强化重污染天气应急响应措施。</w:t>
                  </w:r>
                </w:p>
              </w:tc>
              <w:tc>
                <w:tcPr>
                  <w:tcW w:w="2827" w:type="dxa"/>
                  <w:tcBorders>
                    <w:tl2br w:val="nil"/>
                    <w:tr2bl w:val="nil"/>
                  </w:tcBorders>
                  <w:vAlign w:val="center"/>
                </w:tcPr>
                <w:p w14:paraId="4685FB9D">
                  <w:pPr>
                    <w:pStyle w:val="38"/>
                    <w:jc w:val="center"/>
                    <w:rPr>
                      <w:rFonts w:hint="eastAsia"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符合。</w:t>
                  </w:r>
                </w:p>
                <w:p w14:paraId="0B4C9BF3">
                  <w:pPr>
                    <w:pStyle w:val="38"/>
                    <w:jc w:val="center"/>
                    <w:rPr>
                      <w:rFonts w:hint="default" w:ascii="Times New Roman" w:hAnsi="Times New Roman" w:cs="Times New Roman"/>
                      <w:color w:val="auto"/>
                      <w:sz w:val="21"/>
                      <w:szCs w:val="21"/>
                      <w:vertAlign w:val="baseline"/>
                      <w:lang w:val="en-US" w:eastAsia="zh-CN"/>
                    </w:rPr>
                  </w:pPr>
                  <w:r>
                    <w:rPr>
                      <w:rFonts w:hint="eastAsia" w:ascii="Times New Roman" w:hAnsi="Times New Roman" w:cs="Times New Roman"/>
                      <w:color w:val="auto"/>
                      <w:sz w:val="21"/>
                      <w:szCs w:val="21"/>
                      <w:vertAlign w:val="baseline"/>
                      <w:lang w:val="en-US" w:eastAsia="zh-CN"/>
                    </w:rPr>
                    <w:t>本项目热风炉烟气收集后经布袋除尘器处理通过20m烟囱排放，布袋除尘器处理效率为99%。对大气环境造成的影响较小。</w:t>
                  </w:r>
                </w:p>
              </w:tc>
            </w:tr>
          </w:tbl>
          <w:p w14:paraId="4300DB0C">
            <w:pPr>
              <w:spacing w:line="360" w:lineRule="auto"/>
              <w:ind w:firstLine="480" w:firstLineChars="200"/>
              <w:rPr>
                <w:rFonts w:hint="eastAsia" w:ascii="Times New Roman" w:hAnsi="Times New Roman" w:eastAsia="宋体" w:cs="Times New Roman"/>
                <w:color w:val="auto"/>
                <w:kern w:val="0"/>
                <w:szCs w:val="21"/>
                <w:lang w:val="en-US" w:eastAsia="zh-CN"/>
              </w:rPr>
            </w:pPr>
            <w:r>
              <w:rPr>
                <w:rFonts w:hint="eastAsia" w:cs="Times New Roman"/>
                <w:color w:val="auto"/>
                <w:kern w:val="0"/>
                <w:sz w:val="24"/>
                <w:szCs w:val="24"/>
                <w:lang w:val="en-US" w:eastAsia="zh-CN"/>
              </w:rPr>
              <w:t>综上，本项目符合《鸡西市大气污染防治行动计划方案》相关要求。</w:t>
            </w:r>
          </w:p>
        </w:tc>
      </w:tr>
    </w:tbl>
    <w:p w14:paraId="34D19C8C">
      <w:pPr>
        <w:pStyle w:val="26"/>
        <w:jc w:val="center"/>
        <w:outlineLvl w:val="9"/>
        <w:rPr>
          <w:rFonts w:hint="default" w:ascii="Times New Roman" w:hAnsi="Times New Roman" w:eastAsia="黑体" w:cs="Times New Roman"/>
          <w:snapToGrid w:val="0"/>
          <w:color w:val="auto"/>
          <w:sz w:val="30"/>
          <w:szCs w:val="30"/>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E52408D">
      <w:pPr>
        <w:pStyle w:val="26"/>
        <w:jc w:val="center"/>
        <w:outlineLvl w:val="0"/>
        <w:rPr>
          <w:rFonts w:hint="default" w:ascii="Times New Roman" w:hAnsi="Times New Roman" w:eastAsia="黑体" w:cs="Times New Roman"/>
          <w:snapToGrid w:val="0"/>
          <w:color w:val="auto"/>
          <w:sz w:val="30"/>
          <w:szCs w:val="30"/>
        </w:rPr>
      </w:pPr>
      <w:bookmarkStart w:id="2" w:name="_Toc14829"/>
      <w:r>
        <w:rPr>
          <w:rFonts w:hint="default" w:ascii="Times New Roman" w:hAnsi="Times New Roman" w:eastAsia="黑体" w:cs="Times New Roman"/>
          <w:snapToGrid w:val="0"/>
          <w:color w:val="auto"/>
          <w:sz w:val="30"/>
          <w:szCs w:val="30"/>
        </w:rPr>
        <w:t>二、建设项目工程分析</w:t>
      </w:r>
      <w:bookmarkEnd w:id="2"/>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23"/>
        <w:gridCol w:w="8161"/>
      </w:tblGrid>
      <w:tr w14:paraId="66770D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8" w:hRule="atLeast"/>
          <w:jc w:val="center"/>
        </w:trPr>
        <w:tc>
          <w:tcPr>
            <w:tcW w:w="823" w:type="dxa"/>
            <w:noWrap w:val="0"/>
            <w:vAlign w:val="center"/>
          </w:tcPr>
          <w:p w14:paraId="338DB1DA">
            <w:pPr>
              <w:pStyle w:val="26"/>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4"/>
                <w:szCs w:val="24"/>
              </w:rPr>
              <w:t>建设内容</w:t>
            </w:r>
          </w:p>
        </w:tc>
        <w:tc>
          <w:tcPr>
            <w:tcW w:w="8161" w:type="dxa"/>
            <w:noWrap w:val="0"/>
            <w:vAlign w:val="top"/>
          </w:tcPr>
          <w:p w14:paraId="2905CA6A">
            <w:pPr>
              <w:pStyle w:val="62"/>
              <w:keepNext w:val="0"/>
              <w:keepLines w:val="0"/>
              <w:pageBreakBefore w:val="0"/>
              <w:widowControl w:val="0"/>
              <w:numPr>
                <w:ilvl w:val="0"/>
                <w:numId w:val="4"/>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 xml:space="preserve">主要建设内容及规模                                                                                                         </w:t>
            </w:r>
          </w:p>
          <w:p w14:paraId="1492AB8E">
            <w:pPr>
              <w:keepNext w:val="0"/>
              <w:keepLines w:val="0"/>
              <w:widowControl/>
              <w:suppressLineNumbers w:val="0"/>
              <w:spacing w:line="360" w:lineRule="auto"/>
              <w:ind w:left="1679" w:leftChars="228" w:hanging="1200" w:hangingChars="500"/>
              <w:jc w:val="left"/>
              <w:rPr>
                <w:rFonts w:hint="default" w:ascii="Times New Roman" w:hAnsi="Times New Roman" w:eastAsia="宋体" w:cs="Times New Roman"/>
                <w:color w:val="auto"/>
                <w:sz w:val="24"/>
                <w:szCs w:val="24"/>
                <w:u w:val="none"/>
                <w:lang w:val="en-US" w:eastAsia="zh-CN"/>
              </w:rPr>
            </w:pPr>
            <w:r>
              <w:rPr>
                <w:rFonts w:hint="default" w:ascii="Times New Roman" w:hAnsi="Times New Roman" w:eastAsia="宋体" w:cs="Times New Roman"/>
                <w:color w:val="auto"/>
                <w:kern w:val="0"/>
                <w:sz w:val="24"/>
                <w:szCs w:val="24"/>
                <w:highlight w:val="none"/>
                <w:lang w:val="en-US" w:eastAsia="zh-CN" w:bidi="ar"/>
              </w:rPr>
              <w:t>项目名称：</w:t>
            </w:r>
            <w:r>
              <w:rPr>
                <w:rFonts w:hint="eastAsia" w:cs="Times New Roman"/>
                <w:color w:val="auto"/>
                <w:sz w:val="24"/>
                <w:szCs w:val="24"/>
                <w:lang w:eastAsia="zh-CN"/>
              </w:rPr>
              <w:t>鸡西市城子河铁城煤矿热风炉改建项目</w:t>
            </w:r>
            <w:r>
              <w:rPr>
                <w:rFonts w:hint="default" w:ascii="Times New Roman" w:hAnsi="Times New Roman" w:eastAsia="宋体" w:cs="Times New Roman"/>
                <w:color w:val="auto"/>
                <w:sz w:val="24"/>
                <w:szCs w:val="24"/>
                <w:u w:val="none"/>
                <w:lang w:val="en-US" w:eastAsia="zh-CN"/>
              </w:rPr>
              <w:t>；</w:t>
            </w:r>
          </w:p>
          <w:p w14:paraId="7834F7F3">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sz w:val="24"/>
                <w:szCs w:val="24"/>
                <w:u w:val="none"/>
                <w:lang w:eastAsia="zh-CN"/>
              </w:rPr>
            </w:pPr>
            <w:r>
              <w:rPr>
                <w:rFonts w:hint="default" w:ascii="Times New Roman" w:hAnsi="Times New Roman" w:eastAsia="宋体" w:cs="Times New Roman"/>
                <w:color w:val="auto"/>
                <w:sz w:val="24"/>
                <w:szCs w:val="24"/>
                <w:u w:val="none"/>
                <w:lang w:val="en-US" w:eastAsia="zh-CN"/>
              </w:rPr>
              <w:t>建设单位：</w:t>
            </w:r>
            <w:r>
              <w:rPr>
                <w:rFonts w:hint="eastAsia" w:cs="Times New Roman"/>
                <w:color w:val="auto"/>
                <w:sz w:val="24"/>
                <w:szCs w:val="24"/>
                <w:u w:val="none"/>
                <w:lang w:val="en-US" w:eastAsia="zh-CN"/>
              </w:rPr>
              <w:t>鸡西市城子河区铁城煤矿有限公司</w:t>
            </w:r>
            <w:r>
              <w:rPr>
                <w:rFonts w:hint="default" w:ascii="Times New Roman" w:hAnsi="Times New Roman" w:eastAsia="宋体" w:cs="Times New Roman"/>
                <w:color w:val="auto"/>
                <w:sz w:val="24"/>
                <w:szCs w:val="24"/>
                <w:u w:val="none"/>
                <w:lang w:eastAsia="zh-CN"/>
              </w:rPr>
              <w:t>；</w:t>
            </w:r>
          </w:p>
          <w:p w14:paraId="5266F6CB">
            <w:pPr>
              <w:keepNext w:val="0"/>
              <w:keepLines w:val="0"/>
              <w:widowControl/>
              <w:suppressLineNumbers w:val="0"/>
              <w:spacing w:line="360" w:lineRule="auto"/>
              <w:ind w:left="1679" w:leftChars="228" w:hanging="1200" w:hangingChars="500"/>
              <w:jc w:val="left"/>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sz w:val="24"/>
                <w:szCs w:val="24"/>
                <w:u w:val="none"/>
                <w:lang w:eastAsia="zh-CN"/>
              </w:rPr>
              <w:t>建设地点：</w:t>
            </w:r>
            <w:r>
              <w:rPr>
                <w:rFonts w:hint="eastAsia" w:ascii="宋体" w:hAnsi="宋体" w:eastAsia="宋体" w:cs="宋体"/>
                <w:color w:val="auto"/>
                <w:sz w:val="24"/>
                <w:szCs w:val="24"/>
                <w:lang w:val="en-US" w:eastAsia="zh-CN"/>
              </w:rPr>
              <w:t>鸡西市城子河铁城煤矿有限公司现有厂区内</w:t>
            </w:r>
            <w:r>
              <w:rPr>
                <w:rFonts w:hint="default" w:ascii="Times New Roman" w:hAnsi="Times New Roman" w:eastAsia="宋体" w:cs="Times New Roman"/>
                <w:color w:val="auto"/>
                <w:kern w:val="0"/>
                <w:sz w:val="24"/>
                <w:szCs w:val="24"/>
                <w:highlight w:val="none"/>
                <w:lang w:val="en-US" w:eastAsia="zh-CN" w:bidi="ar"/>
              </w:rPr>
              <w:t>；</w:t>
            </w:r>
          </w:p>
          <w:p w14:paraId="0A00E241">
            <w:pPr>
              <w:keepNext w:val="0"/>
              <w:keepLines w:val="0"/>
              <w:widowControl/>
              <w:suppressLineNumbers w:val="0"/>
              <w:spacing w:line="360" w:lineRule="auto"/>
              <w:ind w:firstLine="480" w:firstLineChars="200"/>
              <w:jc w:val="left"/>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建设性质：</w:t>
            </w:r>
            <w:r>
              <w:rPr>
                <w:rFonts w:hint="eastAsia" w:cs="Times New Roman"/>
                <w:color w:val="auto"/>
                <w:sz w:val="24"/>
                <w:szCs w:val="24"/>
                <w:lang w:eastAsia="zh-CN"/>
              </w:rPr>
              <w:t>改建</w:t>
            </w:r>
            <w:r>
              <w:rPr>
                <w:rFonts w:hint="default" w:ascii="Times New Roman" w:hAnsi="Times New Roman" w:eastAsia="宋体" w:cs="Times New Roman"/>
                <w:color w:val="auto"/>
                <w:kern w:val="0"/>
                <w:sz w:val="24"/>
                <w:szCs w:val="24"/>
                <w:highlight w:val="none"/>
                <w:lang w:val="en-US" w:eastAsia="zh-CN" w:bidi="ar"/>
              </w:rPr>
              <w:t>；</w:t>
            </w:r>
            <w:r>
              <w:rPr>
                <w:rFonts w:hint="default" w:ascii="Times New Roman" w:hAnsi="Times New Roman" w:cs="Times New Roman"/>
                <w:color w:val="auto"/>
                <w:kern w:val="0"/>
                <w:sz w:val="24"/>
                <w:szCs w:val="24"/>
                <w:highlight w:val="none"/>
                <w:lang w:val="en-US" w:eastAsia="zh-CN" w:bidi="ar"/>
              </w:rPr>
              <w:t xml:space="preserve">  </w:t>
            </w:r>
          </w:p>
          <w:p w14:paraId="0397D96E">
            <w:pPr>
              <w:keepNext w:val="0"/>
              <w:keepLines w:val="0"/>
              <w:widowControl/>
              <w:suppressLineNumbers w:val="0"/>
              <w:spacing w:line="360" w:lineRule="auto"/>
              <w:ind w:firstLine="480" w:firstLineChars="200"/>
              <w:jc w:val="left"/>
              <w:rPr>
                <w:rFonts w:hint="default" w:ascii="Times New Roman" w:hAnsi="Times New Roman"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劳动定员：本项目</w:t>
            </w:r>
            <w:r>
              <w:rPr>
                <w:rFonts w:hint="default" w:ascii="Times New Roman" w:hAnsi="Times New Roman" w:cs="Times New Roman"/>
                <w:color w:val="auto"/>
                <w:kern w:val="0"/>
                <w:sz w:val="24"/>
                <w:szCs w:val="24"/>
                <w:highlight w:val="none"/>
                <w:lang w:val="en-US" w:eastAsia="zh-CN" w:bidi="ar"/>
              </w:rPr>
              <w:t>无新增员工；</w:t>
            </w:r>
          </w:p>
          <w:p w14:paraId="56ABE27A">
            <w:pPr>
              <w:keepNext w:val="0"/>
              <w:keepLines w:val="0"/>
              <w:widowControl/>
              <w:suppressLineNumbers w:val="0"/>
              <w:spacing w:line="360" w:lineRule="auto"/>
              <w:ind w:left="1679" w:leftChars="228" w:hanging="1200" w:hangingChars="500"/>
              <w:jc w:val="left"/>
              <w:rPr>
                <w:rFonts w:hint="eastAsia"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工作制度：</w:t>
            </w:r>
            <w:r>
              <w:rPr>
                <w:rFonts w:hint="eastAsia" w:cs="Times New Roman"/>
                <w:color w:val="auto"/>
                <w:kern w:val="0"/>
                <w:sz w:val="24"/>
                <w:szCs w:val="24"/>
                <w:highlight w:val="none"/>
                <w:lang w:val="en-US" w:eastAsia="zh-CN" w:bidi="ar"/>
              </w:rPr>
              <w:t>一台5t/h生物质热风炉年运行120d，每日运行16h；</w:t>
            </w:r>
          </w:p>
          <w:p w14:paraId="06BC06A6">
            <w:pPr>
              <w:spacing w:line="360" w:lineRule="auto"/>
              <w:ind w:firstLine="480" w:firstLineChars="200"/>
              <w:rPr>
                <w:rFonts w:hint="eastAsia" w:cs="Times New Roman"/>
                <w:color w:val="auto"/>
                <w:kern w:val="0"/>
                <w:sz w:val="24"/>
                <w:szCs w:val="24"/>
                <w:highlight w:val="none"/>
                <w:lang w:val="en-US" w:eastAsia="zh-CN"/>
              </w:rPr>
            </w:pPr>
            <w:r>
              <w:rPr>
                <w:rFonts w:hint="eastAsia" w:cs="Times New Roman"/>
                <w:color w:val="auto"/>
                <w:kern w:val="0"/>
                <w:sz w:val="24"/>
                <w:szCs w:val="24"/>
                <w:highlight w:val="none"/>
                <w:lang w:val="en-US" w:eastAsia="zh-CN"/>
              </w:rPr>
              <w:t>项目由来：由于现行环保要求，企业决定拆除原有的燃煤锅炉3台及配套的三根排气筒，</w:t>
            </w:r>
            <w:r>
              <w:rPr>
                <w:rFonts w:hint="eastAsia" w:cs="Times New Roman"/>
                <w:color w:val="auto"/>
                <w:sz w:val="24"/>
                <w:szCs w:val="24"/>
                <w:highlight w:val="none"/>
                <w:lang w:val="en-US" w:eastAsia="zh-CN"/>
              </w:rPr>
              <w:t>新增一台</w:t>
            </w:r>
            <w:r>
              <w:rPr>
                <w:rFonts w:hint="eastAsia"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lang w:val="en-US" w:eastAsia="zh-CN"/>
              </w:rPr>
              <w:t>t/h</w:t>
            </w:r>
            <w:r>
              <w:rPr>
                <w:rFonts w:hint="eastAsia" w:cs="Times New Roman"/>
                <w:color w:val="auto"/>
                <w:kern w:val="0"/>
                <w:sz w:val="24"/>
                <w:szCs w:val="24"/>
                <w:highlight w:val="none"/>
                <w:lang w:val="en-US" w:eastAsia="zh-CN"/>
              </w:rPr>
              <w:t>生物质热风炉。</w:t>
            </w:r>
          </w:p>
          <w:p w14:paraId="307F40C0">
            <w:pPr>
              <w:spacing w:line="360" w:lineRule="auto"/>
              <w:ind w:firstLine="480" w:firstLineChars="200"/>
              <w:rPr>
                <w:rFonts w:hint="default"/>
                <w:color w:val="auto"/>
                <w:highlight w:val="none"/>
                <w:lang w:val="en-US" w:eastAsia="zh-CN"/>
              </w:rPr>
            </w:pPr>
            <w:r>
              <w:rPr>
                <w:rFonts w:hint="eastAsia" w:cs="Times New Roman"/>
                <w:color w:val="auto"/>
                <w:kern w:val="0"/>
                <w:sz w:val="24"/>
                <w:szCs w:val="24"/>
                <w:highlight w:val="none"/>
                <w:lang w:val="en-US" w:eastAsia="zh-CN"/>
              </w:rPr>
              <w:t>建设内容及变化情况：本项目</w:t>
            </w:r>
            <w:r>
              <w:rPr>
                <w:rFonts w:hint="default" w:ascii="Times New Roman" w:hAnsi="Times New Roman" w:cs="Times New Roman"/>
                <w:color w:val="auto"/>
                <w:kern w:val="0"/>
                <w:sz w:val="24"/>
                <w:szCs w:val="24"/>
                <w:highlight w:val="none"/>
                <w:lang w:val="en-US" w:eastAsia="zh-CN"/>
              </w:rPr>
              <w:t>取消原有</w:t>
            </w:r>
            <w:r>
              <w:rPr>
                <w:rFonts w:hint="eastAsia" w:cs="Times New Roman"/>
                <w:color w:val="auto"/>
                <w:kern w:val="0"/>
                <w:sz w:val="24"/>
                <w:szCs w:val="24"/>
                <w:highlight w:val="none"/>
                <w:lang w:val="en-US" w:eastAsia="zh-CN"/>
              </w:rPr>
              <w:t>矿井供热的一</w:t>
            </w:r>
            <w:r>
              <w:rPr>
                <w:rFonts w:hint="default" w:ascii="Times New Roman" w:hAnsi="Times New Roman" w:cs="Times New Roman"/>
                <w:color w:val="auto"/>
                <w:kern w:val="0"/>
                <w:sz w:val="24"/>
                <w:szCs w:val="24"/>
                <w:highlight w:val="none"/>
                <w:lang w:val="en-US" w:eastAsia="zh-CN"/>
              </w:rPr>
              <w:t>台</w:t>
            </w:r>
            <w:r>
              <w:rPr>
                <w:rFonts w:hint="eastAsia" w:cs="Times New Roman"/>
                <w:color w:val="auto"/>
                <w:kern w:val="0"/>
                <w:sz w:val="24"/>
                <w:szCs w:val="24"/>
                <w:highlight w:val="none"/>
                <w:lang w:val="en-US" w:eastAsia="zh-CN"/>
              </w:rPr>
              <w:t>1.05</w:t>
            </w:r>
            <w:r>
              <w:rPr>
                <w:rFonts w:hint="eastAsia" w:cs="Times New Roman"/>
                <w:color w:val="auto"/>
                <w:sz w:val="24"/>
                <w:szCs w:val="24"/>
                <w:highlight w:val="none"/>
                <w:lang w:val="en-US" w:eastAsia="zh-CN"/>
              </w:rPr>
              <w:t>MW</w:t>
            </w:r>
            <w:r>
              <w:rPr>
                <w:rFonts w:hint="default" w:ascii="Times New Roman" w:hAnsi="Times New Roman" w:cs="Times New Roman"/>
                <w:color w:val="auto"/>
                <w:sz w:val="24"/>
                <w:szCs w:val="24"/>
                <w:highlight w:val="none"/>
                <w:lang w:val="en-US" w:eastAsia="zh-CN"/>
              </w:rPr>
              <w:t>燃煤</w:t>
            </w:r>
            <w:r>
              <w:rPr>
                <w:rFonts w:hint="eastAsia" w:cs="Times New Roman"/>
                <w:color w:val="auto"/>
                <w:sz w:val="24"/>
                <w:szCs w:val="24"/>
                <w:highlight w:val="none"/>
                <w:lang w:val="en-US" w:eastAsia="zh-CN"/>
              </w:rPr>
              <w:t>热风炉、冬季供暖和洗浴CHH0.7A 节能锅炉各一台，新增</w:t>
            </w:r>
            <w:r>
              <w:rPr>
                <w:rFonts w:hint="eastAsia" w:cs="Times New Roman"/>
                <w:color w:val="auto"/>
                <w:kern w:val="0"/>
                <w:sz w:val="24"/>
                <w:szCs w:val="24"/>
                <w:highlight w:val="none"/>
                <w:lang w:val="en-US" w:eastAsia="zh-CN"/>
              </w:rPr>
              <w:t>一台5</w:t>
            </w:r>
            <w:r>
              <w:rPr>
                <w:rFonts w:hint="default" w:ascii="Times New Roman" w:hAnsi="Times New Roman" w:cs="Times New Roman"/>
                <w:color w:val="auto"/>
                <w:kern w:val="0"/>
                <w:sz w:val="24"/>
                <w:szCs w:val="24"/>
                <w:highlight w:val="none"/>
                <w:lang w:val="en-US" w:eastAsia="zh-CN"/>
              </w:rPr>
              <w:t>t/h</w:t>
            </w:r>
            <w:r>
              <w:rPr>
                <w:rFonts w:hint="eastAsia" w:cs="Times New Roman"/>
                <w:color w:val="auto"/>
                <w:kern w:val="0"/>
                <w:sz w:val="24"/>
                <w:szCs w:val="24"/>
                <w:highlight w:val="none"/>
                <w:lang w:val="en-US" w:eastAsia="zh-CN"/>
              </w:rPr>
              <w:t>生物质热风炉、灰渣间、生物质堆场、危险废物暂存间及20m高烟囱等配套环保工程。</w:t>
            </w:r>
            <w:r>
              <w:rPr>
                <w:rFonts w:hint="eastAsia" w:cs="Times New Roman"/>
                <w:color w:val="auto"/>
                <w:sz w:val="24"/>
                <w:szCs w:val="24"/>
                <w:highlight w:val="none"/>
                <w:lang w:val="en-US" w:eastAsia="zh-CN"/>
              </w:rPr>
              <w:t>原有锅炉年燃煤共计360t，新增一台</w:t>
            </w:r>
            <w:r>
              <w:rPr>
                <w:rFonts w:hint="eastAsia" w:cs="Times New Roman"/>
                <w:color w:val="auto"/>
                <w:kern w:val="0"/>
                <w:sz w:val="24"/>
                <w:szCs w:val="24"/>
                <w:highlight w:val="none"/>
                <w:lang w:val="en-US" w:eastAsia="zh-CN"/>
              </w:rPr>
              <w:t>5</w:t>
            </w:r>
            <w:r>
              <w:rPr>
                <w:rFonts w:hint="default" w:ascii="Times New Roman" w:hAnsi="Times New Roman" w:cs="Times New Roman"/>
                <w:color w:val="auto"/>
                <w:kern w:val="0"/>
                <w:sz w:val="24"/>
                <w:szCs w:val="24"/>
                <w:highlight w:val="none"/>
                <w:lang w:val="en-US" w:eastAsia="zh-CN"/>
              </w:rPr>
              <w:t>t/h</w:t>
            </w:r>
            <w:r>
              <w:rPr>
                <w:rFonts w:hint="eastAsia" w:cs="Times New Roman"/>
                <w:color w:val="auto"/>
                <w:kern w:val="0"/>
                <w:sz w:val="24"/>
                <w:szCs w:val="24"/>
                <w:highlight w:val="none"/>
                <w:lang w:val="en-US" w:eastAsia="zh-CN"/>
              </w:rPr>
              <w:t>生物质热风炉，年燃生物质1504t，供热时间无变化；洗浴及供暖采用电锅炉。</w:t>
            </w:r>
          </w:p>
          <w:p w14:paraId="37D89E21">
            <w:pPr>
              <w:pStyle w:val="62"/>
              <w:tabs>
                <w:tab w:val="left" w:pos="3590"/>
                <w:tab w:val="center" w:pos="4605"/>
              </w:tabs>
              <w:adjustRightInd w:val="0"/>
              <w:snapToGrid w:val="0"/>
              <w:spacing w:after="60" w:line="240" w:lineRule="auto"/>
              <w:ind w:firstLine="0"/>
              <w:jc w:val="center"/>
              <w:rPr>
                <w:rFonts w:hint="eastAsia" w:ascii="Times New Roman" w:hAnsi="Times New Roman" w:eastAsia="宋体" w:cs="Times New Roman"/>
                <w:b/>
                <w:color w:val="auto"/>
                <w:sz w:val="21"/>
                <w:szCs w:val="21"/>
                <w:highlight w:val="none"/>
                <w:lang w:val="en-US" w:eastAsia="zh-CN"/>
              </w:rPr>
            </w:pPr>
            <w:r>
              <w:rPr>
                <w:rFonts w:hint="default" w:ascii="Times New Roman" w:hAnsi="Times New Roman" w:eastAsia="宋体" w:cs="Times New Roman"/>
                <w:b/>
                <w:color w:val="auto"/>
                <w:sz w:val="24"/>
                <w:szCs w:val="24"/>
                <w:highlight w:val="none"/>
              </w:rPr>
              <w:t>表</w:t>
            </w:r>
            <w:r>
              <w:rPr>
                <w:rFonts w:hint="default" w:ascii="Times New Roman" w:hAnsi="Times New Roman" w:eastAsia="宋体" w:cs="Times New Roman"/>
                <w:b/>
                <w:color w:val="auto"/>
                <w:sz w:val="24"/>
                <w:szCs w:val="24"/>
                <w:highlight w:val="none"/>
                <w:lang w:val="en-US" w:eastAsia="zh-CN"/>
              </w:rPr>
              <w:t>2-1</w:t>
            </w:r>
            <w:r>
              <w:rPr>
                <w:rFonts w:hint="default" w:ascii="Times New Roman" w:hAnsi="Times New Roman" w:eastAsia="宋体" w:cs="Times New Roman"/>
                <w:b/>
                <w:color w:val="auto"/>
                <w:sz w:val="24"/>
                <w:szCs w:val="24"/>
                <w:highlight w:val="none"/>
              </w:rPr>
              <w:t xml:space="preserve"> 本项目主要建设内容</w:t>
            </w:r>
            <w:r>
              <w:rPr>
                <w:rFonts w:hint="eastAsia" w:cs="Times New Roman"/>
                <w:b/>
                <w:color w:val="auto"/>
                <w:sz w:val="21"/>
                <w:szCs w:val="21"/>
                <w:highlight w:val="none"/>
                <w:lang w:val="en-US" w:eastAsia="zh-CN"/>
              </w:rPr>
              <w:t xml:space="preserve"> </w:t>
            </w:r>
          </w:p>
          <w:tbl>
            <w:tblPr>
              <w:tblStyle w:val="30"/>
              <w:tblW w:w="7978" w:type="dxa"/>
              <w:jc w:val="center"/>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63"/>
              <w:gridCol w:w="1065"/>
              <w:gridCol w:w="5290"/>
              <w:gridCol w:w="760"/>
            </w:tblGrid>
            <w:tr w14:paraId="089EAFEA">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tcBorders>
                    <w:tl2br w:val="nil"/>
                    <w:tr2bl w:val="nil"/>
                  </w:tcBorders>
                  <w:noWrap w:val="0"/>
                  <w:vAlign w:val="center"/>
                </w:tcPr>
                <w:p w14:paraId="395A511C">
                  <w:pPr>
                    <w:spacing w:line="240" w:lineRule="auto"/>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工程</w:t>
                  </w:r>
                </w:p>
                <w:p w14:paraId="5D63C673">
                  <w:pPr>
                    <w:spacing w:line="240" w:lineRule="auto"/>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内容</w:t>
                  </w:r>
                </w:p>
              </w:tc>
              <w:tc>
                <w:tcPr>
                  <w:tcW w:w="1065" w:type="dxa"/>
                  <w:tcBorders>
                    <w:tl2br w:val="nil"/>
                    <w:tr2bl w:val="nil"/>
                  </w:tcBorders>
                  <w:noWrap w:val="0"/>
                  <w:vAlign w:val="center"/>
                </w:tcPr>
                <w:p w14:paraId="357EE89F">
                  <w:pPr>
                    <w:spacing w:line="240" w:lineRule="auto"/>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项目名称</w:t>
                  </w:r>
                </w:p>
              </w:tc>
              <w:tc>
                <w:tcPr>
                  <w:tcW w:w="5290" w:type="dxa"/>
                  <w:tcBorders>
                    <w:tl2br w:val="nil"/>
                    <w:tr2bl w:val="nil"/>
                  </w:tcBorders>
                  <w:noWrap w:val="0"/>
                  <w:vAlign w:val="center"/>
                </w:tcPr>
                <w:p w14:paraId="342D9F8B">
                  <w:pPr>
                    <w:spacing w:line="240" w:lineRule="auto"/>
                    <w:jc w:val="center"/>
                    <w:rPr>
                      <w:rFonts w:hint="default" w:ascii="Times New Roman" w:hAnsi="Times New Roman" w:eastAsia="宋体" w:cs="Times New Roman"/>
                      <w:b/>
                      <w:bCs w:val="0"/>
                      <w:color w:val="auto"/>
                      <w:sz w:val="21"/>
                      <w:szCs w:val="21"/>
                    </w:rPr>
                  </w:pPr>
                  <w:r>
                    <w:rPr>
                      <w:rFonts w:hint="default" w:ascii="Times New Roman" w:hAnsi="Times New Roman" w:eastAsia="宋体" w:cs="Times New Roman"/>
                      <w:b/>
                      <w:bCs w:val="0"/>
                      <w:color w:val="auto"/>
                      <w:sz w:val="21"/>
                      <w:szCs w:val="21"/>
                    </w:rPr>
                    <w:t>建设内容及规模</w:t>
                  </w:r>
                </w:p>
              </w:tc>
              <w:tc>
                <w:tcPr>
                  <w:tcW w:w="760" w:type="dxa"/>
                  <w:tcBorders>
                    <w:tl2br w:val="nil"/>
                    <w:tr2bl w:val="nil"/>
                  </w:tcBorders>
                  <w:noWrap w:val="0"/>
                  <w:vAlign w:val="center"/>
                </w:tcPr>
                <w:p w14:paraId="215C990A">
                  <w:pPr>
                    <w:spacing w:line="240" w:lineRule="auto"/>
                    <w:jc w:val="center"/>
                    <w:rPr>
                      <w:rFonts w:hint="default" w:ascii="Times New Roman" w:hAnsi="Times New Roman" w:eastAsia="宋体" w:cs="Times New Roman"/>
                      <w:b/>
                      <w:bCs w:val="0"/>
                      <w:color w:val="auto"/>
                      <w:sz w:val="21"/>
                      <w:szCs w:val="21"/>
                      <w:lang w:val="en-US" w:eastAsia="zh-CN"/>
                    </w:rPr>
                  </w:pPr>
                  <w:r>
                    <w:rPr>
                      <w:rFonts w:hint="default" w:ascii="Times New Roman" w:hAnsi="Times New Roman" w:eastAsia="宋体" w:cs="Times New Roman"/>
                      <w:b/>
                      <w:bCs w:val="0"/>
                      <w:color w:val="auto"/>
                      <w:sz w:val="21"/>
                      <w:szCs w:val="21"/>
                      <w:lang w:val="en-US" w:eastAsia="zh-CN"/>
                    </w:rPr>
                    <w:t>备注</w:t>
                  </w:r>
                </w:p>
              </w:tc>
            </w:tr>
            <w:tr w14:paraId="05EF406E">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restart"/>
                  <w:tcBorders>
                    <w:tl2br w:val="nil"/>
                    <w:tr2bl w:val="nil"/>
                  </w:tcBorders>
                  <w:noWrap w:val="0"/>
                  <w:vAlign w:val="center"/>
                </w:tcPr>
                <w:p w14:paraId="1EA49E19">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主体</w:t>
                  </w:r>
                </w:p>
                <w:p w14:paraId="01C6BC75">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工程</w:t>
                  </w:r>
                </w:p>
              </w:tc>
              <w:tc>
                <w:tcPr>
                  <w:tcW w:w="1065" w:type="dxa"/>
                  <w:tcBorders>
                    <w:tl2br w:val="nil"/>
                    <w:tr2bl w:val="nil"/>
                  </w:tcBorders>
                  <w:noWrap w:val="0"/>
                  <w:vAlign w:val="center"/>
                </w:tcPr>
                <w:p w14:paraId="339F31D0">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锅炉房</w:t>
                  </w:r>
                </w:p>
              </w:tc>
              <w:tc>
                <w:tcPr>
                  <w:tcW w:w="5290" w:type="dxa"/>
                  <w:tcBorders>
                    <w:tl2br w:val="nil"/>
                    <w:tr2bl w:val="nil"/>
                  </w:tcBorders>
                  <w:noWrap w:val="0"/>
                  <w:vAlign w:val="center"/>
                </w:tcPr>
                <w:p w14:paraId="064124F1">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位于</w:t>
                  </w:r>
                  <w:r>
                    <w:rPr>
                      <w:rFonts w:hint="eastAsia"/>
                      <w:color w:val="auto"/>
                      <w:sz w:val="21"/>
                      <w:szCs w:val="21"/>
                      <w:highlight w:val="none"/>
                      <w:lang w:eastAsia="zh-CN"/>
                    </w:rPr>
                    <w:t>工业场地北</w:t>
                  </w:r>
                  <w:r>
                    <w:rPr>
                      <w:rFonts w:hint="eastAsia" w:cs="Times New Roman"/>
                      <w:color w:val="auto"/>
                      <w:sz w:val="21"/>
                      <w:szCs w:val="21"/>
                      <w:highlight w:val="none"/>
                      <w:lang w:val="en-US" w:eastAsia="zh-CN"/>
                    </w:rPr>
                    <w:t>侧，</w:t>
                  </w:r>
                  <w:r>
                    <w:rPr>
                      <w:rFonts w:hint="default" w:ascii="Times New Roman" w:hAnsi="Times New Roman" w:cs="Times New Roman"/>
                      <w:color w:val="auto"/>
                      <w:sz w:val="21"/>
                      <w:szCs w:val="21"/>
                      <w:highlight w:val="none"/>
                      <w:lang w:val="en-US" w:eastAsia="zh-CN"/>
                    </w:rPr>
                    <w:t>建筑面积</w:t>
                  </w:r>
                  <w:r>
                    <w:rPr>
                      <w:rFonts w:hint="eastAsia" w:cs="Times New Roman"/>
                      <w:color w:val="auto"/>
                      <w:sz w:val="21"/>
                      <w:szCs w:val="21"/>
                      <w:highlight w:val="none"/>
                      <w:lang w:val="en-US" w:eastAsia="zh-CN"/>
                    </w:rPr>
                    <w:t>300m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，内设一台5t/h生物质热风炉用于矿井供热</w:t>
                  </w:r>
                </w:p>
              </w:tc>
              <w:tc>
                <w:tcPr>
                  <w:tcW w:w="760" w:type="dxa"/>
                  <w:tcBorders>
                    <w:tl2br w:val="nil"/>
                    <w:tr2bl w:val="nil"/>
                  </w:tcBorders>
                  <w:noWrap w:val="0"/>
                  <w:vAlign w:val="center"/>
                </w:tcPr>
                <w:p w14:paraId="5AA60C9E">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利用现有</w:t>
                  </w:r>
                </w:p>
              </w:tc>
            </w:tr>
            <w:tr w14:paraId="0EC8AA3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5F828765">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p>
              </w:tc>
              <w:tc>
                <w:tcPr>
                  <w:tcW w:w="1065" w:type="dxa"/>
                  <w:tcBorders>
                    <w:tl2br w:val="nil"/>
                    <w:tr2bl w:val="nil"/>
                  </w:tcBorders>
                  <w:noWrap w:val="0"/>
                  <w:vAlign w:val="center"/>
                </w:tcPr>
                <w:p w14:paraId="42407EA8">
                  <w:pPr>
                    <w:keepNext w:val="0"/>
                    <w:keepLines w:val="0"/>
                    <w:pageBreakBefore w:val="0"/>
                    <w:widowControl w:val="0"/>
                    <w:kinsoku/>
                    <w:wordWrap/>
                    <w:overflowPunct/>
                    <w:topLinePunct w:val="0"/>
                    <w:autoSpaceDE/>
                    <w:autoSpaceDN/>
                    <w:bidi w:val="0"/>
                    <w:spacing w:line="0" w:lineRule="atLeast"/>
                    <w:jc w:val="center"/>
                    <w:textAlignment w:val="auto"/>
                    <w:rPr>
                      <w:rFonts w:hint="eastAsia" w:cs="Times New Roman"/>
                      <w:color w:val="auto"/>
                      <w:sz w:val="21"/>
                      <w:szCs w:val="21"/>
                      <w:lang w:val="en-US" w:eastAsia="zh-CN"/>
                    </w:rPr>
                  </w:pPr>
                  <w:r>
                    <w:rPr>
                      <w:rFonts w:hint="eastAsia" w:cs="Times New Roman"/>
                      <w:color w:val="auto"/>
                      <w:sz w:val="21"/>
                      <w:szCs w:val="21"/>
                      <w:highlight w:val="none"/>
                      <w:lang w:val="en-US" w:eastAsia="zh-CN"/>
                    </w:rPr>
                    <w:t>拆除工程</w:t>
                  </w:r>
                </w:p>
              </w:tc>
              <w:tc>
                <w:tcPr>
                  <w:tcW w:w="5290" w:type="dxa"/>
                  <w:tcBorders>
                    <w:tl2br w:val="nil"/>
                    <w:tr2bl w:val="nil"/>
                  </w:tcBorders>
                  <w:noWrap w:val="0"/>
                  <w:vAlign w:val="center"/>
                </w:tcPr>
                <w:p w14:paraId="012704A8">
                  <w:pPr>
                    <w:keepNext w:val="0"/>
                    <w:keepLines w:val="0"/>
                    <w:pageBreakBefore w:val="0"/>
                    <w:widowControl w:val="0"/>
                    <w:kinsoku/>
                    <w:wordWrap/>
                    <w:overflowPunct/>
                    <w:topLinePunct w:val="0"/>
                    <w:autoSpaceDE/>
                    <w:autoSpaceDN/>
                    <w:bidi w:val="0"/>
                    <w:spacing w:line="0" w:lineRule="atLeast"/>
                    <w:jc w:val="left"/>
                    <w:textAlignment w:val="auto"/>
                    <w:rPr>
                      <w:rFonts w:hint="default" w:cs="Times New Roman"/>
                      <w:color w:val="auto"/>
                      <w:sz w:val="21"/>
                      <w:szCs w:val="21"/>
                      <w:lang w:val="en-US" w:eastAsia="zh-CN"/>
                    </w:rPr>
                  </w:pPr>
                  <w:r>
                    <w:rPr>
                      <w:rFonts w:hint="eastAsia" w:cs="Times New Roman"/>
                      <w:color w:val="auto"/>
                      <w:sz w:val="21"/>
                      <w:szCs w:val="21"/>
                      <w:lang w:val="en-US" w:eastAsia="zh-CN"/>
                    </w:rPr>
                    <w:t>拆除原有矿井供热的一台1.05MW燃煤热风炉，冬季供暖和洗浴CHH0.7A 节能锅炉各一台及配套设施</w:t>
                  </w:r>
                </w:p>
              </w:tc>
              <w:tc>
                <w:tcPr>
                  <w:tcW w:w="760" w:type="dxa"/>
                  <w:tcBorders>
                    <w:tl2br w:val="nil"/>
                    <w:tr2bl w:val="nil"/>
                  </w:tcBorders>
                  <w:noWrap w:val="0"/>
                  <w:vAlign w:val="center"/>
                </w:tcPr>
                <w:p w14:paraId="611AE4C6">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eastAsia" w:ascii="Times New Roman"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拆除</w:t>
                  </w:r>
                </w:p>
              </w:tc>
            </w:tr>
            <w:tr w14:paraId="43DFB53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restart"/>
                  <w:tcBorders>
                    <w:tl2br w:val="nil"/>
                    <w:tr2bl w:val="nil"/>
                  </w:tcBorders>
                  <w:noWrap w:val="0"/>
                  <w:vAlign w:val="center"/>
                </w:tcPr>
                <w:p w14:paraId="33ED7938">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储运</w:t>
                  </w:r>
                </w:p>
                <w:p w14:paraId="10C7D295">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eastAsia="zh-CN"/>
                    </w:rPr>
                  </w:pPr>
                  <w:r>
                    <w:rPr>
                      <w:rFonts w:hint="default" w:ascii="Times New Roman" w:hAnsi="Times New Roman" w:cs="Times New Roman"/>
                      <w:color w:val="auto"/>
                      <w:sz w:val="21"/>
                      <w:szCs w:val="21"/>
                      <w:highlight w:val="none"/>
                      <w:lang w:eastAsia="zh-CN"/>
                    </w:rPr>
                    <w:t>工程</w:t>
                  </w:r>
                </w:p>
              </w:tc>
              <w:tc>
                <w:tcPr>
                  <w:tcW w:w="1065" w:type="dxa"/>
                  <w:tcBorders>
                    <w:tl2br w:val="nil"/>
                    <w:tr2bl w:val="nil"/>
                  </w:tcBorders>
                  <w:noWrap w:val="0"/>
                  <w:vAlign w:val="center"/>
                </w:tcPr>
                <w:p w14:paraId="6513D573">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eastAsia="zh-CN"/>
                    </w:rPr>
                  </w:pPr>
                  <w:r>
                    <w:rPr>
                      <w:rFonts w:hint="eastAsia" w:cs="Times New Roman"/>
                      <w:color w:val="auto"/>
                      <w:sz w:val="21"/>
                      <w:szCs w:val="21"/>
                      <w:lang w:eastAsia="zh-CN"/>
                    </w:rPr>
                    <w:t>灰渣间</w:t>
                  </w:r>
                </w:p>
              </w:tc>
              <w:tc>
                <w:tcPr>
                  <w:tcW w:w="5290" w:type="dxa"/>
                  <w:tcBorders>
                    <w:tl2br w:val="nil"/>
                    <w:tr2bl w:val="nil"/>
                  </w:tcBorders>
                  <w:noWrap w:val="0"/>
                  <w:vAlign w:val="center"/>
                </w:tcPr>
                <w:p w14:paraId="79A7694E">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灰渣间储存能力为20t，转运周期为7d；热风炉</w:t>
                  </w:r>
                  <w:r>
                    <w:rPr>
                      <w:rFonts w:hint="default" w:ascii="Times New Roman" w:hAnsi="Times New Roman" w:cs="Times New Roman"/>
                      <w:color w:val="auto"/>
                      <w:sz w:val="21"/>
                      <w:szCs w:val="21"/>
                      <w:lang w:val="en-US" w:eastAsia="zh-CN"/>
                    </w:rPr>
                    <w:t>运行时产生的</w:t>
                  </w:r>
                  <w:r>
                    <w:rPr>
                      <w:rFonts w:hint="eastAsia" w:cs="Times New Roman"/>
                      <w:color w:val="auto"/>
                      <w:sz w:val="21"/>
                      <w:szCs w:val="21"/>
                      <w:lang w:val="en-US" w:eastAsia="zh-CN"/>
                    </w:rPr>
                    <w:t>热风炉</w:t>
                  </w:r>
                  <w:r>
                    <w:rPr>
                      <w:rFonts w:hint="eastAsia" w:cs="Times New Roman"/>
                      <w:color w:val="auto"/>
                      <w:sz w:val="21"/>
                      <w:szCs w:val="21"/>
                      <w:highlight w:val="none"/>
                      <w:lang w:val="en-US" w:eastAsia="zh-CN"/>
                    </w:rPr>
                    <w:t>灰渣集中收集，暂存于灰渣间，定期外售有机肥，</w:t>
                  </w:r>
                  <w:r>
                    <w:rPr>
                      <w:rFonts w:hint="eastAsia" w:cs="Times New Roman"/>
                      <w:color w:val="auto"/>
                      <w:sz w:val="21"/>
                      <w:szCs w:val="21"/>
                      <w:highlight w:val="none"/>
                      <w:lang w:eastAsia="zh-CN"/>
                    </w:rPr>
                    <w:t>灰渣间</w:t>
                  </w:r>
                  <w:r>
                    <w:rPr>
                      <w:rFonts w:hint="eastAsia"/>
                      <w:color w:val="auto"/>
                      <w:sz w:val="21"/>
                      <w:szCs w:val="21"/>
                      <w:highlight w:val="none"/>
                    </w:rPr>
                    <w:t>地面做</w:t>
                  </w:r>
                  <w:r>
                    <w:rPr>
                      <w:rFonts w:hint="eastAsia"/>
                      <w:color w:val="auto"/>
                      <w:sz w:val="21"/>
                      <w:szCs w:val="21"/>
                      <w:highlight w:val="none"/>
                      <w:lang w:eastAsia="zh-CN"/>
                    </w:rPr>
                    <w:t>硬化</w:t>
                  </w:r>
                  <w:r>
                    <w:rPr>
                      <w:rFonts w:hint="eastAsia"/>
                      <w:color w:val="auto"/>
                      <w:sz w:val="21"/>
                      <w:szCs w:val="21"/>
                      <w:highlight w:val="none"/>
                    </w:rPr>
                    <w:t>处理</w:t>
                  </w:r>
                </w:p>
              </w:tc>
              <w:tc>
                <w:tcPr>
                  <w:tcW w:w="760" w:type="dxa"/>
                  <w:tcBorders>
                    <w:tl2br w:val="nil"/>
                    <w:tr2bl w:val="nil"/>
                  </w:tcBorders>
                  <w:noWrap w:val="0"/>
                  <w:vAlign w:val="center"/>
                </w:tcPr>
                <w:p w14:paraId="0D77BB21">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新建</w:t>
                  </w:r>
                </w:p>
              </w:tc>
            </w:tr>
            <w:tr w14:paraId="14573946">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57215D70">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highlight w:val="none"/>
                      <w:lang w:eastAsia="zh-CN"/>
                    </w:rPr>
                  </w:pPr>
                </w:p>
              </w:tc>
              <w:tc>
                <w:tcPr>
                  <w:tcW w:w="1065" w:type="dxa"/>
                  <w:tcBorders>
                    <w:tl2br w:val="nil"/>
                    <w:tr2bl w:val="nil"/>
                  </w:tcBorders>
                  <w:noWrap w:val="0"/>
                  <w:vAlign w:val="center"/>
                </w:tcPr>
                <w:p w14:paraId="7629506D">
                  <w:pPr>
                    <w:keepNext w:val="0"/>
                    <w:keepLines w:val="0"/>
                    <w:pageBreakBefore w:val="0"/>
                    <w:widowControl w:val="0"/>
                    <w:kinsoku/>
                    <w:wordWrap/>
                    <w:overflowPunct/>
                    <w:topLinePunct w:val="0"/>
                    <w:autoSpaceDE/>
                    <w:autoSpaceDN/>
                    <w:bidi w:val="0"/>
                    <w:spacing w:line="0" w:lineRule="atLeast"/>
                    <w:jc w:val="center"/>
                    <w:textAlignment w:val="auto"/>
                    <w:rPr>
                      <w:rFonts w:hint="eastAsia" w:cs="Times New Roman"/>
                      <w:color w:val="auto"/>
                      <w:sz w:val="21"/>
                      <w:szCs w:val="21"/>
                      <w:highlight w:val="none"/>
                      <w:lang w:eastAsia="zh-CN"/>
                    </w:rPr>
                  </w:pPr>
                  <w:r>
                    <w:rPr>
                      <w:rFonts w:hint="eastAsia" w:cs="Times New Roman"/>
                      <w:color w:val="auto"/>
                      <w:sz w:val="21"/>
                      <w:szCs w:val="21"/>
                      <w:highlight w:val="none"/>
                      <w:lang w:eastAsia="zh-CN"/>
                    </w:rPr>
                    <w:t>生物质</w:t>
                  </w:r>
                </w:p>
                <w:p w14:paraId="3F746F3E">
                  <w:pPr>
                    <w:keepNext w:val="0"/>
                    <w:keepLines w:val="0"/>
                    <w:pageBreakBefore w:val="0"/>
                    <w:widowControl w:val="0"/>
                    <w:kinsoku/>
                    <w:wordWrap/>
                    <w:overflowPunct/>
                    <w:topLinePunct w:val="0"/>
                    <w:autoSpaceDE/>
                    <w:autoSpaceDN/>
                    <w:bidi w:val="0"/>
                    <w:spacing w:line="0" w:lineRule="atLeast"/>
                    <w:jc w:val="center"/>
                    <w:textAlignment w:val="auto"/>
                    <w:rPr>
                      <w:rFonts w:hint="eastAsia" w:cs="Times New Roman"/>
                      <w:color w:val="auto"/>
                      <w:sz w:val="21"/>
                      <w:szCs w:val="21"/>
                      <w:lang w:eastAsia="zh-CN"/>
                    </w:rPr>
                  </w:pPr>
                  <w:r>
                    <w:rPr>
                      <w:rFonts w:hint="eastAsia" w:cs="Times New Roman"/>
                      <w:color w:val="auto"/>
                      <w:sz w:val="21"/>
                      <w:szCs w:val="21"/>
                      <w:highlight w:val="none"/>
                      <w:lang w:eastAsia="zh-CN"/>
                    </w:rPr>
                    <w:t>堆场</w:t>
                  </w:r>
                </w:p>
              </w:tc>
              <w:tc>
                <w:tcPr>
                  <w:tcW w:w="5290" w:type="dxa"/>
                  <w:tcBorders>
                    <w:tl2br w:val="nil"/>
                    <w:tr2bl w:val="nil"/>
                  </w:tcBorders>
                  <w:noWrap w:val="0"/>
                  <w:vAlign w:val="center"/>
                </w:tcPr>
                <w:p w14:paraId="52BC9987">
                  <w:pPr>
                    <w:keepNext w:val="0"/>
                    <w:keepLines w:val="0"/>
                    <w:pageBreakBefore w:val="0"/>
                    <w:widowControl w:val="0"/>
                    <w:kinsoku/>
                    <w:wordWrap/>
                    <w:overflowPunct/>
                    <w:topLinePunct w:val="0"/>
                    <w:autoSpaceDE/>
                    <w:autoSpaceDN/>
                    <w:bidi w:val="0"/>
                    <w:spacing w:line="0" w:lineRule="atLeast"/>
                    <w:jc w:val="left"/>
                    <w:textAlignment w:val="auto"/>
                    <w:rPr>
                      <w:rFonts w:hint="default" w:eastAsia="宋体" w:cs="Times New Roman"/>
                      <w:color w:val="auto"/>
                      <w:sz w:val="21"/>
                      <w:szCs w:val="21"/>
                      <w:lang w:val="en-US" w:eastAsia="zh-CN"/>
                    </w:rPr>
                  </w:pPr>
                  <w:r>
                    <w:rPr>
                      <w:rFonts w:hint="eastAsia" w:cs="Times New Roman"/>
                      <w:color w:val="auto"/>
                      <w:sz w:val="21"/>
                      <w:szCs w:val="21"/>
                      <w:lang w:val="en-US" w:eastAsia="zh-CN"/>
                    </w:rPr>
                    <w:t>占地面积为2</w:t>
                  </w:r>
                  <w:r>
                    <w:rPr>
                      <w:rFonts w:hint="eastAsia" w:cs="Times New Roman"/>
                      <w:color w:val="auto"/>
                      <w:sz w:val="21"/>
                      <w:szCs w:val="21"/>
                      <w:highlight w:val="none"/>
                      <w:lang w:val="en-US" w:eastAsia="zh-CN"/>
                    </w:rPr>
                    <w:t>00m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lang w:val="en-US" w:eastAsia="zh-CN"/>
                    </w:rPr>
                    <w:t>，生物质堆场为全封闭结构，位于主井工业场地北侧，用于生物质储存，储存能力为50t</w:t>
                  </w:r>
                  <w:r>
                    <w:rPr>
                      <w:rFonts w:hint="eastAsia"/>
                      <w:color w:val="auto"/>
                      <w:lang w:eastAsia="zh-CN"/>
                    </w:rPr>
                    <w:t>，转运周期为</w:t>
                  </w:r>
                  <w:r>
                    <w:rPr>
                      <w:rFonts w:hint="eastAsia"/>
                      <w:color w:val="auto"/>
                      <w:lang w:val="en-US" w:eastAsia="zh-CN"/>
                    </w:rPr>
                    <w:t>10d</w:t>
                  </w:r>
                </w:p>
              </w:tc>
              <w:tc>
                <w:tcPr>
                  <w:tcW w:w="760" w:type="dxa"/>
                  <w:tcBorders>
                    <w:tl2br w:val="nil"/>
                    <w:tr2bl w:val="nil"/>
                  </w:tcBorders>
                  <w:noWrap w:val="0"/>
                  <w:vAlign w:val="center"/>
                </w:tcPr>
                <w:p w14:paraId="6A425814">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新建</w:t>
                  </w:r>
                </w:p>
              </w:tc>
            </w:tr>
            <w:tr w14:paraId="6523A465">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512DFBEB">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0F47E50B">
                  <w:pPr>
                    <w:keepNext w:val="0"/>
                    <w:keepLines w:val="0"/>
                    <w:pageBreakBefore w:val="0"/>
                    <w:widowControl w:val="0"/>
                    <w:kinsoku/>
                    <w:wordWrap/>
                    <w:overflowPunct/>
                    <w:topLinePunct w:val="0"/>
                    <w:autoSpaceDE/>
                    <w:autoSpaceDN/>
                    <w:bidi w:val="0"/>
                    <w:spacing w:line="0" w:lineRule="atLeas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危险废物暂存间</w:t>
                  </w:r>
                </w:p>
              </w:tc>
              <w:tc>
                <w:tcPr>
                  <w:tcW w:w="5290" w:type="dxa"/>
                  <w:tcBorders>
                    <w:tl2br w:val="nil"/>
                    <w:tr2bl w:val="nil"/>
                  </w:tcBorders>
                  <w:noWrap w:val="0"/>
                  <w:vAlign w:val="center"/>
                </w:tcPr>
                <w:p w14:paraId="0228E85A">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位于锅炉房东侧，建筑面积14</w:t>
                  </w:r>
                  <w:r>
                    <w:rPr>
                      <w:rFonts w:hint="eastAsia" w:cs="Times New Roman"/>
                      <w:color w:val="auto"/>
                      <w:sz w:val="21"/>
                      <w:szCs w:val="21"/>
                      <w:highlight w:val="none"/>
                      <w:lang w:val="en-US" w:eastAsia="zh-CN"/>
                    </w:rPr>
                    <w:t>m</w:t>
                  </w:r>
                  <w:r>
                    <w:rPr>
                      <w:rFonts w:hint="eastAsia" w:cs="Times New Roman"/>
                      <w:color w:val="auto"/>
                      <w:sz w:val="21"/>
                      <w:szCs w:val="21"/>
                      <w:highlight w:val="none"/>
                      <w:vertAlign w:val="superscript"/>
                      <w:lang w:val="en-US" w:eastAsia="zh-CN"/>
                    </w:rPr>
                    <w:t>2</w:t>
                  </w:r>
                  <w:r>
                    <w:rPr>
                      <w:rFonts w:hint="eastAsia" w:cs="Times New Roman"/>
                      <w:color w:val="auto"/>
                      <w:sz w:val="21"/>
                      <w:szCs w:val="21"/>
                      <w:highlight w:val="none"/>
                      <w:vertAlign w:val="baseline"/>
                      <w:lang w:val="en-US" w:eastAsia="zh-CN"/>
                    </w:rPr>
                    <w:t>。</w:t>
                  </w:r>
                </w:p>
              </w:tc>
              <w:tc>
                <w:tcPr>
                  <w:tcW w:w="760" w:type="dxa"/>
                  <w:tcBorders>
                    <w:tl2br w:val="nil"/>
                    <w:tr2bl w:val="nil"/>
                  </w:tcBorders>
                  <w:noWrap w:val="0"/>
                  <w:vAlign w:val="center"/>
                </w:tcPr>
                <w:p w14:paraId="60AAE87D">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新建</w:t>
                  </w:r>
                </w:p>
              </w:tc>
            </w:tr>
            <w:tr w14:paraId="0054AA6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restart"/>
                  <w:tcBorders>
                    <w:tl2br w:val="nil"/>
                    <w:tr2bl w:val="nil"/>
                  </w:tcBorders>
                  <w:noWrap w:val="0"/>
                  <w:vAlign w:val="center"/>
                </w:tcPr>
                <w:p w14:paraId="79151331">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公用</w:t>
                  </w:r>
                </w:p>
                <w:p w14:paraId="5E12D020">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w:t>
                  </w:r>
                </w:p>
              </w:tc>
              <w:tc>
                <w:tcPr>
                  <w:tcW w:w="1065" w:type="dxa"/>
                  <w:tcBorders>
                    <w:tl2br w:val="nil"/>
                    <w:tr2bl w:val="nil"/>
                  </w:tcBorders>
                  <w:noWrap w:val="0"/>
                  <w:vAlign w:val="center"/>
                </w:tcPr>
                <w:p w14:paraId="73110A44">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给水</w:t>
                  </w:r>
                </w:p>
              </w:tc>
              <w:tc>
                <w:tcPr>
                  <w:tcW w:w="5290" w:type="dxa"/>
                  <w:tcBorders>
                    <w:tl2br w:val="nil"/>
                    <w:tr2bl w:val="nil"/>
                  </w:tcBorders>
                  <w:noWrap w:val="0"/>
                  <w:vAlign w:val="center"/>
                </w:tcPr>
                <w:p w14:paraId="613EA9AF">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本项目用水依托厂区内原有井水，本项目无新增工作人员，无新增生活用水产生</w:t>
                  </w:r>
                </w:p>
              </w:tc>
              <w:tc>
                <w:tcPr>
                  <w:tcW w:w="760" w:type="dxa"/>
                  <w:tcBorders>
                    <w:tl2br w:val="nil"/>
                    <w:tr2bl w:val="nil"/>
                  </w:tcBorders>
                  <w:noWrap w:val="0"/>
                  <w:vAlign w:val="center"/>
                </w:tcPr>
                <w:p w14:paraId="633EF250">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依托</w:t>
                  </w:r>
                </w:p>
              </w:tc>
            </w:tr>
            <w:tr w14:paraId="691FB67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05023226">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58591A8D">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排水</w:t>
                  </w:r>
                </w:p>
              </w:tc>
              <w:tc>
                <w:tcPr>
                  <w:tcW w:w="5290" w:type="dxa"/>
                  <w:tcBorders>
                    <w:tl2br w:val="nil"/>
                    <w:tr2bl w:val="nil"/>
                  </w:tcBorders>
                  <w:noWrap w:val="0"/>
                  <w:vAlign w:val="center"/>
                </w:tcPr>
                <w:p w14:paraId="38F39CB3">
                  <w:pPr>
                    <w:keepNext w:val="0"/>
                    <w:keepLines w:val="0"/>
                    <w:widowControl/>
                    <w:suppressLineNumbers w:val="0"/>
                    <w:jc w:val="left"/>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项目无新增员工，无生产</w:t>
                  </w:r>
                  <w:r>
                    <w:rPr>
                      <w:rFonts w:hint="eastAsia" w:cs="Times New Roman"/>
                      <w:color w:val="auto"/>
                      <w:sz w:val="21"/>
                      <w:szCs w:val="21"/>
                      <w:lang w:val="en-US" w:eastAsia="zh-CN"/>
                    </w:rPr>
                    <w:t>废水产生</w:t>
                  </w:r>
                  <w:r>
                    <w:rPr>
                      <w:rFonts w:hint="default" w:ascii="Times New Roman" w:hAnsi="Times New Roman" w:cs="Times New Roman"/>
                      <w:color w:val="auto"/>
                      <w:sz w:val="21"/>
                      <w:szCs w:val="21"/>
                      <w:lang w:val="en-US" w:eastAsia="zh-CN"/>
                    </w:rPr>
                    <w:t>；</w:t>
                  </w:r>
                  <w:r>
                    <w:rPr>
                      <w:rFonts w:hint="eastAsia" w:cs="Times New Roman"/>
                      <w:color w:val="auto"/>
                      <w:sz w:val="21"/>
                      <w:szCs w:val="21"/>
                      <w:lang w:val="en-US" w:eastAsia="zh-CN"/>
                    </w:rPr>
                    <w:t>废水主要为原有员工生活污水，</w:t>
                  </w:r>
                  <w:r>
                    <w:rPr>
                      <w:rFonts w:hint="eastAsia" w:ascii="宋体" w:hAnsi="宋体" w:eastAsia="宋体" w:cs="宋体"/>
                      <w:color w:val="auto"/>
                      <w:kern w:val="0"/>
                      <w:sz w:val="21"/>
                      <w:szCs w:val="21"/>
                      <w:highlight w:val="none"/>
                      <w:lang w:val="en-US" w:eastAsia="zh-CN" w:bidi="ar"/>
                    </w:rPr>
                    <w:t>生活污水经一</w:t>
                  </w:r>
                  <w:r>
                    <w:rPr>
                      <w:rFonts w:hint="eastAsia" w:ascii="宋体" w:hAnsi="宋体" w:eastAsia="宋体" w:cs="宋体"/>
                      <w:color w:val="auto"/>
                      <w:kern w:val="0"/>
                      <w:sz w:val="21"/>
                      <w:szCs w:val="21"/>
                      <w:lang w:val="en-US" w:eastAsia="zh-CN" w:bidi="ar"/>
                    </w:rPr>
                    <w:t>体化设备处理后达标后排入地面静压水池供井下消尘用水，废水不外排。</w:t>
                  </w:r>
                </w:p>
              </w:tc>
              <w:tc>
                <w:tcPr>
                  <w:tcW w:w="760" w:type="dxa"/>
                  <w:tcBorders>
                    <w:tl2br w:val="nil"/>
                    <w:tr2bl w:val="nil"/>
                  </w:tcBorders>
                  <w:noWrap w:val="0"/>
                  <w:vAlign w:val="center"/>
                </w:tcPr>
                <w:p w14:paraId="6F44EDC8">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依托</w:t>
                  </w:r>
                  <w:r>
                    <w:rPr>
                      <w:rFonts w:hint="default" w:ascii="Times New Roman" w:hAnsi="Times New Roman" w:cs="Times New Roman"/>
                      <w:color w:val="auto"/>
                      <w:kern w:val="2"/>
                      <w:sz w:val="21"/>
                      <w:szCs w:val="21"/>
                      <w:lang w:val="en-US" w:eastAsia="zh-CN" w:bidi="ar-SA"/>
                    </w:rPr>
                    <w:t>现有</w:t>
                  </w:r>
                </w:p>
              </w:tc>
            </w:tr>
            <w:tr w14:paraId="4EC94B1C">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06FFD393">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4FB8C482">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供电</w:t>
                  </w:r>
                </w:p>
              </w:tc>
              <w:tc>
                <w:tcPr>
                  <w:tcW w:w="5290" w:type="dxa"/>
                  <w:tcBorders>
                    <w:tl2br w:val="nil"/>
                    <w:tr2bl w:val="nil"/>
                  </w:tcBorders>
                  <w:noWrap w:val="0"/>
                  <w:vAlign w:val="center"/>
                </w:tcPr>
                <w:p w14:paraId="1CEAC169">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eastAsia="宋体" w:cs="Times New Roman"/>
                      <w:color w:val="auto"/>
                      <w:sz w:val="21"/>
                      <w:szCs w:val="21"/>
                    </w:rPr>
                    <w:t>依托厂区现有供电系统</w:t>
                  </w:r>
                </w:p>
              </w:tc>
              <w:tc>
                <w:tcPr>
                  <w:tcW w:w="760" w:type="dxa"/>
                  <w:tcBorders>
                    <w:tl2br w:val="nil"/>
                    <w:tr2bl w:val="nil"/>
                  </w:tcBorders>
                  <w:noWrap w:val="0"/>
                  <w:vAlign w:val="center"/>
                </w:tcPr>
                <w:p w14:paraId="11591901">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依托</w:t>
                  </w:r>
                </w:p>
              </w:tc>
            </w:tr>
            <w:tr w14:paraId="24349B72">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79787184">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3A7C7084">
                  <w:pPr>
                    <w:keepNext w:val="0"/>
                    <w:keepLines w:val="0"/>
                    <w:pageBreakBefore w:val="0"/>
                    <w:widowControl w:val="0"/>
                    <w:kinsoku/>
                    <w:wordWrap/>
                    <w:overflowPunct/>
                    <w:topLinePunct w:val="0"/>
                    <w:autoSpaceDE/>
                    <w:autoSpaceDN/>
                    <w:bidi w:val="0"/>
                    <w:spacing w:line="0" w:lineRule="atLeast"/>
                    <w:jc w:val="center"/>
                    <w:textAlignment w:val="auto"/>
                    <w:rPr>
                      <w:rFonts w:hint="eastAsia" w:ascii="Times New Roman" w:hAnsi="Times New Roman" w:eastAsia="宋体" w:cs="Times New Roman"/>
                      <w:color w:val="auto"/>
                      <w:sz w:val="21"/>
                      <w:szCs w:val="21"/>
                      <w:lang w:eastAsia="zh-CN"/>
                    </w:rPr>
                  </w:pPr>
                  <w:r>
                    <w:rPr>
                      <w:rFonts w:hint="eastAsia" w:ascii="Times New Roman" w:hAnsi="Times New Roman" w:eastAsia="宋体" w:cs="Times New Roman"/>
                      <w:color w:val="auto"/>
                      <w:sz w:val="21"/>
                      <w:szCs w:val="21"/>
                      <w:lang w:eastAsia="zh-CN"/>
                    </w:rPr>
                    <w:t>供热</w:t>
                  </w:r>
                </w:p>
              </w:tc>
              <w:tc>
                <w:tcPr>
                  <w:tcW w:w="5290" w:type="dxa"/>
                  <w:tcBorders>
                    <w:tl2br w:val="nil"/>
                    <w:tr2bl w:val="nil"/>
                  </w:tcBorders>
                  <w:noWrap w:val="0"/>
                  <w:vAlign w:val="center"/>
                </w:tcPr>
                <w:p w14:paraId="63FB3936">
                  <w:pPr>
                    <w:keepNext w:val="0"/>
                    <w:keepLines w:val="0"/>
                    <w:pageBreakBefore w:val="0"/>
                    <w:widowControl w:val="0"/>
                    <w:kinsoku/>
                    <w:wordWrap/>
                    <w:overflowPunct/>
                    <w:topLinePunct w:val="0"/>
                    <w:autoSpaceDE/>
                    <w:autoSpaceDN/>
                    <w:bidi w:val="0"/>
                    <w:spacing w:line="0" w:lineRule="atLeast"/>
                    <w:jc w:val="lef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生产：矿井加热由1台5t/h生物质热风炉提供</w:t>
                  </w:r>
                </w:p>
                <w:p w14:paraId="4C25F097">
                  <w:pPr>
                    <w:keepNext w:val="0"/>
                    <w:keepLines w:val="0"/>
                    <w:pageBreakBefore w:val="0"/>
                    <w:widowControl w:val="0"/>
                    <w:kinsoku/>
                    <w:wordWrap/>
                    <w:overflowPunct/>
                    <w:topLinePunct w:val="0"/>
                    <w:autoSpaceDE/>
                    <w:autoSpaceDN/>
                    <w:bidi w:val="0"/>
                    <w:spacing w:line="0" w:lineRule="atLeast"/>
                    <w:jc w:val="left"/>
                    <w:textAlignment w:val="auto"/>
                    <w:rPr>
                      <w:rFonts w:hint="eastAsia" w:ascii="Times New Roman" w:hAnsi="Times New Roman" w:eastAsia="宋体" w:cs="Times New Roman"/>
                      <w:color w:val="auto"/>
                      <w:sz w:val="21"/>
                      <w:szCs w:val="21"/>
                      <w:lang w:val="en-US" w:eastAsia="zh-CN"/>
                    </w:rPr>
                  </w:pPr>
                  <w:r>
                    <w:rPr>
                      <w:rFonts w:hint="eastAsia" w:ascii="Times New Roman" w:hAnsi="Times New Roman" w:eastAsia="宋体" w:cs="Times New Roman"/>
                      <w:color w:val="auto"/>
                      <w:sz w:val="21"/>
                      <w:szCs w:val="21"/>
                      <w:lang w:val="en-US" w:eastAsia="zh-CN"/>
                    </w:rPr>
                    <w:t>生活：利用</w:t>
                  </w:r>
                  <w:r>
                    <w:rPr>
                      <w:rFonts w:hint="eastAsia" w:cs="Times New Roman"/>
                      <w:color w:val="auto"/>
                      <w:sz w:val="21"/>
                      <w:szCs w:val="21"/>
                      <w:lang w:val="en-US" w:eastAsia="zh-CN"/>
                    </w:rPr>
                    <w:t>电</w:t>
                  </w:r>
                  <w:r>
                    <w:rPr>
                      <w:rFonts w:hint="eastAsia" w:ascii="Times New Roman" w:hAnsi="Times New Roman" w:eastAsia="宋体" w:cs="Times New Roman"/>
                      <w:color w:val="auto"/>
                      <w:sz w:val="21"/>
                      <w:szCs w:val="21"/>
                      <w:lang w:val="en-US" w:eastAsia="zh-CN"/>
                    </w:rPr>
                    <w:t>锅炉供热</w:t>
                  </w:r>
                </w:p>
              </w:tc>
              <w:tc>
                <w:tcPr>
                  <w:tcW w:w="760" w:type="dxa"/>
                  <w:tcBorders>
                    <w:tl2br w:val="nil"/>
                    <w:tr2bl w:val="nil"/>
                  </w:tcBorders>
                  <w:noWrap w:val="0"/>
                  <w:vAlign w:val="center"/>
                </w:tcPr>
                <w:p w14:paraId="0529414D">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改建</w:t>
                  </w:r>
                </w:p>
              </w:tc>
            </w:tr>
            <w:tr w14:paraId="16EFE7C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restart"/>
                  <w:tcBorders>
                    <w:tl2br w:val="nil"/>
                    <w:tr2bl w:val="nil"/>
                  </w:tcBorders>
                  <w:noWrap w:val="0"/>
                  <w:vAlign w:val="center"/>
                </w:tcPr>
                <w:p w14:paraId="42D8C53C">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环保</w:t>
                  </w:r>
                </w:p>
                <w:p w14:paraId="46846491">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工程</w:t>
                  </w:r>
                </w:p>
              </w:tc>
              <w:tc>
                <w:tcPr>
                  <w:tcW w:w="1065" w:type="dxa"/>
                  <w:tcBorders>
                    <w:tl2br w:val="nil"/>
                    <w:tr2bl w:val="nil"/>
                  </w:tcBorders>
                  <w:noWrap w:val="0"/>
                  <w:vAlign w:val="center"/>
                </w:tcPr>
                <w:p w14:paraId="7FEFA026">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eastAsia="zh-CN"/>
                    </w:rPr>
                    <w:t>废水</w:t>
                  </w:r>
                </w:p>
              </w:tc>
              <w:tc>
                <w:tcPr>
                  <w:tcW w:w="5290" w:type="dxa"/>
                  <w:tcBorders>
                    <w:tl2br w:val="nil"/>
                    <w:tr2bl w:val="nil"/>
                  </w:tcBorders>
                  <w:noWrap w:val="0"/>
                  <w:vAlign w:val="center"/>
                </w:tcPr>
                <w:p w14:paraId="7CEB7C29">
                  <w:pPr>
                    <w:keepNext w:val="0"/>
                    <w:keepLines w:val="0"/>
                    <w:widowControl/>
                    <w:suppressLineNumbers w:val="0"/>
                    <w:jc w:val="left"/>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本项目无生产废水产生；无新增员工，</w:t>
                  </w:r>
                  <w:r>
                    <w:rPr>
                      <w:rFonts w:hint="eastAsia" w:cs="Times New Roman"/>
                      <w:color w:val="auto"/>
                      <w:sz w:val="21"/>
                      <w:szCs w:val="21"/>
                      <w:highlight w:val="none"/>
                      <w:lang w:val="en-US" w:eastAsia="zh-CN"/>
                    </w:rPr>
                    <w:t>原有员工产生的生活污水</w:t>
                  </w:r>
                  <w:r>
                    <w:rPr>
                      <w:rFonts w:hint="eastAsia" w:ascii="宋体" w:hAnsi="宋体" w:eastAsia="宋体" w:cs="宋体"/>
                      <w:color w:val="auto"/>
                      <w:kern w:val="0"/>
                      <w:sz w:val="21"/>
                      <w:szCs w:val="21"/>
                      <w:highlight w:val="none"/>
                      <w:lang w:val="en-US" w:eastAsia="zh-CN" w:bidi="ar"/>
                    </w:rPr>
                    <w:t>生活污水经一</w:t>
                  </w:r>
                  <w:r>
                    <w:rPr>
                      <w:rFonts w:hint="eastAsia" w:ascii="宋体" w:hAnsi="宋体" w:eastAsia="宋体" w:cs="宋体"/>
                      <w:color w:val="auto"/>
                      <w:kern w:val="0"/>
                      <w:sz w:val="21"/>
                      <w:szCs w:val="21"/>
                      <w:lang w:val="en-US" w:eastAsia="zh-CN" w:bidi="ar"/>
                    </w:rPr>
                    <w:t>体化设备处理后达标后排入地面静压水池供井下消尘用水，废水不外排。</w:t>
                  </w:r>
                </w:p>
              </w:tc>
              <w:tc>
                <w:tcPr>
                  <w:tcW w:w="760" w:type="dxa"/>
                  <w:tcBorders>
                    <w:tl2br w:val="nil"/>
                    <w:tr2bl w:val="nil"/>
                  </w:tcBorders>
                  <w:noWrap w:val="0"/>
                  <w:vAlign w:val="center"/>
                </w:tcPr>
                <w:p w14:paraId="2B7EE16A">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利旧</w:t>
                  </w:r>
                  <w:r>
                    <w:rPr>
                      <w:rFonts w:hint="default" w:ascii="Times New Roman" w:hAnsi="Times New Roman" w:cs="Times New Roman"/>
                      <w:color w:val="auto"/>
                      <w:kern w:val="2"/>
                      <w:sz w:val="21"/>
                      <w:szCs w:val="21"/>
                      <w:lang w:val="en-US" w:eastAsia="zh-CN" w:bidi="ar-SA"/>
                    </w:rPr>
                    <w:t>现有</w:t>
                  </w:r>
                </w:p>
              </w:tc>
            </w:tr>
            <w:tr w14:paraId="241B15C3">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3944A0AD">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7B78A194">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废气</w:t>
                  </w:r>
                </w:p>
              </w:tc>
              <w:tc>
                <w:tcPr>
                  <w:tcW w:w="5290" w:type="dxa"/>
                  <w:tcBorders>
                    <w:tl2br w:val="nil"/>
                    <w:tr2bl w:val="nil"/>
                  </w:tcBorders>
                  <w:noWrap w:val="0"/>
                  <w:vAlign w:val="center"/>
                </w:tcPr>
                <w:p w14:paraId="08EBD9FC">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项目一台5t/h生物质热风炉产生的</w:t>
                  </w:r>
                  <w:r>
                    <w:rPr>
                      <w:rFonts w:hint="default" w:ascii="Times New Roman" w:hAnsi="Times New Roman" w:cs="Times New Roman"/>
                      <w:color w:val="auto"/>
                      <w:sz w:val="21"/>
                      <w:szCs w:val="21"/>
                      <w:highlight w:val="none"/>
                      <w:lang w:val="en-US" w:eastAsia="zh-CN"/>
                    </w:rPr>
                    <w:t>烟气经配套的布袋除尘器处理后（处理效率99%），通过</w:t>
                  </w:r>
                  <w:r>
                    <w:rPr>
                      <w:rFonts w:hint="eastAsia" w:cs="Times New Roman"/>
                      <w:color w:val="auto"/>
                      <w:sz w:val="21"/>
                      <w:szCs w:val="21"/>
                      <w:highlight w:val="none"/>
                      <w:lang w:val="en-US" w:eastAsia="zh-CN"/>
                    </w:rPr>
                    <w:t>20</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val="en-US" w:eastAsia="zh-CN"/>
                    </w:rPr>
                    <w:t>烟囱</w:t>
                  </w:r>
                  <w:r>
                    <w:rPr>
                      <w:rFonts w:hint="eastAsia"/>
                      <w:color w:val="auto"/>
                      <w:highlight w:val="none"/>
                      <w:lang w:val="en-US" w:eastAsia="zh-CN"/>
                    </w:rPr>
                    <w:t>DA001</w:t>
                  </w:r>
                  <w:r>
                    <w:rPr>
                      <w:rFonts w:hint="default" w:ascii="Times New Roman" w:hAnsi="Times New Roman" w:cs="Times New Roman"/>
                      <w:color w:val="auto"/>
                      <w:sz w:val="21"/>
                      <w:szCs w:val="21"/>
                      <w:highlight w:val="none"/>
                      <w:lang w:val="en-US" w:eastAsia="zh-CN"/>
                    </w:rPr>
                    <w:t>高空排放</w:t>
                  </w:r>
                  <w:r>
                    <w:rPr>
                      <w:rFonts w:hint="eastAsia" w:cs="Times New Roman"/>
                      <w:color w:val="auto"/>
                      <w:sz w:val="21"/>
                      <w:szCs w:val="21"/>
                      <w:highlight w:val="none"/>
                      <w:lang w:val="en-US" w:eastAsia="zh-CN"/>
                    </w:rPr>
                    <w:t>；</w:t>
                  </w:r>
                </w:p>
              </w:tc>
              <w:tc>
                <w:tcPr>
                  <w:tcW w:w="760" w:type="dxa"/>
                  <w:tcBorders>
                    <w:tl2br w:val="nil"/>
                    <w:tr2bl w:val="nil"/>
                  </w:tcBorders>
                  <w:noWrap w:val="0"/>
                  <w:vAlign w:val="center"/>
                </w:tcPr>
                <w:p w14:paraId="005D0811">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新建</w:t>
                  </w:r>
                </w:p>
              </w:tc>
            </w:tr>
            <w:tr w14:paraId="1E8D73E9">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33A3732B">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615FA6BE">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噪声</w:t>
                  </w:r>
                </w:p>
              </w:tc>
              <w:tc>
                <w:tcPr>
                  <w:tcW w:w="5290" w:type="dxa"/>
                  <w:tcBorders>
                    <w:tl2br w:val="nil"/>
                    <w:tr2bl w:val="nil"/>
                  </w:tcBorders>
                  <w:noWrap w:val="0"/>
                  <w:vAlign w:val="center"/>
                </w:tcPr>
                <w:p w14:paraId="36DD9D14">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选用低噪声设备，设减振基础</w:t>
                  </w:r>
                </w:p>
              </w:tc>
              <w:tc>
                <w:tcPr>
                  <w:tcW w:w="760" w:type="dxa"/>
                  <w:tcBorders>
                    <w:tl2br w:val="nil"/>
                    <w:tr2bl w:val="nil"/>
                  </w:tcBorders>
                  <w:noWrap w:val="0"/>
                  <w:vAlign w:val="center"/>
                </w:tcPr>
                <w:p w14:paraId="2ACBC7F6">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新建</w:t>
                  </w:r>
                </w:p>
              </w:tc>
            </w:tr>
            <w:tr w14:paraId="668DA0CB">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7CDC6703">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4BBF919F">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rPr>
                    <w:t>固废</w:t>
                  </w:r>
                </w:p>
              </w:tc>
              <w:tc>
                <w:tcPr>
                  <w:tcW w:w="5290" w:type="dxa"/>
                  <w:tcBorders>
                    <w:tl2br w:val="nil"/>
                    <w:tr2bl w:val="nil"/>
                  </w:tcBorders>
                  <w:noWrap w:val="0"/>
                  <w:vAlign w:val="center"/>
                </w:tcPr>
                <w:p w14:paraId="45E310B5">
                  <w:pPr>
                    <w:keepNext w:val="0"/>
                    <w:keepLines w:val="0"/>
                    <w:pageBreakBefore w:val="0"/>
                    <w:widowControl w:val="0"/>
                    <w:kinsoku/>
                    <w:wordWrap/>
                    <w:overflowPunct/>
                    <w:topLinePunct w:val="0"/>
                    <w:autoSpaceDE/>
                    <w:autoSpaceDN/>
                    <w:bidi w:val="0"/>
                    <w:spacing w:line="0" w:lineRule="atLeast"/>
                    <w:jc w:val="left"/>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项目无新增员工，无员工生活垃圾产生；</w:t>
                  </w:r>
                  <w:r>
                    <w:rPr>
                      <w:rFonts w:hint="eastAsia" w:cs="Times New Roman"/>
                      <w:color w:val="auto"/>
                      <w:sz w:val="21"/>
                      <w:szCs w:val="21"/>
                      <w:highlight w:val="none"/>
                      <w:lang w:val="en-US" w:eastAsia="zh-CN"/>
                    </w:rPr>
                    <w:t>热风炉灰渣集中收集，暂存于灰渣间，定期外售</w:t>
                  </w:r>
                  <w:r>
                    <w:rPr>
                      <w:rFonts w:hint="eastAsia"/>
                      <w:color w:val="auto"/>
                      <w:highlight w:val="none"/>
                      <w:lang w:val="en-US" w:eastAsia="zh-CN"/>
                    </w:rPr>
                    <w:t>作</w:t>
                  </w:r>
                  <w:r>
                    <w:rPr>
                      <w:rFonts w:hint="eastAsia" w:cs="Times New Roman"/>
                      <w:color w:val="auto"/>
                      <w:sz w:val="21"/>
                      <w:szCs w:val="21"/>
                      <w:highlight w:val="none"/>
                      <w:lang w:val="en-US" w:eastAsia="zh-CN"/>
                    </w:rPr>
                    <w:t>肥料，</w:t>
                  </w:r>
                  <w:r>
                    <w:rPr>
                      <w:rFonts w:hint="eastAsia" w:cs="Times New Roman"/>
                      <w:color w:val="auto"/>
                      <w:sz w:val="21"/>
                      <w:szCs w:val="21"/>
                      <w:highlight w:val="none"/>
                      <w:lang w:eastAsia="zh-CN"/>
                    </w:rPr>
                    <w:t>灰渣间</w:t>
                  </w:r>
                  <w:r>
                    <w:rPr>
                      <w:rFonts w:hint="eastAsia"/>
                      <w:color w:val="auto"/>
                      <w:sz w:val="21"/>
                      <w:szCs w:val="21"/>
                      <w:highlight w:val="none"/>
                    </w:rPr>
                    <w:t>地面做</w:t>
                  </w:r>
                  <w:r>
                    <w:rPr>
                      <w:rFonts w:hint="eastAsia"/>
                      <w:color w:val="auto"/>
                      <w:sz w:val="21"/>
                      <w:szCs w:val="21"/>
                      <w:highlight w:val="none"/>
                      <w:lang w:eastAsia="zh-CN"/>
                    </w:rPr>
                    <w:t>硬化</w:t>
                  </w:r>
                  <w:r>
                    <w:rPr>
                      <w:rFonts w:hint="eastAsia"/>
                      <w:color w:val="auto"/>
                      <w:sz w:val="21"/>
                      <w:szCs w:val="21"/>
                      <w:highlight w:val="none"/>
                    </w:rPr>
                    <w:t>处理</w:t>
                  </w:r>
                  <w:r>
                    <w:rPr>
                      <w:rFonts w:hint="eastAsia"/>
                      <w:color w:val="auto"/>
                      <w:sz w:val="21"/>
                      <w:szCs w:val="21"/>
                      <w:highlight w:val="none"/>
                      <w:lang w:eastAsia="zh-CN"/>
                    </w:rPr>
                    <w:t>；</w:t>
                  </w:r>
                  <w:r>
                    <w:rPr>
                      <w:rFonts w:hint="eastAsia" w:cs="Times New Roman"/>
                      <w:color w:val="auto"/>
                      <w:sz w:val="21"/>
                      <w:szCs w:val="21"/>
                      <w:highlight w:val="none"/>
                      <w:lang w:val="en-US" w:eastAsia="zh-CN"/>
                    </w:rPr>
                    <w:t>除尘器收集的粉尘集中收集后暂存于灰渣间外售</w:t>
                  </w:r>
                  <w:r>
                    <w:rPr>
                      <w:rFonts w:hint="eastAsia"/>
                      <w:color w:val="auto"/>
                      <w:highlight w:val="none"/>
                      <w:lang w:val="en-US" w:eastAsia="zh-CN"/>
                    </w:rPr>
                    <w:t>作</w:t>
                  </w:r>
                  <w:r>
                    <w:rPr>
                      <w:rFonts w:hint="eastAsia" w:cs="Times New Roman"/>
                      <w:color w:val="auto"/>
                      <w:sz w:val="21"/>
                      <w:szCs w:val="21"/>
                      <w:highlight w:val="none"/>
                      <w:lang w:val="en-US" w:eastAsia="zh-CN"/>
                    </w:rPr>
                    <w:t>肥料；维修产生的废机油、含油废抹布暂存于危险废物暂存间内，委托有资质单位处置。</w:t>
                  </w:r>
                </w:p>
              </w:tc>
              <w:tc>
                <w:tcPr>
                  <w:tcW w:w="760" w:type="dxa"/>
                  <w:tcBorders>
                    <w:tl2br w:val="nil"/>
                    <w:tr2bl w:val="nil"/>
                  </w:tcBorders>
                  <w:noWrap w:val="0"/>
                  <w:vAlign w:val="center"/>
                </w:tcPr>
                <w:p w14:paraId="58F49DB7">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新建</w:t>
                  </w:r>
                </w:p>
              </w:tc>
            </w:tr>
            <w:tr w14:paraId="779DD694">
              <w:tblPrEx>
                <w:tblBorders>
                  <w:top w:val="single" w:color="auto" w:sz="12" w:space="0"/>
                  <w:left w:val="none" w:color="auto" w:sz="0" w:space="0"/>
                  <w:bottom w:val="single" w:color="auto" w:sz="12"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482" w:hRule="atLeast"/>
                <w:jc w:val="center"/>
              </w:trPr>
              <w:tc>
                <w:tcPr>
                  <w:tcW w:w="863" w:type="dxa"/>
                  <w:vMerge w:val="continue"/>
                  <w:tcBorders>
                    <w:tl2br w:val="nil"/>
                    <w:tr2bl w:val="nil"/>
                  </w:tcBorders>
                  <w:noWrap w:val="0"/>
                  <w:vAlign w:val="center"/>
                </w:tcPr>
                <w:p w14:paraId="371B950D">
                  <w:pPr>
                    <w:keepNext w:val="0"/>
                    <w:keepLines w:val="0"/>
                    <w:pageBreakBefore w:val="0"/>
                    <w:widowControl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065" w:type="dxa"/>
                  <w:tcBorders>
                    <w:tl2br w:val="nil"/>
                    <w:tr2bl w:val="nil"/>
                  </w:tcBorders>
                  <w:noWrap w:val="0"/>
                  <w:vAlign w:val="center"/>
                </w:tcPr>
                <w:p w14:paraId="222A9AA8">
                  <w:pPr>
                    <w:keepNext w:val="0"/>
                    <w:keepLines w:val="0"/>
                    <w:pageBreakBefore w:val="0"/>
                    <w:widowControl w:val="0"/>
                    <w:kinsoku/>
                    <w:wordWrap/>
                    <w:overflowPunct/>
                    <w:topLinePunct w:val="0"/>
                    <w:autoSpaceDE/>
                    <w:autoSpaceDN/>
                    <w:bidi w:val="0"/>
                    <w:spacing w:line="0" w:lineRule="atLeast"/>
                    <w:jc w:val="center"/>
                    <w:textAlignment w:val="auto"/>
                    <w:rPr>
                      <w:rFonts w:hint="eastAsia" w:ascii="Times New Roman" w:hAnsi="Times New Roman" w:eastAsia="宋体" w:cs="Times New Roman"/>
                      <w:color w:val="auto"/>
                      <w:sz w:val="21"/>
                      <w:szCs w:val="21"/>
                      <w:lang w:eastAsia="zh-CN"/>
                    </w:rPr>
                  </w:pPr>
                  <w:r>
                    <w:rPr>
                      <w:rFonts w:hint="eastAsia" w:cs="Times New Roman"/>
                      <w:color w:val="auto"/>
                      <w:sz w:val="21"/>
                      <w:szCs w:val="21"/>
                      <w:lang w:eastAsia="zh-CN"/>
                    </w:rPr>
                    <w:t>防渗</w:t>
                  </w:r>
                </w:p>
              </w:tc>
              <w:tc>
                <w:tcPr>
                  <w:tcW w:w="5290" w:type="dxa"/>
                  <w:tcBorders>
                    <w:tl2br w:val="nil"/>
                    <w:tr2bl w:val="nil"/>
                  </w:tcBorders>
                  <w:noWrap w:val="0"/>
                  <w:vAlign w:val="center"/>
                </w:tcPr>
                <w:p w14:paraId="2148AB72">
                  <w:pPr>
                    <w:keepNext w:val="0"/>
                    <w:keepLines w:val="0"/>
                    <w:pageBreakBefore w:val="0"/>
                    <w:widowControl w:val="0"/>
                    <w:kinsoku/>
                    <w:wordWrap/>
                    <w:overflowPunct/>
                    <w:topLinePunct w:val="0"/>
                    <w:autoSpaceDE/>
                    <w:autoSpaceDN/>
                    <w:bidi w:val="0"/>
                    <w:spacing w:line="0" w:lineRule="atLeast"/>
                    <w:jc w:val="left"/>
                    <w:textAlignment w:val="auto"/>
                    <w:rPr>
                      <w:rFonts w:hint="eastAsia" w:ascii="Times New Roman" w:hAnsi="Times New Roman" w:eastAsia="宋体" w:cs="Times New Roman"/>
                      <w:color w:val="auto"/>
                      <w:sz w:val="21"/>
                      <w:szCs w:val="21"/>
                      <w:lang w:val="en-US" w:eastAsia="zh-CN"/>
                    </w:rPr>
                  </w:pPr>
                  <w:r>
                    <w:rPr>
                      <w:rFonts w:hint="eastAsia" w:cs="Times New Roman"/>
                      <w:b w:val="0"/>
                      <w:bCs w:val="0"/>
                      <w:color w:val="auto"/>
                      <w:sz w:val="21"/>
                      <w:szCs w:val="21"/>
                      <w:highlight w:val="none"/>
                      <w:lang w:eastAsia="zh-CN"/>
                    </w:rPr>
                    <w:t>简单防渗区：</w:t>
                  </w:r>
                  <w:r>
                    <w:rPr>
                      <w:rFonts w:hint="eastAsia" w:ascii="Times New Roman" w:hAnsi="Times New Roman" w:eastAsia="宋体" w:cs="Times New Roman"/>
                      <w:b w:val="0"/>
                      <w:bCs w:val="0"/>
                      <w:color w:val="auto"/>
                      <w:sz w:val="21"/>
                      <w:szCs w:val="21"/>
                      <w:highlight w:val="none"/>
                      <w:lang w:eastAsia="zh-CN"/>
                    </w:rPr>
                    <w:t>锅炉房、灰渣间、生物质堆场</w:t>
                  </w:r>
                  <w:r>
                    <w:rPr>
                      <w:rFonts w:hint="eastAsia" w:cs="Times New Roman"/>
                      <w:b w:val="0"/>
                      <w:bCs w:val="0"/>
                      <w:color w:val="auto"/>
                      <w:sz w:val="21"/>
                      <w:szCs w:val="21"/>
                      <w:highlight w:val="none"/>
                      <w:lang w:eastAsia="zh-CN"/>
                    </w:rPr>
                    <w:t>为简单防渗区，采取水泥</w:t>
                  </w:r>
                  <w:r>
                    <w:rPr>
                      <w:rFonts w:hint="eastAsia" w:ascii="Times New Roman" w:hAnsi="Times New Roman" w:eastAsia="宋体" w:cs="Times New Roman"/>
                      <w:b w:val="0"/>
                      <w:bCs w:val="0"/>
                      <w:color w:val="auto"/>
                      <w:sz w:val="21"/>
                      <w:szCs w:val="21"/>
                      <w:highlight w:val="none"/>
                      <w:lang w:eastAsia="zh-CN"/>
                    </w:rPr>
                    <w:t>地面硬化；</w:t>
                  </w:r>
                  <w:r>
                    <w:rPr>
                      <w:rFonts w:hint="default" w:ascii="Times New Roman" w:hAnsi="Times New Roman" w:eastAsia="宋体" w:cs="Times New Roman"/>
                      <w:b w:val="0"/>
                      <w:bCs w:val="0"/>
                      <w:color w:val="auto"/>
                      <w:sz w:val="21"/>
                      <w:szCs w:val="21"/>
                      <w:highlight w:val="none"/>
                    </w:rPr>
                    <w:t>重点防渗</w:t>
                  </w:r>
                  <w:r>
                    <w:rPr>
                      <w:rFonts w:hint="eastAsia" w:cs="Times New Roman"/>
                      <w:b w:val="0"/>
                      <w:bCs w:val="0"/>
                      <w:color w:val="auto"/>
                      <w:sz w:val="21"/>
                      <w:szCs w:val="21"/>
                      <w:highlight w:val="none"/>
                      <w:lang w:eastAsia="zh-CN"/>
                    </w:rPr>
                    <w:t>区</w:t>
                  </w:r>
                  <w:r>
                    <w:rPr>
                      <w:rFonts w:hint="default" w:ascii="Times New Roman" w:hAnsi="Times New Roman" w:eastAsia="宋体" w:cs="Times New Roman"/>
                      <w:b w:val="0"/>
                      <w:bCs w:val="0"/>
                      <w:color w:val="auto"/>
                      <w:sz w:val="21"/>
                      <w:szCs w:val="21"/>
                      <w:highlight w:val="none"/>
                    </w:rPr>
                    <w:t>：</w:t>
                  </w:r>
                  <w:r>
                    <w:rPr>
                      <w:rFonts w:hint="eastAsia" w:ascii="Times New Roman" w:hAnsi="Times New Roman" w:eastAsia="宋体" w:cs="Times New Roman"/>
                      <w:b w:val="0"/>
                      <w:bCs w:val="0"/>
                      <w:color w:val="auto"/>
                      <w:sz w:val="21"/>
                      <w:szCs w:val="21"/>
                      <w:highlight w:val="none"/>
                      <w:lang w:eastAsia="zh-CN"/>
                    </w:rPr>
                    <w:t>危险废物暂存间</w:t>
                  </w:r>
                  <w:r>
                    <w:rPr>
                      <w:rFonts w:hint="eastAsia" w:cs="Times New Roman"/>
                      <w:b w:val="0"/>
                      <w:bCs w:val="0"/>
                      <w:color w:val="auto"/>
                      <w:sz w:val="21"/>
                      <w:szCs w:val="21"/>
                      <w:highlight w:val="none"/>
                      <w:lang w:eastAsia="zh-CN"/>
                    </w:rPr>
                    <w:t>为重点防渗区，贮存设施地面与裙脚应采取表面防渗措施</w:t>
                  </w: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eastAsia="zh-CN"/>
                    </w:rPr>
                    <w:t>采取</w:t>
                  </w:r>
                  <w:r>
                    <w:rPr>
                      <w:rFonts w:hint="default" w:ascii="Times New Roman" w:hAnsi="Times New Roman" w:eastAsia="宋体" w:cs="Times New Roman"/>
                      <w:b w:val="0"/>
                      <w:bCs w:val="0"/>
                      <w:color w:val="auto"/>
                      <w:sz w:val="21"/>
                      <w:szCs w:val="21"/>
                      <w:highlight w:val="none"/>
                    </w:rPr>
                    <w:t>至少2 mm 厚高密度聚乙烯膜等人工防渗材料（渗透系数不大于10</w:t>
                  </w:r>
                  <w:r>
                    <w:rPr>
                      <w:rFonts w:hint="default" w:ascii="Times New Roman" w:hAnsi="Times New Roman" w:eastAsia="宋体" w:cs="Times New Roman"/>
                      <w:b w:val="0"/>
                      <w:bCs w:val="0"/>
                      <w:color w:val="auto"/>
                      <w:sz w:val="21"/>
                      <w:szCs w:val="21"/>
                      <w:highlight w:val="none"/>
                      <w:vertAlign w:val="superscript"/>
                    </w:rPr>
                    <w:t xml:space="preserve"> -10</w:t>
                  </w:r>
                  <w:r>
                    <w:rPr>
                      <w:rFonts w:hint="default" w:ascii="Times New Roman" w:hAnsi="Times New Roman" w:eastAsia="宋体" w:cs="Times New Roman"/>
                      <w:b w:val="0"/>
                      <w:bCs w:val="0"/>
                      <w:color w:val="auto"/>
                      <w:sz w:val="21"/>
                      <w:szCs w:val="21"/>
                      <w:highlight w:val="none"/>
                    </w:rPr>
                    <w:t xml:space="preserve"> cm/s）</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贮存的危险废物直接接触地面的，还应进行基础防渗，</w:t>
                  </w:r>
                  <w:r>
                    <w:rPr>
                      <w:rFonts w:hint="eastAsia" w:cs="Times New Roman"/>
                      <w:b w:val="0"/>
                      <w:bCs w:val="0"/>
                      <w:color w:val="auto"/>
                      <w:sz w:val="21"/>
                      <w:szCs w:val="21"/>
                      <w:highlight w:val="none"/>
                      <w:lang w:eastAsia="zh-CN"/>
                    </w:rPr>
                    <w:t>采取</w:t>
                  </w:r>
                  <w:r>
                    <w:rPr>
                      <w:rFonts w:hint="default" w:ascii="Times New Roman" w:hAnsi="Times New Roman" w:eastAsia="宋体" w:cs="Times New Roman"/>
                      <w:b w:val="0"/>
                      <w:bCs w:val="0"/>
                      <w:color w:val="auto"/>
                      <w:sz w:val="21"/>
                      <w:szCs w:val="21"/>
                      <w:highlight w:val="none"/>
                    </w:rPr>
                    <w:t>至少2 mm 厚高密度聚乙烯膜等人工防渗材料（渗透系数不大于10</w:t>
                  </w:r>
                  <w:r>
                    <w:rPr>
                      <w:rFonts w:hint="default" w:ascii="Times New Roman" w:hAnsi="Times New Roman" w:eastAsia="宋体" w:cs="Times New Roman"/>
                      <w:b w:val="0"/>
                      <w:bCs w:val="0"/>
                      <w:color w:val="auto"/>
                      <w:sz w:val="21"/>
                      <w:szCs w:val="21"/>
                      <w:highlight w:val="none"/>
                      <w:vertAlign w:val="superscript"/>
                    </w:rPr>
                    <w:t xml:space="preserve"> -10</w:t>
                  </w:r>
                  <w:r>
                    <w:rPr>
                      <w:rFonts w:hint="default" w:ascii="Times New Roman" w:hAnsi="Times New Roman" w:eastAsia="宋体" w:cs="Times New Roman"/>
                      <w:b w:val="0"/>
                      <w:bCs w:val="0"/>
                      <w:color w:val="auto"/>
                      <w:sz w:val="21"/>
                      <w:szCs w:val="21"/>
                      <w:highlight w:val="none"/>
                    </w:rPr>
                    <w:t xml:space="preserve"> cm/s）。</w:t>
                  </w:r>
                </w:p>
              </w:tc>
              <w:tc>
                <w:tcPr>
                  <w:tcW w:w="760" w:type="dxa"/>
                  <w:tcBorders>
                    <w:tl2br w:val="nil"/>
                    <w:tr2bl w:val="nil"/>
                  </w:tcBorders>
                  <w:noWrap w:val="0"/>
                  <w:vAlign w:val="center"/>
                </w:tcPr>
                <w:p w14:paraId="02CB7EDE">
                  <w:pPr>
                    <w:pStyle w:val="57"/>
                    <w:keepNext w:val="0"/>
                    <w:keepLines w:val="0"/>
                    <w:pageBreakBefore w:val="0"/>
                    <w:widowControl w:val="0"/>
                    <w:kinsoku/>
                    <w:wordWrap/>
                    <w:overflowPunct/>
                    <w:topLinePunct w:val="0"/>
                    <w:autoSpaceDE/>
                    <w:autoSpaceDN/>
                    <w:bidi w:val="0"/>
                    <w:spacing w:line="0" w:lineRule="atLeast"/>
                    <w:ind w:left="0" w:leftChars="0" w:firstLine="0" w:firstLineChars="0"/>
                    <w:jc w:val="center"/>
                    <w:textAlignment w:val="auto"/>
                    <w:rPr>
                      <w:rFonts w:hint="eastAsia" w:ascii="Times New Roman" w:cs="Times New Roman"/>
                      <w:color w:val="auto"/>
                      <w:kern w:val="2"/>
                      <w:sz w:val="21"/>
                      <w:szCs w:val="21"/>
                      <w:lang w:val="en-US" w:eastAsia="zh-CN" w:bidi="ar-SA"/>
                    </w:rPr>
                  </w:pPr>
                  <w:r>
                    <w:rPr>
                      <w:rFonts w:hint="eastAsia" w:ascii="Times New Roman" w:cs="Times New Roman"/>
                      <w:color w:val="auto"/>
                      <w:kern w:val="2"/>
                      <w:sz w:val="21"/>
                      <w:szCs w:val="21"/>
                      <w:lang w:val="en-US" w:eastAsia="zh-CN" w:bidi="ar-SA"/>
                    </w:rPr>
                    <w:t>新建</w:t>
                  </w:r>
                </w:p>
              </w:tc>
            </w:tr>
          </w:tbl>
          <w:p w14:paraId="724915D8">
            <w:pPr>
              <w:pStyle w:val="6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cs="Times New Roman"/>
                <w:b/>
                <w:color w:val="auto"/>
                <w:sz w:val="24"/>
                <w:szCs w:val="24"/>
                <w:lang w:val="en-US" w:eastAsia="zh-CN"/>
              </w:rPr>
              <w:t>3、</w:t>
            </w:r>
            <w:r>
              <w:rPr>
                <w:rFonts w:hint="default" w:ascii="Times New Roman" w:hAnsi="Times New Roman" w:eastAsia="宋体" w:cs="Times New Roman"/>
                <w:b/>
                <w:color w:val="auto"/>
                <w:sz w:val="24"/>
                <w:szCs w:val="24"/>
                <w:lang w:val="en-US" w:eastAsia="zh-CN"/>
              </w:rPr>
              <w:t>主要设备</w:t>
            </w:r>
          </w:p>
          <w:p w14:paraId="614CC04F">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项目主要设备见下表。</w:t>
            </w:r>
          </w:p>
          <w:p w14:paraId="248FF4E9">
            <w:pPr>
              <w:pStyle w:val="62"/>
              <w:tabs>
                <w:tab w:val="left" w:pos="3590"/>
                <w:tab w:val="center" w:pos="4605"/>
              </w:tabs>
              <w:adjustRightInd w:val="0"/>
              <w:snapToGrid w:val="0"/>
              <w:spacing w:after="60" w:line="240" w:lineRule="auto"/>
              <w:ind w:firstLine="0"/>
              <w:jc w:val="center"/>
              <w:rPr>
                <w:rFonts w:hint="default" w:ascii="Times New Roman" w:hAnsi="Times New Roman" w:cs="Times New Roman"/>
                <w:b/>
                <w:color w:val="auto"/>
                <w:sz w:val="24"/>
                <w:szCs w:val="24"/>
              </w:rPr>
            </w:pPr>
            <w:r>
              <w:rPr>
                <w:rFonts w:hint="default" w:ascii="Times New Roman" w:hAnsi="Times New Roman" w:eastAsia="宋体" w:cs="Times New Roman"/>
                <w:b/>
                <w:color w:val="auto"/>
                <w:sz w:val="24"/>
                <w:szCs w:val="24"/>
              </w:rPr>
              <w:t>表</w:t>
            </w:r>
            <w:r>
              <w:rPr>
                <w:rFonts w:hint="default" w:ascii="Times New Roman" w:hAnsi="Times New Roman" w:eastAsia="宋体" w:cs="Times New Roman"/>
                <w:b/>
                <w:color w:val="auto"/>
                <w:sz w:val="24"/>
                <w:szCs w:val="24"/>
                <w:lang w:val="en-US" w:eastAsia="zh-CN"/>
              </w:rPr>
              <w:t>2-2</w:t>
            </w:r>
            <w:r>
              <w:rPr>
                <w:rFonts w:hint="default" w:ascii="Times New Roman" w:hAnsi="Times New Roman" w:eastAsia="宋体" w:cs="Times New Roman"/>
                <w:b/>
                <w:color w:val="auto"/>
                <w:sz w:val="24"/>
                <w:szCs w:val="24"/>
              </w:rPr>
              <w:t xml:space="preserve"> 主要设备一览表</w:t>
            </w:r>
          </w:p>
          <w:tbl>
            <w:tblPr>
              <w:tblStyle w:val="30"/>
              <w:tblW w:w="7937"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39"/>
              <w:gridCol w:w="1832"/>
              <w:gridCol w:w="2562"/>
              <w:gridCol w:w="1402"/>
              <w:gridCol w:w="1402"/>
            </w:tblGrid>
            <w:tr w14:paraId="7A91E5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39" w:type="dxa"/>
                  <w:tcBorders>
                    <w:top w:val="single" w:color="auto" w:sz="12" w:space="0"/>
                  </w:tcBorders>
                  <w:noWrap w:val="0"/>
                  <w:vAlign w:val="center"/>
                </w:tcPr>
                <w:p w14:paraId="314D7FCD">
                  <w:pPr>
                    <w:widowControl/>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序号</w:t>
                  </w:r>
                </w:p>
              </w:tc>
              <w:tc>
                <w:tcPr>
                  <w:tcW w:w="1832" w:type="dxa"/>
                  <w:tcBorders>
                    <w:top w:val="single" w:color="auto" w:sz="12" w:space="0"/>
                  </w:tcBorders>
                  <w:noWrap w:val="0"/>
                  <w:vAlign w:val="center"/>
                </w:tcPr>
                <w:p w14:paraId="395E14B0">
                  <w:pPr>
                    <w:widowControl/>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设备名称</w:t>
                  </w:r>
                </w:p>
              </w:tc>
              <w:tc>
                <w:tcPr>
                  <w:tcW w:w="2562" w:type="dxa"/>
                  <w:tcBorders>
                    <w:top w:val="single" w:color="auto" w:sz="12" w:space="0"/>
                  </w:tcBorders>
                  <w:noWrap w:val="0"/>
                  <w:vAlign w:val="center"/>
                </w:tcPr>
                <w:p w14:paraId="0BC89B69">
                  <w:pPr>
                    <w:widowControl/>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设备规格型号</w:t>
                  </w:r>
                </w:p>
              </w:tc>
              <w:tc>
                <w:tcPr>
                  <w:tcW w:w="1402" w:type="dxa"/>
                  <w:tcBorders>
                    <w:top w:val="single" w:color="auto" w:sz="12" w:space="0"/>
                  </w:tcBorders>
                  <w:noWrap w:val="0"/>
                  <w:vAlign w:val="center"/>
                </w:tcPr>
                <w:p w14:paraId="199FF5BF">
                  <w:pPr>
                    <w:widowControl/>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cs="Times New Roman"/>
                      <w:b/>
                      <w:bCs/>
                      <w:color w:val="auto"/>
                      <w:sz w:val="21"/>
                      <w:szCs w:val="21"/>
                      <w:lang w:eastAsia="zh-CN"/>
                    </w:rPr>
                    <w:t>单位</w:t>
                  </w:r>
                </w:p>
              </w:tc>
              <w:tc>
                <w:tcPr>
                  <w:tcW w:w="1402" w:type="dxa"/>
                  <w:tcBorders>
                    <w:top w:val="single" w:color="auto" w:sz="12" w:space="0"/>
                  </w:tcBorders>
                  <w:noWrap w:val="0"/>
                  <w:vAlign w:val="center"/>
                </w:tcPr>
                <w:p w14:paraId="50016AB1">
                  <w:pPr>
                    <w:widowControl/>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数量</w:t>
                  </w:r>
                </w:p>
              </w:tc>
            </w:tr>
            <w:tr w14:paraId="4BF0F8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39" w:type="dxa"/>
                  <w:noWrap w:val="0"/>
                  <w:vAlign w:val="center"/>
                </w:tcPr>
                <w:p w14:paraId="6FC32F27">
                  <w:pPr>
                    <w:widowControl/>
                    <w:spacing w:line="240" w:lineRule="auto"/>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c>
                <w:tcPr>
                  <w:tcW w:w="1832" w:type="dxa"/>
                  <w:noWrap w:val="0"/>
                  <w:vAlign w:val="center"/>
                </w:tcPr>
                <w:p w14:paraId="41AF423E">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生物质</w:t>
                  </w:r>
                  <w:r>
                    <w:rPr>
                      <w:rFonts w:hint="eastAsia" w:cs="Times New Roman"/>
                      <w:color w:val="auto"/>
                      <w:sz w:val="21"/>
                      <w:szCs w:val="21"/>
                      <w:lang w:val="en-US" w:eastAsia="zh-CN"/>
                    </w:rPr>
                    <w:t>热风炉</w:t>
                  </w:r>
                </w:p>
              </w:tc>
              <w:tc>
                <w:tcPr>
                  <w:tcW w:w="2562" w:type="dxa"/>
                  <w:noWrap w:val="0"/>
                  <w:vAlign w:val="center"/>
                </w:tcPr>
                <w:p w14:paraId="4B6A9AA8">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5t/h</w:t>
                  </w:r>
                </w:p>
              </w:tc>
              <w:tc>
                <w:tcPr>
                  <w:tcW w:w="1402" w:type="dxa"/>
                  <w:noWrap w:val="0"/>
                  <w:vAlign w:val="center"/>
                </w:tcPr>
                <w:p w14:paraId="249D52C1">
                  <w:pPr>
                    <w:ind w:left="0" w:leftChars="0" w:firstLine="0" w:firstLineChars="0"/>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套</w:t>
                  </w:r>
                </w:p>
              </w:tc>
              <w:tc>
                <w:tcPr>
                  <w:tcW w:w="1402" w:type="dxa"/>
                  <w:noWrap w:val="0"/>
                  <w:vAlign w:val="center"/>
                </w:tcPr>
                <w:p w14:paraId="2D986E0A">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1</w:t>
                  </w:r>
                </w:p>
              </w:tc>
            </w:tr>
            <w:tr w14:paraId="563AFB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39" w:type="dxa"/>
                  <w:noWrap w:val="0"/>
                  <w:vAlign w:val="center"/>
                </w:tcPr>
                <w:p w14:paraId="742AFDAF">
                  <w:pPr>
                    <w:widowControl/>
                    <w:spacing w:line="240" w:lineRule="auto"/>
                    <w:jc w:val="center"/>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2</w:t>
                  </w:r>
                </w:p>
              </w:tc>
              <w:tc>
                <w:tcPr>
                  <w:tcW w:w="1832" w:type="dxa"/>
                  <w:noWrap w:val="0"/>
                  <w:vAlign w:val="center"/>
                </w:tcPr>
                <w:p w14:paraId="48843ACC">
                  <w:pPr>
                    <w:spacing w:line="0" w:lineRule="atLeast"/>
                    <w:jc w:val="center"/>
                    <w:rPr>
                      <w:rFonts w:hint="default" w:ascii="Times New Roman" w:hAnsi="Times New Roman" w:cs="Times New Roman"/>
                      <w:color w:val="auto"/>
                      <w:kern w:val="2"/>
                      <w:sz w:val="21"/>
                      <w:szCs w:val="21"/>
                      <w:lang w:val="en-US" w:eastAsia="zh-CN" w:bidi="ar-SA"/>
                    </w:rPr>
                  </w:pPr>
                  <w:r>
                    <w:rPr>
                      <w:rFonts w:hint="eastAsia" w:ascii="Times New Roman" w:hAnsi="Times New Roman" w:eastAsia="宋体" w:cs="Times New Roman"/>
                      <w:color w:val="auto"/>
                      <w:sz w:val="21"/>
                      <w:szCs w:val="21"/>
                      <w:lang w:val="en-US" w:eastAsia="zh-CN"/>
                    </w:rPr>
                    <w:t>布袋除尘器</w:t>
                  </w:r>
                </w:p>
              </w:tc>
              <w:tc>
                <w:tcPr>
                  <w:tcW w:w="2562" w:type="dxa"/>
                  <w:noWrap w:val="0"/>
                  <w:vAlign w:val="center"/>
                </w:tcPr>
                <w:p w14:paraId="548AAA5A">
                  <w:pPr>
                    <w:spacing w:line="0" w:lineRule="atLeast"/>
                    <w:jc w:val="center"/>
                    <w:rPr>
                      <w:rFonts w:hint="default" w:ascii="Times New Roman" w:hAnsi="Times New Roman" w:cs="Times New Roman"/>
                      <w:color w:val="auto"/>
                      <w:kern w:val="2"/>
                      <w:sz w:val="21"/>
                      <w:szCs w:val="21"/>
                      <w:lang w:val="en-US" w:eastAsia="zh-CN" w:bidi="ar-SA"/>
                    </w:rPr>
                  </w:pPr>
                  <w:r>
                    <w:rPr>
                      <w:rFonts w:hint="default" w:ascii="Times New Roman" w:hAnsi="Times New Roman" w:cs="Times New Roman"/>
                      <w:color w:val="auto"/>
                      <w:kern w:val="2"/>
                      <w:sz w:val="21"/>
                      <w:szCs w:val="21"/>
                      <w:lang w:val="en-US" w:eastAsia="zh-CN" w:bidi="ar-SA"/>
                    </w:rPr>
                    <w:t>LMD/Z-5</w:t>
                  </w:r>
                </w:p>
              </w:tc>
              <w:tc>
                <w:tcPr>
                  <w:tcW w:w="1402" w:type="dxa"/>
                  <w:noWrap w:val="0"/>
                  <w:vAlign w:val="center"/>
                </w:tcPr>
                <w:p w14:paraId="4706E6CC">
                  <w:pPr>
                    <w:ind w:left="0" w:leftChars="0" w:firstLine="0" w:firstLineChars="0"/>
                    <w:jc w:val="center"/>
                    <w:rPr>
                      <w:rFonts w:hint="eastAsia" w:asciiTheme="minorEastAsia" w:hAnsiTheme="minorEastAsia" w:eastAsiaTheme="minorEastAsia" w:cstheme="minorEastAsia"/>
                      <w:color w:val="auto"/>
                      <w:kern w:val="2"/>
                      <w:sz w:val="21"/>
                      <w:szCs w:val="21"/>
                      <w:lang w:val="en-US" w:eastAsia="zh-CN" w:bidi="ar-SA"/>
                    </w:rPr>
                  </w:pPr>
                  <w:r>
                    <w:rPr>
                      <w:rFonts w:hint="eastAsia" w:asciiTheme="minorEastAsia" w:hAnsiTheme="minorEastAsia" w:eastAsiaTheme="minorEastAsia" w:cstheme="minorEastAsia"/>
                      <w:b w:val="0"/>
                      <w:bCs w:val="0"/>
                      <w:color w:val="auto"/>
                      <w:sz w:val="21"/>
                      <w:szCs w:val="21"/>
                      <w:lang w:val="en-US" w:eastAsia="zh-CN"/>
                    </w:rPr>
                    <w:t>台</w:t>
                  </w:r>
                </w:p>
              </w:tc>
              <w:tc>
                <w:tcPr>
                  <w:tcW w:w="1402" w:type="dxa"/>
                  <w:noWrap w:val="0"/>
                  <w:vAlign w:val="center"/>
                </w:tcPr>
                <w:p w14:paraId="248FB32F">
                  <w:pPr>
                    <w:spacing w:line="0" w:lineRule="atLeast"/>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sz w:val="21"/>
                      <w:szCs w:val="21"/>
                      <w:lang w:val="en-US" w:eastAsia="zh-CN"/>
                    </w:rPr>
                    <w:t>1</w:t>
                  </w:r>
                </w:p>
              </w:tc>
            </w:tr>
            <w:tr w14:paraId="5B2FA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739" w:type="dxa"/>
                  <w:noWrap w:val="0"/>
                  <w:vAlign w:val="center"/>
                </w:tcPr>
                <w:p w14:paraId="1A631047">
                  <w:pPr>
                    <w:widowControl/>
                    <w:spacing w:line="240" w:lineRule="auto"/>
                    <w:jc w:val="center"/>
                    <w:rPr>
                      <w:rFonts w:hint="default" w:cs="Times New Roman"/>
                      <w:color w:val="auto"/>
                      <w:sz w:val="21"/>
                      <w:szCs w:val="21"/>
                      <w:lang w:val="en-US" w:eastAsia="zh-CN"/>
                    </w:rPr>
                  </w:pPr>
                  <w:r>
                    <w:rPr>
                      <w:rFonts w:hint="eastAsia" w:cs="Times New Roman"/>
                      <w:color w:val="auto"/>
                      <w:sz w:val="21"/>
                      <w:szCs w:val="21"/>
                      <w:lang w:val="en-US" w:eastAsia="zh-CN"/>
                    </w:rPr>
                    <w:t>3</w:t>
                  </w:r>
                </w:p>
              </w:tc>
              <w:tc>
                <w:tcPr>
                  <w:tcW w:w="1832" w:type="dxa"/>
                  <w:noWrap w:val="0"/>
                  <w:vAlign w:val="center"/>
                </w:tcPr>
                <w:p w14:paraId="5C2FB0BD">
                  <w:pPr>
                    <w:spacing w:line="0" w:lineRule="atLeast"/>
                    <w:jc w:val="center"/>
                    <w:rPr>
                      <w:rFonts w:hint="eastAsia"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换热器</w:t>
                  </w:r>
                </w:p>
              </w:tc>
              <w:tc>
                <w:tcPr>
                  <w:tcW w:w="2562" w:type="dxa"/>
                  <w:noWrap w:val="0"/>
                  <w:vAlign w:val="center"/>
                </w:tcPr>
                <w:p w14:paraId="21420F2C">
                  <w:pPr>
                    <w:spacing w:line="0" w:lineRule="atLeast"/>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RFLJY3.5S</w:t>
                  </w:r>
                </w:p>
              </w:tc>
              <w:tc>
                <w:tcPr>
                  <w:tcW w:w="1402" w:type="dxa"/>
                  <w:noWrap w:val="0"/>
                  <w:vAlign w:val="center"/>
                </w:tcPr>
                <w:p w14:paraId="5CB3858D">
                  <w:pPr>
                    <w:ind w:left="0" w:leftChars="0" w:firstLine="0" w:firstLineChars="0"/>
                    <w:jc w:val="center"/>
                    <w:rPr>
                      <w:rFonts w:hint="eastAsia" w:asciiTheme="minorEastAsia" w:hAnsiTheme="minorEastAsia" w:eastAsiaTheme="minorEastAsia" w:cstheme="minorEastAsia"/>
                      <w:color w:val="auto"/>
                      <w:sz w:val="21"/>
                      <w:szCs w:val="21"/>
                      <w:lang w:val="en-US" w:eastAsia="zh-CN"/>
                    </w:rPr>
                  </w:pPr>
                  <w:r>
                    <w:rPr>
                      <w:rFonts w:hint="eastAsia" w:asciiTheme="minorEastAsia" w:hAnsiTheme="minorEastAsia" w:eastAsiaTheme="minorEastAsia" w:cstheme="minorEastAsia"/>
                      <w:b w:val="0"/>
                      <w:bCs w:val="0"/>
                      <w:color w:val="auto"/>
                      <w:sz w:val="21"/>
                      <w:szCs w:val="21"/>
                      <w:lang w:val="en-US" w:eastAsia="zh-CN"/>
                    </w:rPr>
                    <w:t>台</w:t>
                  </w:r>
                </w:p>
              </w:tc>
              <w:tc>
                <w:tcPr>
                  <w:tcW w:w="1402" w:type="dxa"/>
                  <w:noWrap w:val="0"/>
                  <w:vAlign w:val="center"/>
                </w:tcPr>
                <w:p w14:paraId="7A194F15">
                  <w:pPr>
                    <w:spacing w:line="0" w:lineRule="atLeast"/>
                    <w:jc w:val="center"/>
                    <w:rPr>
                      <w:rFonts w:hint="default" w:ascii="Times New Roman" w:hAnsi="Times New Roman" w:eastAsia="宋体" w:cs="Times New Roman"/>
                      <w:color w:val="auto"/>
                      <w:sz w:val="21"/>
                      <w:szCs w:val="21"/>
                      <w:lang w:val="en-US" w:eastAsia="zh-CN"/>
                    </w:rPr>
                  </w:pPr>
                  <w:r>
                    <w:rPr>
                      <w:rFonts w:hint="eastAsia" w:cs="Times New Roman"/>
                      <w:color w:val="auto"/>
                      <w:sz w:val="21"/>
                      <w:szCs w:val="21"/>
                      <w:lang w:val="en-US" w:eastAsia="zh-CN"/>
                    </w:rPr>
                    <w:t>1</w:t>
                  </w:r>
                </w:p>
              </w:tc>
            </w:tr>
          </w:tbl>
          <w:p w14:paraId="0F9E3D13">
            <w:pPr>
              <w:pStyle w:val="6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kern w:val="2"/>
                <w:sz w:val="24"/>
                <w:szCs w:val="24"/>
                <w:lang w:val="en-US" w:eastAsia="zh-CN" w:bidi="ar-SA"/>
              </w:rPr>
            </w:pPr>
            <w:r>
              <w:rPr>
                <w:rFonts w:hint="default" w:ascii="Times New Roman" w:hAnsi="Times New Roman" w:cs="Times New Roman"/>
                <w:b/>
                <w:color w:val="auto"/>
                <w:kern w:val="2"/>
                <w:sz w:val="24"/>
                <w:szCs w:val="24"/>
                <w:lang w:val="en-US" w:eastAsia="zh-CN" w:bidi="ar-SA"/>
              </w:rPr>
              <w:t>4、</w:t>
            </w:r>
            <w:r>
              <w:rPr>
                <w:rFonts w:hint="default" w:ascii="Times New Roman" w:hAnsi="Times New Roman" w:eastAsia="宋体" w:cs="Times New Roman"/>
                <w:b/>
                <w:color w:val="auto"/>
                <w:kern w:val="2"/>
                <w:sz w:val="24"/>
                <w:szCs w:val="24"/>
                <w:lang w:val="en-US" w:eastAsia="zh-CN" w:bidi="ar-SA"/>
              </w:rPr>
              <w:t>主要原辅材料</w:t>
            </w:r>
          </w:p>
          <w:p w14:paraId="7CA7FE13">
            <w:pPr>
              <w:spacing w:line="360" w:lineRule="auto"/>
              <w:ind w:firstLine="480" w:firstLineChars="200"/>
              <w:rPr>
                <w:rFonts w:hint="default" w:ascii="Times New Roman" w:hAnsi="Times New Roman" w:eastAsia="宋体" w:cs="Times New Roman"/>
                <w:b/>
                <w:color w:val="auto"/>
                <w:sz w:val="24"/>
                <w:szCs w:val="24"/>
              </w:rPr>
            </w:pPr>
            <w:r>
              <w:rPr>
                <w:rFonts w:hint="default" w:ascii="Times New Roman" w:hAnsi="Times New Roman" w:eastAsia="宋体" w:cs="Times New Roman"/>
                <w:color w:val="auto"/>
                <w:kern w:val="0"/>
                <w:sz w:val="24"/>
                <w:szCs w:val="24"/>
                <w:lang w:val="en-US" w:eastAsia="zh-CN"/>
              </w:rPr>
              <w:t>本项目主要原辅材料消耗情况见下表。</w:t>
            </w:r>
          </w:p>
          <w:p w14:paraId="6D71021E">
            <w:pPr>
              <w:pStyle w:val="62"/>
              <w:tabs>
                <w:tab w:val="left" w:pos="3590"/>
                <w:tab w:val="center" w:pos="4605"/>
              </w:tabs>
              <w:adjustRightInd w:val="0"/>
              <w:snapToGrid w:val="0"/>
              <w:spacing w:after="60" w:line="240" w:lineRule="auto"/>
              <w:ind w:firstLine="0"/>
              <w:jc w:val="center"/>
              <w:rPr>
                <w:rFonts w:hint="default" w:ascii="Times New Roman" w:hAnsi="Times New Roman" w:eastAsia="宋体" w:cs="Times New Roman"/>
                <w:b/>
                <w:color w:val="auto"/>
                <w:sz w:val="24"/>
                <w:szCs w:val="24"/>
              </w:rPr>
            </w:pPr>
            <w:r>
              <w:rPr>
                <w:rFonts w:hint="default" w:ascii="Times New Roman" w:hAnsi="Times New Roman" w:eastAsia="宋体" w:cs="Times New Roman"/>
                <w:b/>
                <w:color w:val="auto"/>
                <w:sz w:val="24"/>
                <w:szCs w:val="24"/>
              </w:rPr>
              <w:t>表</w:t>
            </w:r>
            <w:r>
              <w:rPr>
                <w:rFonts w:hint="default" w:ascii="Times New Roman" w:hAnsi="Times New Roman" w:eastAsia="宋体" w:cs="Times New Roman"/>
                <w:b/>
                <w:color w:val="auto"/>
                <w:sz w:val="24"/>
                <w:szCs w:val="24"/>
                <w:lang w:val="en-US" w:eastAsia="zh-CN"/>
              </w:rPr>
              <w:t>2-3</w:t>
            </w:r>
            <w:r>
              <w:rPr>
                <w:rFonts w:hint="default" w:ascii="Times New Roman" w:hAnsi="Times New Roman" w:eastAsia="宋体" w:cs="Times New Roman"/>
                <w:b/>
                <w:color w:val="auto"/>
                <w:sz w:val="24"/>
                <w:szCs w:val="24"/>
              </w:rPr>
              <w:t xml:space="preserve"> 项目主要能源消耗一览表</w:t>
            </w:r>
          </w:p>
          <w:tbl>
            <w:tblPr>
              <w:tblStyle w:val="30"/>
              <w:tblW w:w="781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0"/>
              <w:gridCol w:w="1710"/>
              <w:gridCol w:w="1197"/>
              <w:gridCol w:w="1944"/>
              <w:gridCol w:w="2227"/>
            </w:tblGrid>
            <w:tr w14:paraId="1342FC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40" w:type="dxa"/>
                  <w:noWrap w:val="0"/>
                  <w:vAlign w:val="center"/>
                </w:tcPr>
                <w:p w14:paraId="3C424AD6">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序号</w:t>
                  </w:r>
                </w:p>
              </w:tc>
              <w:tc>
                <w:tcPr>
                  <w:tcW w:w="1710" w:type="dxa"/>
                  <w:noWrap w:val="0"/>
                  <w:vAlign w:val="center"/>
                </w:tcPr>
                <w:p w14:paraId="0545B318">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原材料名称</w:t>
                  </w:r>
                </w:p>
              </w:tc>
              <w:tc>
                <w:tcPr>
                  <w:tcW w:w="1197" w:type="dxa"/>
                  <w:noWrap w:val="0"/>
                  <w:vAlign w:val="center"/>
                </w:tcPr>
                <w:p w14:paraId="397843F7">
                  <w:pPr>
                    <w:keepNext w:val="0"/>
                    <w:keepLines w:val="0"/>
                    <w:pageBreakBefore w:val="0"/>
                    <w:kinsoku/>
                    <w:wordWrap/>
                    <w:overflowPunct/>
                    <w:topLinePunct w:val="0"/>
                    <w:autoSpaceDE/>
                    <w:autoSpaceDN/>
                    <w:bidi w:val="0"/>
                    <w:snapToGrid w:val="0"/>
                    <w:spacing w:line="0" w:lineRule="atLeast"/>
                    <w:ind w:left="420" w:hanging="420"/>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年</w:t>
                  </w:r>
                  <w:r>
                    <w:rPr>
                      <w:rFonts w:hint="default" w:ascii="Times New Roman" w:hAnsi="Times New Roman" w:cs="Times New Roman"/>
                      <w:color w:val="auto"/>
                      <w:sz w:val="21"/>
                      <w:szCs w:val="21"/>
                      <w:lang w:eastAsia="zh-CN"/>
                    </w:rPr>
                    <w:t>用</w:t>
                  </w:r>
                  <w:r>
                    <w:rPr>
                      <w:rFonts w:hint="default" w:ascii="Times New Roman" w:hAnsi="Times New Roman" w:cs="Times New Roman"/>
                      <w:color w:val="auto"/>
                      <w:sz w:val="21"/>
                      <w:szCs w:val="21"/>
                    </w:rPr>
                    <w:t>量</w:t>
                  </w:r>
                </w:p>
              </w:tc>
              <w:tc>
                <w:tcPr>
                  <w:tcW w:w="1944" w:type="dxa"/>
                  <w:noWrap w:val="0"/>
                  <w:vAlign w:val="center"/>
                </w:tcPr>
                <w:p w14:paraId="3C798F24">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用途</w:t>
                  </w:r>
                </w:p>
              </w:tc>
              <w:tc>
                <w:tcPr>
                  <w:tcW w:w="2227" w:type="dxa"/>
                  <w:noWrap w:val="0"/>
                  <w:vAlign w:val="center"/>
                </w:tcPr>
                <w:p w14:paraId="4E831356">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备注</w:t>
                  </w:r>
                </w:p>
              </w:tc>
            </w:tr>
            <w:tr w14:paraId="4D8AD7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40" w:type="dxa"/>
                  <w:noWrap w:val="0"/>
                  <w:vAlign w:val="center"/>
                </w:tcPr>
                <w:p w14:paraId="0E336C80">
                  <w:pPr>
                    <w:keepNext w:val="0"/>
                    <w:keepLines w:val="0"/>
                    <w:pageBreakBefore w:val="0"/>
                    <w:widowControl/>
                    <w:numPr>
                      <w:ilvl w:val="0"/>
                      <w:numId w:val="5"/>
                    </w:numPr>
                    <w:tabs>
                      <w:tab w:val="left" w:pos="210"/>
                    </w:tabs>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710" w:type="dxa"/>
                  <w:noWrap w:val="0"/>
                  <w:vAlign w:val="center"/>
                </w:tcPr>
                <w:p w14:paraId="1A7ECF1F">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生物质</w:t>
                  </w:r>
                </w:p>
              </w:tc>
              <w:tc>
                <w:tcPr>
                  <w:tcW w:w="1197" w:type="dxa"/>
                  <w:noWrap w:val="0"/>
                  <w:vAlign w:val="center"/>
                </w:tcPr>
                <w:p w14:paraId="01AC5010">
                  <w:pPr>
                    <w:pStyle w:val="57"/>
                    <w:keepNext w:val="0"/>
                    <w:keepLines w:val="0"/>
                    <w:pageBreakBefore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0"/>
                      <w:sz w:val="21"/>
                      <w:szCs w:val="21"/>
                      <w:highlight w:val="none"/>
                      <w:lang w:val="en-US" w:eastAsia="zh-CN" w:bidi="ar-SA"/>
                    </w:rPr>
                  </w:pPr>
                  <w:r>
                    <w:rPr>
                      <w:rFonts w:hint="eastAsia" w:ascii="Times New Roman" w:cs="Times New Roman"/>
                      <w:color w:val="auto"/>
                      <w:kern w:val="0"/>
                      <w:sz w:val="21"/>
                      <w:szCs w:val="21"/>
                      <w:highlight w:val="none"/>
                      <w:lang w:val="en-US" w:eastAsia="zh-CN" w:bidi="ar-SA"/>
                    </w:rPr>
                    <w:t>2014</w:t>
                  </w:r>
                  <w:r>
                    <w:rPr>
                      <w:rFonts w:hint="default" w:ascii="Times New Roman" w:hAnsi="Times New Roman" w:eastAsia="宋体" w:cs="Times New Roman"/>
                      <w:color w:val="auto"/>
                      <w:kern w:val="0"/>
                      <w:sz w:val="21"/>
                      <w:szCs w:val="21"/>
                      <w:highlight w:val="none"/>
                      <w:lang w:val="en-US" w:eastAsia="zh-CN" w:bidi="ar-SA"/>
                    </w:rPr>
                    <w:t>t/a</w:t>
                  </w:r>
                </w:p>
              </w:tc>
              <w:tc>
                <w:tcPr>
                  <w:tcW w:w="1944" w:type="dxa"/>
                  <w:noWrap w:val="0"/>
                  <w:vAlign w:val="center"/>
                </w:tcPr>
                <w:p w14:paraId="7742CCD8">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供热</w:t>
                  </w:r>
                </w:p>
              </w:tc>
              <w:tc>
                <w:tcPr>
                  <w:tcW w:w="2227" w:type="dxa"/>
                  <w:noWrap w:val="0"/>
                  <w:vAlign w:val="center"/>
                </w:tcPr>
                <w:p w14:paraId="76DD02ED">
                  <w:pPr>
                    <w:keepNext w:val="0"/>
                    <w:keepLines w:val="0"/>
                    <w:pageBreakBefore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r>
                    <w:rPr>
                      <w:rFonts w:hint="default" w:ascii="Times New Roman" w:hAnsi="Times New Roman" w:cs="Times New Roman"/>
                      <w:color w:val="auto"/>
                      <w:sz w:val="21"/>
                      <w:szCs w:val="21"/>
                      <w:lang w:val="en-US" w:eastAsia="zh-CN"/>
                    </w:rPr>
                    <w:t>外购</w:t>
                  </w:r>
                </w:p>
              </w:tc>
            </w:tr>
            <w:tr w14:paraId="1F26F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40" w:type="dxa"/>
                  <w:noWrap w:val="0"/>
                  <w:vAlign w:val="center"/>
                </w:tcPr>
                <w:p w14:paraId="4D21F365">
                  <w:pPr>
                    <w:keepNext w:val="0"/>
                    <w:keepLines w:val="0"/>
                    <w:pageBreakBefore w:val="0"/>
                    <w:widowControl/>
                    <w:numPr>
                      <w:ilvl w:val="0"/>
                      <w:numId w:val="5"/>
                    </w:numPr>
                    <w:tabs>
                      <w:tab w:val="left" w:pos="210"/>
                    </w:tabs>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710" w:type="dxa"/>
                  <w:noWrap w:val="0"/>
                  <w:vAlign w:val="center"/>
                </w:tcPr>
                <w:p w14:paraId="4A94B5F1">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电</w:t>
                  </w:r>
                </w:p>
              </w:tc>
              <w:tc>
                <w:tcPr>
                  <w:tcW w:w="1197" w:type="dxa"/>
                  <w:noWrap w:val="0"/>
                  <w:vAlign w:val="center"/>
                </w:tcPr>
                <w:p w14:paraId="4710A061">
                  <w:pPr>
                    <w:pStyle w:val="57"/>
                    <w:keepNext w:val="0"/>
                    <w:keepLines w:val="0"/>
                    <w:pageBreakBefore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24000</w:t>
                  </w:r>
                  <w:r>
                    <w:rPr>
                      <w:rFonts w:hint="default" w:ascii="Times New Roman" w:hAnsi="Times New Roman" w:cs="Times New Roman"/>
                      <w:color w:val="auto"/>
                      <w:kern w:val="2"/>
                      <w:sz w:val="21"/>
                      <w:szCs w:val="21"/>
                      <w:highlight w:val="none"/>
                      <w:lang w:val="en-US" w:eastAsia="zh-CN" w:bidi="ar-SA"/>
                    </w:rPr>
                    <w:t>kw</w:t>
                  </w:r>
                </w:p>
              </w:tc>
              <w:tc>
                <w:tcPr>
                  <w:tcW w:w="1944" w:type="dxa"/>
                  <w:noWrap w:val="0"/>
                  <w:vAlign w:val="center"/>
                </w:tcPr>
                <w:p w14:paraId="4FDB0FA2">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办公</w:t>
                  </w:r>
                </w:p>
              </w:tc>
              <w:tc>
                <w:tcPr>
                  <w:tcW w:w="2227" w:type="dxa"/>
                  <w:noWrap w:val="0"/>
                  <w:vAlign w:val="center"/>
                </w:tcPr>
                <w:p w14:paraId="50AFE94D">
                  <w:pPr>
                    <w:keepNext w:val="0"/>
                    <w:keepLines w:val="0"/>
                    <w:pageBreakBefore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供电系统</w:t>
                  </w:r>
                </w:p>
              </w:tc>
            </w:tr>
            <w:tr w14:paraId="64651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40" w:type="dxa"/>
                  <w:noWrap w:val="0"/>
                  <w:vAlign w:val="center"/>
                </w:tcPr>
                <w:p w14:paraId="4B81C652">
                  <w:pPr>
                    <w:keepNext w:val="0"/>
                    <w:keepLines w:val="0"/>
                    <w:pageBreakBefore w:val="0"/>
                    <w:widowControl/>
                    <w:numPr>
                      <w:ilvl w:val="0"/>
                      <w:numId w:val="5"/>
                    </w:numPr>
                    <w:tabs>
                      <w:tab w:val="left" w:pos="210"/>
                    </w:tabs>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rPr>
                  </w:pPr>
                </w:p>
              </w:tc>
              <w:tc>
                <w:tcPr>
                  <w:tcW w:w="1710" w:type="dxa"/>
                  <w:noWrap w:val="0"/>
                  <w:vAlign w:val="center"/>
                </w:tcPr>
                <w:p w14:paraId="46A04471">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水</w:t>
                  </w:r>
                </w:p>
              </w:tc>
              <w:tc>
                <w:tcPr>
                  <w:tcW w:w="1197" w:type="dxa"/>
                  <w:noWrap w:val="0"/>
                  <w:vAlign w:val="center"/>
                </w:tcPr>
                <w:p w14:paraId="37D38F0A">
                  <w:pPr>
                    <w:pStyle w:val="57"/>
                    <w:keepNext w:val="0"/>
                    <w:keepLines w:val="0"/>
                    <w:pageBreakBefore w:val="0"/>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cs="Times New Roman"/>
                      <w:color w:val="auto"/>
                      <w:kern w:val="2"/>
                      <w:sz w:val="21"/>
                      <w:szCs w:val="21"/>
                      <w:highlight w:val="none"/>
                      <w:lang w:val="en-US" w:eastAsia="zh-CN" w:bidi="ar-SA"/>
                    </w:rPr>
                  </w:pPr>
                  <w:r>
                    <w:rPr>
                      <w:rFonts w:hint="eastAsia" w:ascii="Times New Roman" w:cs="Times New Roman"/>
                      <w:color w:val="auto"/>
                      <w:kern w:val="2"/>
                      <w:sz w:val="21"/>
                      <w:szCs w:val="21"/>
                      <w:highlight w:val="none"/>
                      <w:lang w:val="en-US" w:eastAsia="zh-CN" w:bidi="ar-SA"/>
                    </w:rPr>
                    <w:t>24024</w:t>
                  </w:r>
                  <w:r>
                    <w:rPr>
                      <w:rFonts w:hint="default" w:ascii="Times New Roman" w:hAnsi="Times New Roman" w:cs="Times New Roman"/>
                      <w:color w:val="auto"/>
                      <w:kern w:val="2"/>
                      <w:sz w:val="21"/>
                      <w:szCs w:val="21"/>
                      <w:highlight w:val="none"/>
                      <w:lang w:val="en-US" w:eastAsia="zh-CN" w:bidi="ar-SA"/>
                    </w:rPr>
                    <w:t>t/a</w:t>
                  </w:r>
                </w:p>
              </w:tc>
              <w:tc>
                <w:tcPr>
                  <w:tcW w:w="1944" w:type="dxa"/>
                  <w:noWrap w:val="0"/>
                  <w:vAlign w:val="center"/>
                </w:tcPr>
                <w:p w14:paraId="315E0DA4">
                  <w:pPr>
                    <w:keepNext w:val="0"/>
                    <w:keepLines w:val="0"/>
                    <w:pageBreakBefore w:val="0"/>
                    <w:kinsoku/>
                    <w:wordWrap/>
                    <w:overflowPunct/>
                    <w:topLinePunct w:val="0"/>
                    <w:autoSpaceDE/>
                    <w:autoSpaceDN/>
                    <w:bidi w:val="0"/>
                    <w:snapToGrid w:val="0"/>
                    <w:spacing w:line="0" w:lineRule="atLeast"/>
                    <w:jc w:val="center"/>
                    <w:textAlignment w:val="auto"/>
                    <w:rPr>
                      <w:rFonts w:hint="default" w:ascii="Times New Roman" w:hAnsi="Times New Roman" w:cs="Times New Roman"/>
                      <w:color w:val="auto"/>
                      <w:sz w:val="21"/>
                      <w:szCs w:val="21"/>
                      <w:lang w:eastAsia="zh-CN"/>
                    </w:rPr>
                  </w:pPr>
                  <w:r>
                    <w:rPr>
                      <w:rFonts w:hint="eastAsia" w:cs="Times New Roman"/>
                      <w:color w:val="auto"/>
                      <w:sz w:val="21"/>
                      <w:szCs w:val="21"/>
                      <w:lang w:eastAsia="zh-CN"/>
                    </w:rPr>
                    <w:t>原有员工生活用水</w:t>
                  </w:r>
                </w:p>
              </w:tc>
              <w:tc>
                <w:tcPr>
                  <w:tcW w:w="2227" w:type="dxa"/>
                  <w:noWrap w:val="0"/>
                  <w:vAlign w:val="center"/>
                </w:tcPr>
                <w:p w14:paraId="7A8F3927">
                  <w:pPr>
                    <w:keepNext w:val="0"/>
                    <w:keepLines w:val="0"/>
                    <w:pageBreakBefore w:val="0"/>
                    <w:kinsoku/>
                    <w:wordWrap/>
                    <w:overflowPunct/>
                    <w:topLinePunct w:val="0"/>
                    <w:autoSpaceDE/>
                    <w:autoSpaceDN/>
                    <w:bidi w:val="0"/>
                    <w:spacing w:line="0" w:lineRule="atLeast"/>
                    <w:jc w:val="center"/>
                    <w:textAlignment w:val="auto"/>
                    <w:rPr>
                      <w:rFonts w:hint="default" w:ascii="Times New Roman" w:hAnsi="Times New Roman" w:cs="Times New Roman"/>
                      <w:color w:val="auto"/>
                      <w:sz w:val="21"/>
                      <w:szCs w:val="21"/>
                      <w:lang w:val="en-US" w:eastAsia="zh-CN"/>
                    </w:rPr>
                  </w:pPr>
                  <w:r>
                    <w:rPr>
                      <w:rFonts w:hint="eastAsia" w:cs="Times New Roman"/>
                      <w:color w:val="auto"/>
                      <w:sz w:val="21"/>
                      <w:szCs w:val="21"/>
                      <w:lang w:val="en-US" w:eastAsia="zh-CN"/>
                    </w:rPr>
                    <w:t>新鲜水</w:t>
                  </w:r>
                </w:p>
              </w:tc>
            </w:tr>
          </w:tbl>
          <w:p w14:paraId="0B200656">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auto"/>
              <w:rPr>
                <w:rFonts w:hint="default" w:ascii="Times New Roman" w:hAnsi="Times New Roman" w:cs="Times New Roman"/>
                <w:b/>
                <w:bCs/>
                <w:color w:val="auto"/>
                <w:kern w:val="21"/>
                <w:sz w:val="24"/>
                <w:szCs w:val="24"/>
                <w:highlight w:val="none"/>
                <w:lang w:val="en-US" w:eastAsia="zh-CN"/>
              </w:rPr>
            </w:pPr>
            <w:r>
              <w:rPr>
                <w:rFonts w:hint="default" w:ascii="Times New Roman" w:hAnsi="Times New Roman" w:cs="Times New Roman"/>
                <w:b/>
                <w:bCs/>
                <w:color w:val="auto"/>
                <w:kern w:val="21"/>
                <w:sz w:val="24"/>
                <w:szCs w:val="24"/>
                <w:highlight w:val="none"/>
                <w:lang w:val="en-US" w:eastAsia="zh-CN"/>
              </w:rPr>
              <w:t>表2-4生物质燃料分析表</w:t>
            </w:r>
          </w:p>
          <w:tbl>
            <w:tblPr>
              <w:tblStyle w:val="31"/>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93"/>
              <w:gridCol w:w="944"/>
              <w:gridCol w:w="944"/>
              <w:gridCol w:w="944"/>
              <w:gridCol w:w="944"/>
              <w:gridCol w:w="944"/>
              <w:gridCol w:w="944"/>
              <w:gridCol w:w="944"/>
              <w:gridCol w:w="944"/>
            </w:tblGrid>
            <w:tr w14:paraId="37BC4A3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tcBorders>
                    <w:top w:val="single" w:color="auto" w:sz="12" w:space="0"/>
                  </w:tcBorders>
                  <w:vAlign w:val="center"/>
                </w:tcPr>
                <w:p w14:paraId="7203776C">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燃料</w:t>
                  </w:r>
                </w:p>
              </w:tc>
              <w:tc>
                <w:tcPr>
                  <w:tcW w:w="1888" w:type="dxa"/>
                  <w:gridSpan w:val="2"/>
                  <w:tcBorders>
                    <w:top w:val="single" w:color="auto" w:sz="12" w:space="0"/>
                  </w:tcBorders>
                  <w:vAlign w:val="center"/>
                </w:tcPr>
                <w:p w14:paraId="0F52A668">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收到基低位发热量</w:t>
                  </w:r>
                </w:p>
              </w:tc>
              <w:tc>
                <w:tcPr>
                  <w:tcW w:w="1888" w:type="dxa"/>
                  <w:gridSpan w:val="2"/>
                  <w:tcBorders>
                    <w:top w:val="single" w:color="auto" w:sz="12" w:space="0"/>
                  </w:tcBorders>
                  <w:vAlign w:val="center"/>
                </w:tcPr>
                <w:p w14:paraId="7EBE036B">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空气干燥基高位发热量</w:t>
                  </w:r>
                </w:p>
              </w:tc>
              <w:tc>
                <w:tcPr>
                  <w:tcW w:w="944" w:type="dxa"/>
                  <w:tcBorders>
                    <w:top w:val="single" w:color="auto" w:sz="12" w:space="0"/>
                  </w:tcBorders>
                  <w:vAlign w:val="center"/>
                </w:tcPr>
                <w:p w14:paraId="203FC59D">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空气干燥基水分</w:t>
                  </w:r>
                </w:p>
              </w:tc>
              <w:tc>
                <w:tcPr>
                  <w:tcW w:w="944" w:type="dxa"/>
                  <w:tcBorders>
                    <w:top w:val="single" w:color="auto" w:sz="12" w:space="0"/>
                  </w:tcBorders>
                  <w:vAlign w:val="center"/>
                </w:tcPr>
                <w:p w14:paraId="5B0D473F">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空气干燥基挥发分</w:t>
                  </w:r>
                </w:p>
              </w:tc>
              <w:tc>
                <w:tcPr>
                  <w:tcW w:w="944" w:type="dxa"/>
                  <w:tcBorders>
                    <w:top w:val="single" w:color="auto" w:sz="12" w:space="0"/>
                  </w:tcBorders>
                  <w:vAlign w:val="center"/>
                </w:tcPr>
                <w:p w14:paraId="5C258513">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空气干燥基灰分</w:t>
                  </w:r>
                </w:p>
              </w:tc>
              <w:tc>
                <w:tcPr>
                  <w:tcW w:w="944" w:type="dxa"/>
                  <w:tcBorders>
                    <w:top w:val="single" w:color="auto" w:sz="12" w:space="0"/>
                  </w:tcBorders>
                  <w:vAlign w:val="center"/>
                </w:tcPr>
                <w:p w14:paraId="204FDAE4">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空气干燥基固定碳</w:t>
                  </w:r>
                </w:p>
              </w:tc>
            </w:tr>
            <w:tr w14:paraId="7ECB3B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vMerge w:val="restart"/>
                  <w:vAlign w:val="center"/>
                </w:tcPr>
                <w:p w14:paraId="18471FE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生物质燃料</w:t>
                  </w:r>
                </w:p>
              </w:tc>
              <w:tc>
                <w:tcPr>
                  <w:tcW w:w="944" w:type="dxa"/>
                  <w:vAlign w:val="center"/>
                </w:tcPr>
                <w:p w14:paraId="0B2895E1">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kcal/kg</w:t>
                  </w:r>
                </w:p>
              </w:tc>
              <w:tc>
                <w:tcPr>
                  <w:tcW w:w="944" w:type="dxa"/>
                  <w:vAlign w:val="center"/>
                </w:tcPr>
                <w:p w14:paraId="2F178E7E">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Qnet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ar M</w:t>
                  </w:r>
                  <w:r>
                    <w:rPr>
                      <w:rFonts w:hint="default" w:ascii="Times New Roman" w:hAnsi="Times New Roman" w:eastAsia="宋体" w:cs="Times New Roman"/>
                      <w:color w:val="auto"/>
                      <w:sz w:val="21"/>
                      <w:szCs w:val="21"/>
                      <w:highlight w:val="none"/>
                      <w:lang w:val="en-US" w:eastAsia="zh-CN"/>
                    </w:rPr>
                    <w:t>J</w:t>
                  </w:r>
                  <w:r>
                    <w:rPr>
                      <w:rFonts w:hint="default" w:ascii="Times New Roman" w:hAnsi="Times New Roman" w:eastAsia="宋体" w:cs="Times New Roman"/>
                      <w:color w:val="auto"/>
                      <w:sz w:val="21"/>
                      <w:szCs w:val="21"/>
                      <w:highlight w:val="none"/>
                    </w:rPr>
                    <w:t>/kg</w:t>
                  </w:r>
                </w:p>
              </w:tc>
              <w:tc>
                <w:tcPr>
                  <w:tcW w:w="944" w:type="dxa"/>
                  <w:vAlign w:val="center"/>
                </w:tcPr>
                <w:p w14:paraId="2A25DE7D">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kcal/kg</w:t>
                  </w:r>
                </w:p>
              </w:tc>
              <w:tc>
                <w:tcPr>
                  <w:tcW w:w="944" w:type="dxa"/>
                  <w:vAlign w:val="center"/>
                </w:tcPr>
                <w:p w14:paraId="47D3BB4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ind w:left="0" w:right="0"/>
                    <w:jc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rPr>
                    <w:t>Qnet</w:t>
                  </w:r>
                  <w:r>
                    <w:rPr>
                      <w:rFonts w:hint="default" w:ascii="Times New Roman" w:hAnsi="Times New Roman" w:eastAsia="宋体"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rPr>
                    <w:t>ar M</w:t>
                  </w:r>
                  <w:r>
                    <w:rPr>
                      <w:rFonts w:hint="default" w:ascii="Times New Roman" w:hAnsi="Times New Roman" w:eastAsia="宋体" w:cs="Times New Roman"/>
                      <w:color w:val="auto"/>
                      <w:sz w:val="21"/>
                      <w:szCs w:val="21"/>
                      <w:highlight w:val="none"/>
                      <w:lang w:val="en-US" w:eastAsia="zh-CN"/>
                    </w:rPr>
                    <w:t>J</w:t>
                  </w:r>
                  <w:r>
                    <w:rPr>
                      <w:rFonts w:hint="default" w:ascii="Times New Roman" w:hAnsi="Times New Roman" w:eastAsia="宋体" w:cs="Times New Roman"/>
                      <w:color w:val="auto"/>
                      <w:sz w:val="21"/>
                      <w:szCs w:val="21"/>
                      <w:highlight w:val="none"/>
                    </w:rPr>
                    <w:t>/kg</w:t>
                  </w:r>
                </w:p>
              </w:tc>
              <w:tc>
                <w:tcPr>
                  <w:tcW w:w="944" w:type="dxa"/>
                  <w:vAlign w:val="center"/>
                </w:tcPr>
                <w:p w14:paraId="46C1FF77">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Mad（%）</w:t>
                  </w:r>
                </w:p>
              </w:tc>
              <w:tc>
                <w:tcPr>
                  <w:tcW w:w="944" w:type="dxa"/>
                  <w:vAlign w:val="center"/>
                </w:tcPr>
                <w:p w14:paraId="520F2A3F">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Vad（%）</w:t>
                  </w:r>
                </w:p>
              </w:tc>
              <w:tc>
                <w:tcPr>
                  <w:tcW w:w="944" w:type="dxa"/>
                  <w:vAlign w:val="center"/>
                </w:tcPr>
                <w:p w14:paraId="09D23D32">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Aad（%）</w:t>
                  </w:r>
                </w:p>
              </w:tc>
              <w:tc>
                <w:tcPr>
                  <w:tcW w:w="944" w:type="dxa"/>
                  <w:vAlign w:val="center"/>
                </w:tcPr>
                <w:p w14:paraId="029BFCC0">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FCad（%）</w:t>
                  </w:r>
                </w:p>
              </w:tc>
            </w:tr>
            <w:tr w14:paraId="6F471B4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vMerge w:val="continue"/>
                  <w:vAlign w:val="center"/>
                </w:tcPr>
                <w:p w14:paraId="126BE06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944" w:type="dxa"/>
                  <w:vAlign w:val="center"/>
                </w:tcPr>
                <w:p w14:paraId="2F4E5BF7">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3380</w:t>
                  </w:r>
                </w:p>
              </w:tc>
              <w:tc>
                <w:tcPr>
                  <w:tcW w:w="944" w:type="dxa"/>
                  <w:vAlign w:val="center"/>
                </w:tcPr>
                <w:p w14:paraId="177D3986">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14.132</w:t>
                  </w:r>
                </w:p>
              </w:tc>
              <w:tc>
                <w:tcPr>
                  <w:tcW w:w="944" w:type="dxa"/>
                  <w:vAlign w:val="center"/>
                </w:tcPr>
                <w:p w14:paraId="4A98BD1D">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3738</w:t>
                  </w:r>
                </w:p>
              </w:tc>
              <w:tc>
                <w:tcPr>
                  <w:tcW w:w="944" w:type="dxa"/>
                  <w:vAlign w:val="center"/>
                </w:tcPr>
                <w:p w14:paraId="5254788D">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15.631</w:t>
                  </w:r>
                </w:p>
              </w:tc>
              <w:tc>
                <w:tcPr>
                  <w:tcW w:w="944" w:type="dxa"/>
                  <w:vAlign w:val="center"/>
                </w:tcPr>
                <w:p w14:paraId="49345DCA">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4.34</w:t>
                  </w:r>
                </w:p>
              </w:tc>
              <w:tc>
                <w:tcPr>
                  <w:tcW w:w="944" w:type="dxa"/>
                  <w:vAlign w:val="center"/>
                </w:tcPr>
                <w:p w14:paraId="2894FC8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63.32</w:t>
                  </w:r>
                </w:p>
              </w:tc>
              <w:tc>
                <w:tcPr>
                  <w:tcW w:w="944" w:type="dxa"/>
                  <w:vAlign w:val="center"/>
                </w:tcPr>
                <w:p w14:paraId="0A8BC18E">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16.80</w:t>
                  </w:r>
                </w:p>
              </w:tc>
              <w:tc>
                <w:tcPr>
                  <w:tcW w:w="944" w:type="dxa"/>
                  <w:vAlign w:val="center"/>
                </w:tcPr>
                <w:p w14:paraId="26EBF0EA">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15.54</w:t>
                  </w:r>
                </w:p>
              </w:tc>
            </w:tr>
            <w:tr w14:paraId="62D0A60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vMerge w:val="continue"/>
                  <w:vAlign w:val="center"/>
                </w:tcPr>
                <w:p w14:paraId="1EBF1519">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944" w:type="dxa"/>
                  <w:vAlign w:val="center"/>
                </w:tcPr>
                <w:p w14:paraId="7053EE53">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空气干燥基氧</w:t>
                  </w:r>
                </w:p>
              </w:tc>
              <w:tc>
                <w:tcPr>
                  <w:tcW w:w="944" w:type="dxa"/>
                  <w:vAlign w:val="center"/>
                </w:tcPr>
                <w:p w14:paraId="36AC6A6E">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全水分</w:t>
                  </w:r>
                </w:p>
              </w:tc>
              <w:tc>
                <w:tcPr>
                  <w:tcW w:w="944" w:type="dxa"/>
                  <w:vAlign w:val="center"/>
                </w:tcPr>
                <w:p w14:paraId="51B5FD0E">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收到基全硫</w:t>
                  </w:r>
                </w:p>
              </w:tc>
              <w:tc>
                <w:tcPr>
                  <w:tcW w:w="944" w:type="dxa"/>
                  <w:vAlign w:val="center"/>
                </w:tcPr>
                <w:p w14:paraId="7EFDAE9E">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收到基灰分</w:t>
                  </w:r>
                </w:p>
              </w:tc>
              <w:tc>
                <w:tcPr>
                  <w:tcW w:w="944" w:type="dxa"/>
                  <w:vAlign w:val="center"/>
                </w:tcPr>
                <w:p w14:paraId="0AD33AE5">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w:t>
                  </w:r>
                </w:p>
                <w:p w14:paraId="18CEFFAC">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基碳</w:t>
                  </w:r>
                </w:p>
              </w:tc>
              <w:tc>
                <w:tcPr>
                  <w:tcW w:w="944" w:type="dxa"/>
                  <w:vAlign w:val="center"/>
                </w:tcPr>
                <w:p w14:paraId="7DB11E44">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w:t>
                  </w:r>
                </w:p>
                <w:p w14:paraId="2D41BFC9">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基氢</w:t>
                  </w:r>
                </w:p>
              </w:tc>
              <w:tc>
                <w:tcPr>
                  <w:tcW w:w="944" w:type="dxa"/>
                  <w:vAlign w:val="center"/>
                </w:tcPr>
                <w:p w14:paraId="0CECC17A">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w:t>
                  </w:r>
                </w:p>
                <w:p w14:paraId="13491B5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基氮</w:t>
                  </w:r>
                </w:p>
              </w:tc>
              <w:tc>
                <w:tcPr>
                  <w:tcW w:w="944" w:type="dxa"/>
                  <w:vAlign w:val="center"/>
                </w:tcPr>
                <w:p w14:paraId="639A67F6">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收到</w:t>
                  </w:r>
                </w:p>
                <w:p w14:paraId="4778688F">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基氧</w:t>
                  </w:r>
                </w:p>
              </w:tc>
            </w:tr>
            <w:tr w14:paraId="6788A0F2">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vMerge w:val="continue"/>
                  <w:vAlign w:val="center"/>
                </w:tcPr>
                <w:p w14:paraId="7B7C65AC">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944" w:type="dxa"/>
                  <w:vAlign w:val="center"/>
                </w:tcPr>
                <w:p w14:paraId="4D9FCC09">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Oad（%）</w:t>
                  </w:r>
                </w:p>
              </w:tc>
              <w:tc>
                <w:tcPr>
                  <w:tcW w:w="944" w:type="dxa"/>
                  <w:vAlign w:val="center"/>
                </w:tcPr>
                <w:p w14:paraId="0BB01327">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Mt（%）</w:t>
                  </w:r>
                </w:p>
              </w:tc>
              <w:tc>
                <w:tcPr>
                  <w:tcW w:w="944" w:type="dxa"/>
                  <w:vAlign w:val="center"/>
                </w:tcPr>
                <w:p w14:paraId="43FBB924">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St，a</w:t>
                  </w:r>
                  <w:r>
                    <w:rPr>
                      <w:rFonts w:hint="eastAsia" w:ascii="Times New Roman" w:hAnsi="Times New Roman" w:eastAsia="宋体" w:cs="Times New Roman"/>
                      <w:color w:val="auto"/>
                      <w:sz w:val="21"/>
                      <w:szCs w:val="21"/>
                      <w:highlight w:val="none"/>
                      <w:vertAlign w:val="baseline"/>
                      <w:lang w:val="en-US" w:eastAsia="zh-CN"/>
                    </w:rPr>
                    <w:t>r</w:t>
                  </w:r>
                  <w:r>
                    <w:rPr>
                      <w:rFonts w:hint="default" w:ascii="Times New Roman" w:hAnsi="Times New Roman" w:eastAsia="宋体" w:cs="Times New Roman"/>
                      <w:color w:val="auto"/>
                      <w:sz w:val="21"/>
                      <w:szCs w:val="21"/>
                      <w:highlight w:val="none"/>
                      <w:vertAlign w:val="baseline"/>
                      <w:lang w:val="en-US" w:eastAsia="zh-CN"/>
                    </w:rPr>
                    <w:t>（%）</w:t>
                  </w:r>
                </w:p>
              </w:tc>
              <w:tc>
                <w:tcPr>
                  <w:tcW w:w="944" w:type="dxa"/>
                  <w:vAlign w:val="center"/>
                </w:tcPr>
                <w:p w14:paraId="7A5C226A">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Aar</w:t>
                  </w:r>
                  <w:r>
                    <w:rPr>
                      <w:rFonts w:hint="default" w:ascii="Times New Roman" w:hAnsi="Times New Roman" w:eastAsia="宋体" w:cs="Times New Roman"/>
                      <w:color w:val="auto"/>
                      <w:sz w:val="21"/>
                      <w:szCs w:val="21"/>
                      <w:highlight w:val="none"/>
                      <w:vertAlign w:val="baseline"/>
                      <w:lang w:val="en-US" w:eastAsia="zh-CN"/>
                    </w:rPr>
                    <w:t>（%）</w:t>
                  </w:r>
                </w:p>
              </w:tc>
              <w:tc>
                <w:tcPr>
                  <w:tcW w:w="944" w:type="dxa"/>
                  <w:vAlign w:val="center"/>
                </w:tcPr>
                <w:p w14:paraId="47630112">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both"/>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Car</w:t>
                  </w:r>
                  <w:r>
                    <w:rPr>
                      <w:rFonts w:hint="default" w:ascii="Times New Roman" w:hAnsi="Times New Roman" w:eastAsia="宋体" w:cs="Times New Roman"/>
                      <w:color w:val="auto"/>
                      <w:sz w:val="21"/>
                      <w:szCs w:val="21"/>
                      <w:highlight w:val="none"/>
                      <w:vertAlign w:val="baseline"/>
                      <w:lang w:val="en-US" w:eastAsia="zh-CN"/>
                    </w:rPr>
                    <w:t>（%）</w:t>
                  </w:r>
                </w:p>
              </w:tc>
              <w:tc>
                <w:tcPr>
                  <w:tcW w:w="944" w:type="dxa"/>
                  <w:vAlign w:val="center"/>
                </w:tcPr>
                <w:p w14:paraId="2AE78DA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Har</w:t>
                  </w:r>
                  <w:r>
                    <w:rPr>
                      <w:rFonts w:hint="default" w:ascii="Times New Roman" w:hAnsi="Times New Roman" w:eastAsia="宋体" w:cs="Times New Roman"/>
                      <w:color w:val="auto"/>
                      <w:sz w:val="21"/>
                      <w:szCs w:val="21"/>
                      <w:highlight w:val="none"/>
                      <w:vertAlign w:val="baseline"/>
                      <w:lang w:val="en-US" w:eastAsia="zh-CN"/>
                    </w:rPr>
                    <w:t>（%）</w:t>
                  </w:r>
                </w:p>
              </w:tc>
              <w:tc>
                <w:tcPr>
                  <w:tcW w:w="944" w:type="dxa"/>
                  <w:vAlign w:val="center"/>
                </w:tcPr>
                <w:p w14:paraId="37E688CD">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Nar</w:t>
                  </w:r>
                  <w:r>
                    <w:rPr>
                      <w:rFonts w:hint="default" w:ascii="Times New Roman" w:hAnsi="Times New Roman" w:eastAsia="宋体" w:cs="Times New Roman"/>
                      <w:color w:val="auto"/>
                      <w:sz w:val="21"/>
                      <w:szCs w:val="21"/>
                      <w:highlight w:val="none"/>
                      <w:vertAlign w:val="baseline"/>
                      <w:lang w:val="en-US" w:eastAsia="zh-CN"/>
                    </w:rPr>
                    <w:t>（%）</w:t>
                  </w:r>
                </w:p>
              </w:tc>
              <w:tc>
                <w:tcPr>
                  <w:tcW w:w="944" w:type="dxa"/>
                  <w:vAlign w:val="center"/>
                </w:tcPr>
                <w:p w14:paraId="68CFE74E">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O</w:t>
                  </w:r>
                  <w:r>
                    <w:rPr>
                      <w:rFonts w:hint="default" w:ascii="Times New Roman" w:hAnsi="Times New Roman" w:eastAsia="宋体" w:cs="Times New Roman"/>
                      <w:color w:val="auto"/>
                      <w:sz w:val="21"/>
                      <w:szCs w:val="21"/>
                      <w:highlight w:val="none"/>
                      <w:vertAlign w:val="baseline"/>
                      <w:lang w:val="en-US" w:eastAsia="zh-CN"/>
                    </w:rPr>
                    <w:t>a</w:t>
                  </w:r>
                  <w:r>
                    <w:rPr>
                      <w:rFonts w:hint="eastAsia" w:ascii="Times New Roman" w:hAnsi="Times New Roman" w:eastAsia="宋体" w:cs="Times New Roman"/>
                      <w:color w:val="auto"/>
                      <w:sz w:val="21"/>
                      <w:szCs w:val="21"/>
                      <w:highlight w:val="none"/>
                      <w:vertAlign w:val="baseline"/>
                      <w:lang w:val="en-US" w:eastAsia="zh-CN"/>
                    </w:rPr>
                    <w:t>r</w:t>
                  </w:r>
                  <w:r>
                    <w:rPr>
                      <w:rFonts w:hint="default" w:ascii="Times New Roman" w:hAnsi="Times New Roman" w:eastAsia="宋体" w:cs="Times New Roman"/>
                      <w:color w:val="auto"/>
                      <w:sz w:val="21"/>
                      <w:szCs w:val="21"/>
                      <w:highlight w:val="none"/>
                      <w:vertAlign w:val="baseline"/>
                      <w:lang w:val="en-US" w:eastAsia="zh-CN"/>
                    </w:rPr>
                    <w:t>（%）</w:t>
                  </w:r>
                </w:p>
              </w:tc>
            </w:tr>
            <w:tr w14:paraId="0D245EA9">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393" w:type="dxa"/>
                  <w:vMerge w:val="continue"/>
                  <w:tcBorders>
                    <w:bottom w:val="single" w:color="auto" w:sz="12" w:space="0"/>
                  </w:tcBorders>
                  <w:vAlign w:val="center"/>
                </w:tcPr>
                <w:p w14:paraId="36F8FF28">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p>
              </w:tc>
              <w:tc>
                <w:tcPr>
                  <w:tcW w:w="944" w:type="dxa"/>
                  <w:tcBorders>
                    <w:bottom w:val="single" w:color="auto" w:sz="12" w:space="0"/>
                  </w:tcBorders>
                  <w:vAlign w:val="center"/>
                </w:tcPr>
                <w:p w14:paraId="36AFD1EF">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34.07</w:t>
                  </w:r>
                </w:p>
              </w:tc>
              <w:tc>
                <w:tcPr>
                  <w:tcW w:w="944" w:type="dxa"/>
                  <w:tcBorders>
                    <w:bottom w:val="single" w:color="auto" w:sz="12" w:space="0"/>
                  </w:tcBorders>
                  <w:vAlign w:val="center"/>
                </w:tcPr>
                <w:p w14:paraId="31B5B977">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7.0</w:t>
                  </w:r>
                </w:p>
              </w:tc>
              <w:tc>
                <w:tcPr>
                  <w:tcW w:w="944" w:type="dxa"/>
                  <w:tcBorders>
                    <w:bottom w:val="single" w:color="auto" w:sz="12" w:space="0"/>
                  </w:tcBorders>
                  <w:vAlign w:val="center"/>
                </w:tcPr>
                <w:p w14:paraId="691968CC">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rightChars="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0.07</w:t>
                  </w:r>
                </w:p>
              </w:tc>
              <w:tc>
                <w:tcPr>
                  <w:tcW w:w="944" w:type="dxa"/>
                  <w:tcBorders>
                    <w:bottom w:val="single" w:color="auto" w:sz="12" w:space="0"/>
                  </w:tcBorders>
                  <w:vAlign w:val="center"/>
                </w:tcPr>
                <w:p w14:paraId="59972727">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16.33</w:t>
                  </w:r>
                </w:p>
              </w:tc>
              <w:tc>
                <w:tcPr>
                  <w:tcW w:w="944" w:type="dxa"/>
                  <w:tcBorders>
                    <w:bottom w:val="single" w:color="auto" w:sz="12" w:space="0"/>
                  </w:tcBorders>
                  <w:vAlign w:val="center"/>
                </w:tcPr>
                <w:p w14:paraId="6BC8BB72">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38.82</w:t>
                  </w:r>
                </w:p>
              </w:tc>
              <w:tc>
                <w:tcPr>
                  <w:tcW w:w="944" w:type="dxa"/>
                  <w:tcBorders>
                    <w:bottom w:val="single" w:color="auto" w:sz="12" w:space="0"/>
                  </w:tcBorders>
                  <w:vAlign w:val="center"/>
                </w:tcPr>
                <w:p w14:paraId="79874CF1">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4.38</w:t>
                  </w:r>
                </w:p>
              </w:tc>
              <w:tc>
                <w:tcPr>
                  <w:tcW w:w="944" w:type="dxa"/>
                  <w:tcBorders>
                    <w:bottom w:val="single" w:color="auto" w:sz="12" w:space="0"/>
                  </w:tcBorders>
                  <w:vAlign w:val="center"/>
                </w:tcPr>
                <w:p w14:paraId="2687C633">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0.27</w:t>
                  </w:r>
                </w:p>
              </w:tc>
              <w:tc>
                <w:tcPr>
                  <w:tcW w:w="944" w:type="dxa"/>
                  <w:tcBorders>
                    <w:bottom w:val="single" w:color="auto" w:sz="12" w:space="0"/>
                  </w:tcBorders>
                  <w:vAlign w:val="center"/>
                </w:tcPr>
                <w:p w14:paraId="07D664B0">
                  <w:pPr>
                    <w:pStyle w:val="90"/>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240" w:lineRule="auto"/>
                    <w:ind w:left="0" w:leftChars="0" w:right="0"/>
                    <w:jc w:val="center"/>
                    <w:textAlignment w:val="baseline"/>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33.13</w:t>
                  </w:r>
                </w:p>
              </w:tc>
            </w:tr>
          </w:tbl>
          <w:p w14:paraId="0CC102E5">
            <w:pPr>
              <w:pStyle w:val="6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eastAsia="宋体" w:cs="Times New Roman"/>
                <w:b/>
                <w:color w:val="auto"/>
                <w:sz w:val="24"/>
                <w:szCs w:val="24"/>
                <w:lang w:val="en-US" w:eastAsia="zh-CN"/>
              </w:rPr>
            </w:pPr>
            <w:r>
              <w:rPr>
                <w:rFonts w:hint="default" w:ascii="Times New Roman" w:hAnsi="Times New Roman" w:cs="Times New Roman"/>
                <w:b/>
                <w:color w:val="auto"/>
                <w:sz w:val="24"/>
                <w:szCs w:val="24"/>
                <w:lang w:val="en-US" w:eastAsia="zh-CN"/>
              </w:rPr>
              <w:t>5、</w:t>
            </w:r>
            <w:r>
              <w:rPr>
                <w:rFonts w:hint="default" w:ascii="Times New Roman" w:hAnsi="Times New Roman" w:eastAsia="宋体" w:cs="Times New Roman"/>
                <w:b/>
                <w:color w:val="auto"/>
                <w:sz w:val="24"/>
                <w:szCs w:val="24"/>
                <w:lang w:val="en-US" w:eastAsia="zh-CN"/>
              </w:rPr>
              <w:t>劳动定员及工作制度</w:t>
            </w:r>
          </w:p>
          <w:p w14:paraId="49806128">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劳动定员：</w:t>
            </w:r>
            <w:r>
              <w:rPr>
                <w:rFonts w:hint="default" w:ascii="Times New Roman" w:hAnsi="Times New Roman" w:eastAsia="宋体" w:cs="Times New Roman"/>
                <w:color w:val="auto"/>
                <w:kern w:val="0"/>
                <w:sz w:val="24"/>
                <w:szCs w:val="24"/>
                <w:lang w:val="en-US" w:eastAsia="zh-CN"/>
              </w:rPr>
              <w:t>本项目</w:t>
            </w:r>
            <w:r>
              <w:rPr>
                <w:rFonts w:hint="default" w:ascii="Times New Roman" w:hAnsi="Times New Roman" w:cs="Times New Roman"/>
                <w:color w:val="auto"/>
                <w:kern w:val="0"/>
                <w:sz w:val="24"/>
                <w:szCs w:val="24"/>
                <w:highlight w:val="none"/>
                <w:lang w:val="en-US" w:eastAsia="zh-CN" w:bidi="ar"/>
              </w:rPr>
              <w:t>无新增员工</w:t>
            </w:r>
            <w:r>
              <w:rPr>
                <w:rFonts w:hint="eastAsia" w:cs="Times New Roman"/>
                <w:color w:val="auto"/>
                <w:kern w:val="0"/>
                <w:sz w:val="24"/>
                <w:szCs w:val="24"/>
                <w:highlight w:val="none"/>
                <w:lang w:val="en-US" w:eastAsia="zh-CN" w:bidi="ar"/>
              </w:rPr>
              <w:t>；原有员工300人。</w:t>
            </w:r>
          </w:p>
          <w:p w14:paraId="7F45BE4A">
            <w:pPr>
              <w:spacing w:line="360" w:lineRule="auto"/>
              <w:ind w:firstLine="480" w:firstLineChars="200"/>
              <w:rPr>
                <w:rFonts w:hint="default" w:ascii="Times New Roman" w:hAnsi="Times New Roman" w:eastAsia="宋体" w:cs="Times New Roman"/>
                <w:color w:val="auto"/>
                <w:kern w:val="0"/>
                <w:sz w:val="24"/>
                <w:szCs w:val="24"/>
                <w:highlight w:val="none"/>
                <w:lang w:val="en-US" w:eastAsia="zh-CN"/>
              </w:rPr>
            </w:pPr>
            <w:r>
              <w:rPr>
                <w:rFonts w:hint="default" w:ascii="Times New Roman" w:hAnsi="Times New Roman" w:cs="Times New Roman"/>
                <w:color w:val="auto"/>
                <w:kern w:val="0"/>
                <w:sz w:val="24"/>
                <w:szCs w:val="24"/>
                <w:lang w:val="en-US" w:eastAsia="zh-CN"/>
              </w:rPr>
              <w:t>工作制度：</w:t>
            </w:r>
            <w:r>
              <w:rPr>
                <w:rFonts w:hint="eastAsia" w:cs="Times New Roman"/>
                <w:color w:val="auto"/>
                <w:kern w:val="0"/>
                <w:sz w:val="24"/>
                <w:szCs w:val="24"/>
                <w:highlight w:val="none"/>
                <w:lang w:val="en-US" w:eastAsia="zh-CN" w:bidi="ar"/>
              </w:rPr>
              <w:t>年工作330d，三班制；一台5t/h生物质热风炉年运行120d，每日运行16h。</w:t>
            </w:r>
          </w:p>
          <w:p w14:paraId="40B1D985">
            <w:pPr>
              <w:pStyle w:val="62"/>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2" w:firstLineChars="200"/>
              <w:textAlignment w:val="auto"/>
              <w:rPr>
                <w:rFonts w:hint="eastAsia" w:cs="Times New Roman"/>
                <w:b/>
                <w:color w:val="auto"/>
                <w:kern w:val="2"/>
                <w:sz w:val="24"/>
                <w:szCs w:val="24"/>
                <w:highlight w:val="none"/>
                <w:lang w:val="en-US" w:eastAsia="zh-CN" w:bidi="ar-SA"/>
              </w:rPr>
            </w:pPr>
            <w:r>
              <w:rPr>
                <w:rFonts w:hint="eastAsia" w:cs="Times New Roman"/>
                <w:b/>
                <w:color w:val="auto"/>
                <w:kern w:val="2"/>
                <w:sz w:val="24"/>
                <w:szCs w:val="24"/>
                <w:highlight w:val="none"/>
                <w:lang w:val="en-US" w:eastAsia="zh-CN" w:bidi="ar-SA"/>
              </w:rPr>
              <w:t>厂区平面布置图</w:t>
            </w:r>
          </w:p>
          <w:p w14:paraId="01FBCC3F">
            <w:pPr>
              <w:spacing w:line="360" w:lineRule="auto"/>
              <w:ind w:firstLine="480" w:firstLineChars="200"/>
              <w:rPr>
                <w:rFonts w:hint="default" w:ascii="Times New Roman" w:hAnsi="Times New Roman" w:cs="Times New Roman"/>
                <w:color w:val="auto"/>
                <w:kern w:val="0"/>
                <w:sz w:val="24"/>
                <w:szCs w:val="24"/>
                <w:lang w:val="en-US" w:eastAsia="zh-CN"/>
              </w:rPr>
            </w:pPr>
            <w:r>
              <w:rPr>
                <w:rFonts w:hint="eastAsia" w:ascii="Times New Roman" w:hAnsi="Times New Roman" w:cs="Times New Roman"/>
                <w:color w:val="auto"/>
                <w:kern w:val="0"/>
                <w:sz w:val="24"/>
                <w:szCs w:val="24"/>
                <w:lang w:val="en-US" w:eastAsia="zh-CN"/>
              </w:rPr>
              <w:t>本项目位于</w:t>
            </w:r>
            <w:r>
              <w:rPr>
                <w:rFonts w:hint="eastAsia" w:ascii="宋体" w:hAnsi="宋体" w:eastAsia="宋体" w:cs="宋体"/>
                <w:color w:val="auto"/>
                <w:sz w:val="24"/>
                <w:szCs w:val="24"/>
                <w:lang w:val="en-US" w:eastAsia="zh-CN"/>
              </w:rPr>
              <w:t>鸡西市城子河铁城煤矿有限公司现有厂区内</w:t>
            </w:r>
            <w:r>
              <w:rPr>
                <w:rFonts w:hint="eastAsia" w:ascii="Times New Roman" w:hAnsi="Times New Roman" w:cs="Times New Roman"/>
                <w:color w:val="auto"/>
                <w:kern w:val="0"/>
                <w:sz w:val="24"/>
                <w:szCs w:val="24"/>
                <w:lang w:val="en-US" w:eastAsia="zh-CN"/>
              </w:rPr>
              <w:t>，一台5t/h生物质热风炉房位于西部工业场地的北侧。具体平面布置</w:t>
            </w:r>
            <w:r>
              <w:rPr>
                <w:rFonts w:hint="eastAsia" w:ascii="Times New Roman" w:hAnsi="Times New Roman" w:cs="Times New Roman"/>
                <w:color w:val="auto"/>
                <w:kern w:val="0"/>
                <w:sz w:val="24"/>
                <w:szCs w:val="24"/>
                <w:highlight w:val="none"/>
                <w:lang w:val="en-US" w:eastAsia="zh-CN"/>
              </w:rPr>
              <w:t>见附图6。</w:t>
            </w:r>
          </w:p>
          <w:p w14:paraId="2841BE92">
            <w:pPr>
              <w:spacing w:line="360" w:lineRule="auto"/>
              <w:ind w:firstLine="482" w:firstLineChars="200"/>
              <w:rPr>
                <w:rFonts w:hint="default" w:ascii="Times New Roman" w:hAnsi="Times New Roman" w:cs="Times New Roman"/>
                <w:b/>
                <w:bCs/>
                <w:color w:val="auto"/>
                <w:kern w:val="0"/>
                <w:sz w:val="24"/>
                <w:szCs w:val="24"/>
                <w:lang w:val="en-US" w:eastAsia="zh-CN"/>
              </w:rPr>
            </w:pPr>
            <w:r>
              <w:rPr>
                <w:rFonts w:hint="eastAsia" w:ascii="Times New Roman" w:hAnsi="Times New Roman" w:cs="Times New Roman"/>
                <w:b/>
                <w:bCs/>
                <w:color w:val="auto"/>
                <w:kern w:val="0"/>
                <w:sz w:val="24"/>
                <w:szCs w:val="24"/>
                <w:lang w:val="en-US" w:eastAsia="zh-CN"/>
              </w:rPr>
              <w:t>7</w:t>
            </w:r>
            <w:r>
              <w:rPr>
                <w:rFonts w:hint="default" w:ascii="Times New Roman" w:hAnsi="Times New Roman" w:cs="Times New Roman"/>
                <w:b/>
                <w:bCs/>
                <w:color w:val="auto"/>
                <w:kern w:val="0"/>
                <w:sz w:val="24"/>
                <w:szCs w:val="24"/>
                <w:lang w:val="en-US" w:eastAsia="zh-CN"/>
              </w:rPr>
              <w:t>、公用工程</w:t>
            </w:r>
          </w:p>
          <w:p w14:paraId="3D2BC390">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（1）给</w:t>
            </w:r>
            <w:r>
              <w:rPr>
                <w:rFonts w:hint="eastAsia" w:cs="Times New Roman"/>
                <w:color w:val="auto"/>
                <w:kern w:val="0"/>
                <w:sz w:val="24"/>
                <w:szCs w:val="24"/>
                <w:lang w:val="en-US" w:eastAsia="zh-CN"/>
              </w:rPr>
              <w:t>、排</w:t>
            </w:r>
            <w:r>
              <w:rPr>
                <w:rFonts w:hint="default" w:ascii="Times New Roman" w:hAnsi="Times New Roman" w:cs="Times New Roman"/>
                <w:color w:val="auto"/>
                <w:kern w:val="0"/>
                <w:sz w:val="24"/>
                <w:szCs w:val="24"/>
                <w:lang w:val="en-US" w:eastAsia="zh-CN"/>
              </w:rPr>
              <w:t>水</w:t>
            </w:r>
          </w:p>
          <w:p w14:paraId="3E7FDC2A">
            <w:pPr>
              <w:spacing w:line="360" w:lineRule="auto"/>
              <w:ind w:firstLine="480" w:firstLineChars="200"/>
              <w:rPr>
                <w:rFonts w:hint="eastAsia" w:cs="Times New Roman"/>
                <w:color w:val="auto"/>
                <w:sz w:val="24"/>
                <w:szCs w:val="24"/>
                <w:highlight w:val="none"/>
                <w:lang w:val="en-US" w:eastAsia="zh-CN"/>
              </w:rPr>
            </w:pPr>
            <w:r>
              <w:rPr>
                <w:rFonts w:hint="default" w:ascii="Times New Roman" w:hAnsi="Times New Roman" w:eastAsia="宋体" w:cs="Times New Roman"/>
                <w:color w:val="auto"/>
                <w:kern w:val="0"/>
                <w:sz w:val="24"/>
                <w:szCs w:val="24"/>
                <w:lang w:val="en-US" w:eastAsia="zh-CN" w:bidi="ar-SA"/>
              </w:rPr>
              <w:t>本项目无新增用水源，</w:t>
            </w:r>
            <w:r>
              <w:rPr>
                <w:rFonts w:hint="eastAsia" w:ascii="Times New Roman" w:hAnsi="Times New Roman" w:eastAsia="宋体" w:cs="Times New Roman"/>
                <w:color w:val="auto"/>
                <w:kern w:val="0"/>
                <w:sz w:val="24"/>
                <w:szCs w:val="24"/>
                <w:lang w:val="en-US" w:eastAsia="zh-CN" w:bidi="ar-SA"/>
              </w:rPr>
              <w:t>改扩建</w:t>
            </w:r>
            <w:r>
              <w:rPr>
                <w:rFonts w:hint="default" w:ascii="Times New Roman" w:hAnsi="Times New Roman" w:eastAsia="宋体" w:cs="Times New Roman"/>
                <w:color w:val="auto"/>
                <w:kern w:val="0"/>
                <w:sz w:val="24"/>
                <w:szCs w:val="24"/>
                <w:lang w:val="en-US" w:eastAsia="zh-CN" w:bidi="ar-SA"/>
              </w:rPr>
              <w:t>后全厂用水主要为原有项目职工生活</w:t>
            </w:r>
            <w:r>
              <w:rPr>
                <w:rFonts w:hint="eastAsia" w:ascii="Times New Roman" w:hAnsi="Times New Roman" w:eastAsia="宋体" w:cs="Times New Roman"/>
                <w:color w:val="auto"/>
                <w:kern w:val="0"/>
                <w:sz w:val="24"/>
                <w:szCs w:val="24"/>
                <w:lang w:val="en-US" w:eastAsia="zh-CN" w:bidi="ar-SA"/>
              </w:rPr>
              <w:t>用水。项目原有员工共</w:t>
            </w:r>
            <w:r>
              <w:rPr>
                <w:rFonts w:hint="eastAsia" w:cs="Times New Roman"/>
                <w:color w:val="auto"/>
                <w:kern w:val="0"/>
                <w:sz w:val="24"/>
                <w:szCs w:val="24"/>
                <w:lang w:val="en-US" w:eastAsia="zh-CN" w:bidi="ar-SA"/>
              </w:rPr>
              <w:t>300</w:t>
            </w:r>
            <w:r>
              <w:rPr>
                <w:rFonts w:hint="eastAsia" w:ascii="Times New Roman" w:hAnsi="Times New Roman" w:eastAsia="宋体" w:cs="Times New Roman"/>
                <w:color w:val="auto"/>
                <w:kern w:val="0"/>
                <w:sz w:val="24"/>
                <w:szCs w:val="24"/>
                <w:lang w:val="en-US" w:eastAsia="zh-CN" w:bidi="ar-SA"/>
              </w:rPr>
              <w:t>人，</w:t>
            </w:r>
            <w:r>
              <w:rPr>
                <w:rFonts w:hint="eastAsia" w:cs="Times New Roman"/>
                <w:color w:val="auto"/>
                <w:kern w:val="0"/>
                <w:sz w:val="24"/>
                <w:szCs w:val="24"/>
                <w:lang w:val="en-US" w:eastAsia="zh-CN" w:bidi="ar-SA"/>
              </w:rPr>
              <w:t>年工作330天，</w:t>
            </w:r>
            <w:r>
              <w:rPr>
                <w:rFonts w:hint="eastAsia" w:ascii="Times New Roman" w:hAnsi="Times New Roman" w:eastAsia="宋体" w:cs="Times New Roman"/>
                <w:color w:val="auto"/>
                <w:kern w:val="0"/>
                <w:sz w:val="24"/>
                <w:szCs w:val="24"/>
                <w:lang w:val="en-US" w:eastAsia="zh-CN" w:bidi="ar-SA"/>
              </w:rPr>
              <w:t>无新增员工产生，根据《</w:t>
            </w:r>
            <w:r>
              <w:rPr>
                <w:rFonts w:hint="eastAsia" w:cs="Times New Roman"/>
                <w:color w:val="auto"/>
                <w:kern w:val="0"/>
                <w:sz w:val="24"/>
                <w:szCs w:val="24"/>
                <w:lang w:val="en-US" w:eastAsia="zh-CN" w:bidi="ar-SA"/>
              </w:rPr>
              <w:t>鸡西市城子河铁城煤矿</w:t>
            </w:r>
            <w:r>
              <w:rPr>
                <w:rFonts w:hint="eastAsia" w:ascii="Times New Roman" w:hAnsi="Times New Roman" w:eastAsia="宋体" w:cs="Times New Roman"/>
                <w:color w:val="auto"/>
                <w:kern w:val="0"/>
                <w:sz w:val="24"/>
                <w:szCs w:val="24"/>
                <w:lang w:val="en-US" w:eastAsia="zh-CN" w:bidi="ar-SA"/>
              </w:rPr>
              <w:t>资源整合工程项目竣工环境保护验收调查报告》中可知，</w:t>
            </w:r>
            <w:r>
              <w:rPr>
                <w:rFonts w:hint="eastAsia" w:ascii="Times New Roman" w:hAnsi="Times New Roman" w:eastAsia="宋体" w:cs="Times New Roman"/>
                <w:color w:val="auto"/>
                <w:kern w:val="0"/>
                <w:sz w:val="24"/>
                <w:szCs w:val="24"/>
                <w:highlight w:val="none"/>
                <w:lang w:val="en-US" w:eastAsia="zh-CN" w:bidi="ar-SA"/>
              </w:rPr>
              <w:t>项目原有员工生活</w:t>
            </w:r>
            <w:r>
              <w:rPr>
                <w:rFonts w:hint="eastAsia" w:cs="Times New Roman"/>
                <w:color w:val="auto"/>
                <w:kern w:val="0"/>
                <w:sz w:val="24"/>
                <w:szCs w:val="24"/>
                <w:highlight w:val="none"/>
                <w:lang w:val="en-US" w:eastAsia="zh-CN" w:bidi="ar-SA"/>
              </w:rPr>
              <w:t>污</w:t>
            </w:r>
            <w:r>
              <w:rPr>
                <w:rFonts w:hint="eastAsia" w:ascii="Times New Roman" w:hAnsi="Times New Roman" w:eastAsia="宋体" w:cs="Times New Roman"/>
                <w:color w:val="auto"/>
                <w:kern w:val="0"/>
                <w:sz w:val="24"/>
                <w:szCs w:val="24"/>
                <w:highlight w:val="none"/>
                <w:lang w:val="en-US" w:eastAsia="zh-CN" w:bidi="ar-SA"/>
              </w:rPr>
              <w:t>水</w:t>
            </w:r>
            <w:r>
              <w:rPr>
                <w:rFonts w:hint="eastAsia" w:cs="Times New Roman"/>
                <w:color w:val="auto"/>
                <w:kern w:val="0"/>
                <w:sz w:val="24"/>
                <w:szCs w:val="24"/>
                <w:highlight w:val="none"/>
                <w:lang w:val="en-US" w:eastAsia="zh-CN" w:bidi="ar-SA"/>
              </w:rPr>
              <w:t>产生</w:t>
            </w:r>
            <w:r>
              <w:rPr>
                <w:rFonts w:hint="eastAsia" w:ascii="Times New Roman" w:hAnsi="Times New Roman" w:eastAsia="宋体" w:cs="Times New Roman"/>
                <w:color w:val="auto"/>
                <w:kern w:val="0"/>
                <w:sz w:val="24"/>
                <w:szCs w:val="24"/>
                <w:highlight w:val="none"/>
                <w:lang w:val="en-US" w:eastAsia="zh-CN" w:bidi="ar-SA"/>
              </w:rPr>
              <w:t>量为</w:t>
            </w:r>
            <w:r>
              <w:rPr>
                <w:rFonts w:hint="eastAsia" w:cs="Times New Roman"/>
                <w:color w:val="auto"/>
                <w:kern w:val="0"/>
                <w:sz w:val="24"/>
                <w:szCs w:val="24"/>
                <w:highlight w:val="none"/>
                <w:lang w:val="en-US" w:eastAsia="zh-CN" w:bidi="ar-SA"/>
              </w:rPr>
              <w:t>58.24m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/d，</w:t>
            </w:r>
            <w:r>
              <w:rPr>
                <w:rFonts w:hint="eastAsia" w:cs="Times New Roman"/>
                <w:color w:val="auto"/>
                <w:kern w:val="0"/>
                <w:sz w:val="24"/>
                <w:szCs w:val="24"/>
                <w:highlight w:val="none"/>
                <w:lang w:val="en-US" w:eastAsia="zh-CN" w:bidi="ar-SA"/>
              </w:rPr>
              <w:t>19219.2m</w:t>
            </w:r>
            <w:r>
              <w:rPr>
                <w:rFonts w:hint="eastAsia" w:cs="Times New Roman"/>
                <w:color w:val="auto"/>
                <w:kern w:val="0"/>
                <w:sz w:val="24"/>
                <w:szCs w:val="24"/>
                <w:highlight w:val="none"/>
                <w:vertAlign w:val="superscript"/>
                <w:lang w:val="en-US" w:eastAsia="zh-CN" w:bidi="ar-SA"/>
              </w:rPr>
              <w:t>3</w:t>
            </w:r>
            <w:r>
              <w:rPr>
                <w:rFonts w:hint="eastAsia" w:ascii="Times New Roman" w:hAnsi="Times New Roman" w:eastAsia="宋体" w:cs="Times New Roman"/>
                <w:color w:val="auto"/>
                <w:kern w:val="0"/>
                <w:sz w:val="24"/>
                <w:szCs w:val="24"/>
                <w:highlight w:val="none"/>
                <w:lang w:val="en-US" w:eastAsia="zh-CN" w:bidi="ar-SA"/>
              </w:rPr>
              <w:t>/a；</w:t>
            </w:r>
            <w:r>
              <w:rPr>
                <w:rFonts w:hint="eastAsia" w:cs="Times New Roman"/>
                <w:color w:val="auto"/>
                <w:sz w:val="24"/>
                <w:szCs w:val="24"/>
                <w:highlight w:val="none"/>
                <w:lang w:val="en-US" w:eastAsia="zh-CN"/>
              </w:rPr>
              <w:t>生活污水经一体化设备处理后，达标后排入地面静压水池供井下消尘用水，废水不外排。</w:t>
            </w:r>
          </w:p>
          <w:p w14:paraId="09978AE7">
            <w:pPr>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水平衡见图2-1。</w:t>
            </w:r>
          </w:p>
          <w:p w14:paraId="1D2566B8">
            <w:pPr>
              <w:spacing w:line="360" w:lineRule="auto"/>
              <w:jc w:val="center"/>
              <w:rPr>
                <w:rFonts w:hint="eastAsia" w:cs="Times New Roman"/>
                <w:color w:val="auto"/>
                <w:sz w:val="24"/>
                <w:szCs w:val="24"/>
                <w:lang w:val="en-US" w:eastAsia="zh-CN"/>
              </w:rPr>
            </w:pPr>
            <w:r>
              <w:rPr>
                <w:rFonts w:hint="eastAsia" w:ascii="Times New Roman" w:hAnsi="Times New Roman" w:eastAsia="宋体" w:cs="Times New Roman"/>
                <w:color w:val="auto"/>
                <w:kern w:val="2"/>
                <w:sz w:val="24"/>
                <w:szCs w:val="24"/>
                <w:highlight w:val="none"/>
                <w:lang w:val="en-US" w:eastAsia="zh-CN" w:bidi="ar-SA"/>
              </w:rPr>
              <w:object>
                <v:shape id="_x0000_i1025" o:spt="75" type="#_x0000_t75" style="height:203.6pt;width:346.6pt;" o:ole="t" filled="f" o:preferrelative="t" stroked="f" coordsize="21600,21600">
                  <v:path/>
                  <v:fill on="f" focussize="0,0"/>
                  <v:stroke on="f"/>
                  <v:imagedata r:id="rId14" o:title=""/>
                  <o:lock v:ext="edit" aspectratio="t"/>
                  <w10:wrap type="none"/>
                  <w10:anchorlock/>
                </v:shape>
                <o:OLEObject Type="Embed" ProgID="Visio.Drawing.11" ShapeID="_x0000_i1025" DrawAspect="Content" ObjectID="_1468075725" r:id="rId13">
                  <o:LockedField>false</o:LockedField>
                </o:OLEObject>
              </w:object>
            </w:r>
          </w:p>
          <w:p w14:paraId="717E5FD6">
            <w:pPr>
              <w:pStyle w:val="41"/>
              <w:jc w:val="center"/>
              <w:rPr>
                <w:rFonts w:hint="default" w:ascii="Times New Roman" w:hAnsi="Times New Roman" w:eastAsia="宋体" w:cs="Times New Roman"/>
                <w:color w:val="auto"/>
                <w:kern w:val="0"/>
                <w:sz w:val="24"/>
                <w:szCs w:val="24"/>
                <w:highlight w:val="none"/>
                <w:lang w:val="en-US" w:eastAsia="zh-CN" w:bidi="ar-SA"/>
              </w:rPr>
            </w:pPr>
            <w:r>
              <w:rPr>
                <w:rFonts w:hint="eastAsia" w:cs="Times New Roman"/>
                <w:b/>
                <w:bCs/>
                <w:color w:val="auto"/>
                <w:sz w:val="24"/>
                <w:szCs w:val="24"/>
                <w:highlight w:val="none"/>
                <w:lang w:val="en-US" w:eastAsia="zh-CN"/>
              </w:rPr>
              <w:t>图2-1 改扩建后全厂水平衡图  单位：t/d</w:t>
            </w:r>
          </w:p>
          <w:p w14:paraId="53FEEB5C">
            <w:p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w:t>
            </w:r>
            <w:r>
              <w:rPr>
                <w:rFonts w:hint="default" w:ascii="Times New Roman" w:hAnsi="Times New Roman" w:cs="Times New Roman"/>
                <w:color w:val="auto"/>
                <w:kern w:val="0"/>
                <w:sz w:val="24"/>
                <w:szCs w:val="24"/>
                <w:lang w:val="en-US" w:eastAsia="zh-CN" w:bidi="ar-SA"/>
              </w:rPr>
              <w:t>3</w:t>
            </w:r>
            <w:r>
              <w:rPr>
                <w:rFonts w:hint="default" w:ascii="Times New Roman" w:hAnsi="Times New Roman" w:eastAsia="宋体" w:cs="Times New Roman"/>
                <w:color w:val="auto"/>
                <w:kern w:val="0"/>
                <w:sz w:val="24"/>
                <w:szCs w:val="24"/>
                <w:lang w:val="en-US" w:eastAsia="zh-CN" w:bidi="ar-SA"/>
              </w:rPr>
              <w:t>）供电</w:t>
            </w:r>
            <w:r>
              <w:rPr>
                <w:rFonts w:hint="default" w:ascii="Times New Roman" w:hAnsi="Times New Roman" w:cs="Times New Roman"/>
                <w:color w:val="auto"/>
                <w:kern w:val="0"/>
                <w:sz w:val="24"/>
                <w:szCs w:val="24"/>
                <w:lang w:val="en-US" w:eastAsia="zh-CN" w:bidi="ar-SA"/>
              </w:rPr>
              <w:t xml:space="preserve"> </w:t>
            </w:r>
          </w:p>
          <w:p w14:paraId="0815B8EF">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eastAsia" w:cs="Times New Roman"/>
                <w:color w:val="auto"/>
                <w:kern w:val="0"/>
                <w:sz w:val="24"/>
                <w:szCs w:val="24"/>
                <w:lang w:val="en-US" w:eastAsia="zh-CN"/>
              </w:rPr>
              <w:t>依托厂区现有供电系统（由城子河变电所和立井变电所供电）</w:t>
            </w:r>
          </w:p>
          <w:p w14:paraId="66C1997E">
            <w:pPr>
              <w:spacing w:line="360" w:lineRule="auto"/>
              <w:ind w:firstLine="480" w:firstLineChars="200"/>
              <w:rPr>
                <w:rFonts w:hint="default" w:ascii="Times New Roman" w:hAnsi="Times New Roman" w:eastAsia="宋体" w:cs="Times New Roman"/>
                <w:color w:val="auto"/>
                <w:kern w:val="0"/>
                <w:sz w:val="24"/>
                <w:szCs w:val="24"/>
                <w:lang w:val="en-US" w:eastAsia="zh-CN"/>
              </w:rPr>
            </w:pP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4</w:t>
            </w:r>
            <w:r>
              <w:rPr>
                <w:rFonts w:hint="default" w:ascii="Times New Roman" w:hAnsi="Times New Roman" w:eastAsia="宋体" w:cs="Times New Roman"/>
                <w:color w:val="auto"/>
                <w:kern w:val="0"/>
                <w:sz w:val="24"/>
                <w:szCs w:val="24"/>
                <w:lang w:val="en-US" w:eastAsia="zh-CN"/>
              </w:rPr>
              <w:t>）</w:t>
            </w:r>
            <w:r>
              <w:rPr>
                <w:rFonts w:hint="default" w:ascii="Times New Roman" w:hAnsi="Times New Roman" w:cs="Times New Roman"/>
                <w:color w:val="auto"/>
                <w:kern w:val="0"/>
                <w:sz w:val="24"/>
                <w:szCs w:val="24"/>
                <w:lang w:val="en-US" w:eastAsia="zh-CN"/>
              </w:rPr>
              <w:t>供暖</w:t>
            </w:r>
          </w:p>
          <w:p w14:paraId="52343FBD">
            <w:pPr>
              <w:spacing w:line="360" w:lineRule="auto"/>
              <w:ind w:firstLine="480" w:firstLineChars="200"/>
              <w:rPr>
                <w:rFonts w:hint="eastAsia" w:cs="Times New Roman"/>
                <w:color w:val="auto"/>
                <w:kern w:val="0"/>
                <w:sz w:val="24"/>
                <w:szCs w:val="24"/>
                <w:highlight w:val="none"/>
                <w:lang w:val="en-US" w:eastAsia="zh-CN"/>
              </w:rPr>
            </w:pPr>
            <w:r>
              <w:rPr>
                <w:rFonts w:hint="eastAsia" w:cs="Times New Roman"/>
                <w:color w:val="auto"/>
                <w:kern w:val="0"/>
                <w:sz w:val="24"/>
                <w:szCs w:val="24"/>
                <w:lang w:val="en-US" w:eastAsia="zh-CN"/>
              </w:rPr>
              <w:t>生产供热：项目建设一台5</w:t>
            </w:r>
            <w:r>
              <w:rPr>
                <w:rFonts w:hint="default" w:ascii="Times New Roman" w:hAnsi="Times New Roman" w:cs="Times New Roman"/>
                <w:color w:val="auto"/>
                <w:kern w:val="0"/>
                <w:sz w:val="24"/>
                <w:szCs w:val="24"/>
                <w:lang w:val="en-US" w:eastAsia="zh-CN"/>
              </w:rPr>
              <w:t>t/h</w:t>
            </w:r>
            <w:r>
              <w:rPr>
                <w:rFonts w:hint="eastAsia" w:cs="Times New Roman"/>
                <w:color w:val="auto"/>
                <w:kern w:val="0"/>
                <w:sz w:val="24"/>
                <w:szCs w:val="24"/>
                <w:lang w:val="en-US" w:eastAsia="zh-CN"/>
              </w:rPr>
              <w:t>热风炉用于矿井加热，</w:t>
            </w:r>
            <w:r>
              <w:rPr>
                <w:rFonts w:hint="eastAsia" w:cs="Times New Roman"/>
                <w:color w:val="auto"/>
                <w:kern w:val="0"/>
                <w:sz w:val="24"/>
                <w:szCs w:val="24"/>
                <w:highlight w:val="none"/>
                <w:lang w:val="en-US" w:eastAsia="zh-CN"/>
              </w:rPr>
              <w:t>年运行120d，每日运行16h；</w:t>
            </w:r>
          </w:p>
          <w:p w14:paraId="04B915E8">
            <w:pPr>
              <w:spacing w:line="360" w:lineRule="auto"/>
              <w:ind w:firstLine="480" w:firstLineChars="200"/>
              <w:rPr>
                <w:rFonts w:hint="eastAsia" w:ascii="Times New Roman" w:hAnsi="Times New Roman" w:eastAsia="宋体" w:cs="Times New Roman"/>
                <w:color w:val="auto"/>
                <w:kern w:val="0"/>
                <w:sz w:val="24"/>
                <w:szCs w:val="24"/>
                <w:lang w:val="en-US" w:eastAsia="zh-CN" w:bidi="ar-SA"/>
              </w:rPr>
            </w:pPr>
            <w:r>
              <w:rPr>
                <w:rFonts w:hint="eastAsia" w:ascii="Times New Roman" w:hAnsi="Times New Roman" w:eastAsia="宋体" w:cs="Times New Roman"/>
                <w:color w:val="auto"/>
                <w:kern w:val="0"/>
                <w:sz w:val="24"/>
                <w:szCs w:val="24"/>
                <w:lang w:val="en-US" w:eastAsia="zh-CN" w:bidi="ar-SA"/>
              </w:rPr>
              <w:t>生活供热：利用</w:t>
            </w:r>
            <w:r>
              <w:rPr>
                <w:rFonts w:hint="eastAsia" w:cs="Times New Roman"/>
                <w:color w:val="auto"/>
                <w:kern w:val="0"/>
                <w:sz w:val="24"/>
                <w:szCs w:val="24"/>
                <w:lang w:val="en-US" w:eastAsia="zh-CN" w:bidi="ar-SA"/>
              </w:rPr>
              <w:t>电</w:t>
            </w:r>
            <w:r>
              <w:rPr>
                <w:rFonts w:hint="eastAsia" w:ascii="Times New Roman" w:hAnsi="Times New Roman" w:eastAsia="宋体" w:cs="Times New Roman"/>
                <w:color w:val="auto"/>
                <w:kern w:val="0"/>
                <w:sz w:val="24"/>
                <w:szCs w:val="24"/>
                <w:lang w:val="en-US" w:eastAsia="zh-CN" w:bidi="ar-SA"/>
              </w:rPr>
              <w:t>锅炉供热。</w:t>
            </w:r>
          </w:p>
          <w:p w14:paraId="69B90A1C">
            <w:pPr>
              <w:pStyle w:val="62"/>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2" w:firstLineChars="200"/>
              <w:textAlignment w:val="auto"/>
              <w:rPr>
                <w:rFonts w:hint="default" w:cs="Times New Roman"/>
                <w:b/>
                <w:color w:val="auto"/>
                <w:kern w:val="2"/>
                <w:sz w:val="24"/>
                <w:szCs w:val="24"/>
                <w:lang w:val="en-US" w:eastAsia="zh-CN" w:bidi="ar-SA"/>
              </w:rPr>
            </w:pPr>
            <w:r>
              <w:rPr>
                <w:rFonts w:hint="eastAsia" w:cs="Times New Roman"/>
                <w:b/>
                <w:color w:val="auto"/>
                <w:kern w:val="2"/>
                <w:sz w:val="24"/>
                <w:szCs w:val="24"/>
                <w:lang w:val="en-US" w:eastAsia="zh-CN" w:bidi="ar-SA"/>
              </w:rPr>
              <w:t>8、依托工程</w:t>
            </w:r>
          </w:p>
          <w:p w14:paraId="6A999352">
            <w:pPr>
              <w:spacing w:line="360" w:lineRule="auto"/>
              <w:ind w:firstLine="480" w:firstLineChars="200"/>
              <w:rPr>
                <w:rFonts w:hint="eastAsia" w:cs="Times New Roman"/>
                <w:color w:val="auto"/>
                <w:kern w:val="0"/>
                <w:sz w:val="24"/>
                <w:szCs w:val="24"/>
                <w:lang w:val="en-US" w:eastAsia="zh-CN"/>
              </w:rPr>
            </w:pPr>
            <w:r>
              <w:rPr>
                <w:rFonts w:hint="default" w:cs="Times New Roman"/>
                <w:color w:val="auto"/>
                <w:kern w:val="0"/>
                <w:sz w:val="24"/>
                <w:szCs w:val="24"/>
                <w:lang w:val="en-US" w:eastAsia="zh-CN"/>
              </w:rPr>
              <w:t>本项目用水依托厂区内</w:t>
            </w:r>
            <w:r>
              <w:rPr>
                <w:rFonts w:hint="eastAsia" w:cs="Times New Roman"/>
                <w:color w:val="auto"/>
                <w:kern w:val="0"/>
                <w:sz w:val="24"/>
                <w:szCs w:val="24"/>
                <w:lang w:val="en-US" w:eastAsia="zh-CN"/>
              </w:rPr>
              <w:t>现有</w:t>
            </w:r>
            <w:r>
              <w:rPr>
                <w:rFonts w:hint="default" w:cs="Times New Roman"/>
                <w:color w:val="auto"/>
                <w:kern w:val="0"/>
                <w:sz w:val="24"/>
                <w:szCs w:val="24"/>
                <w:lang w:val="en-US" w:eastAsia="zh-CN"/>
              </w:rPr>
              <w:t>井水，本项目无新增工作人员，</w:t>
            </w:r>
            <w:r>
              <w:rPr>
                <w:rFonts w:hint="eastAsia" w:cs="Times New Roman"/>
                <w:color w:val="auto"/>
                <w:kern w:val="0"/>
                <w:sz w:val="24"/>
                <w:szCs w:val="24"/>
                <w:lang w:val="en-US" w:eastAsia="zh-CN"/>
              </w:rPr>
              <w:t>不新增用水负荷，供水依托现有工程可行。</w:t>
            </w:r>
          </w:p>
          <w:p w14:paraId="06B51846">
            <w:pPr>
              <w:spacing w:line="360" w:lineRule="auto"/>
              <w:ind w:firstLine="480" w:firstLineChars="200"/>
              <w:rPr>
                <w:rFonts w:hint="default" w:ascii="Times New Roman" w:hAnsi="Times New Roman" w:eastAsia="宋体" w:cs="Times New Roman"/>
                <w:bCs/>
                <w:color w:val="auto"/>
                <w:szCs w:val="21"/>
                <w:lang w:val="en-US" w:eastAsia="zh-CN"/>
              </w:rPr>
            </w:pPr>
            <w:r>
              <w:rPr>
                <w:rFonts w:hint="eastAsia" w:cs="Times New Roman"/>
                <w:color w:val="auto"/>
                <w:kern w:val="0"/>
                <w:sz w:val="24"/>
                <w:szCs w:val="24"/>
                <w:highlight w:val="none"/>
                <w:lang w:val="en-US" w:eastAsia="zh-CN"/>
              </w:rPr>
              <w:t>本项目供电</w:t>
            </w:r>
            <w:r>
              <w:rPr>
                <w:rFonts w:hint="default" w:cs="Times New Roman"/>
                <w:color w:val="auto"/>
                <w:kern w:val="0"/>
                <w:sz w:val="24"/>
                <w:szCs w:val="24"/>
                <w:highlight w:val="none"/>
                <w:lang w:val="en-US" w:eastAsia="zh-CN"/>
              </w:rPr>
              <w:t>依托厂区现有供电系统</w:t>
            </w:r>
            <w:r>
              <w:rPr>
                <w:rFonts w:hint="eastAsia" w:cs="Times New Roman"/>
                <w:color w:val="auto"/>
                <w:kern w:val="0"/>
                <w:sz w:val="24"/>
                <w:szCs w:val="24"/>
                <w:highlight w:val="none"/>
                <w:lang w:val="en-US" w:eastAsia="zh-CN"/>
              </w:rPr>
              <w:t>。</w:t>
            </w:r>
          </w:p>
        </w:tc>
      </w:tr>
      <w:tr w14:paraId="1420D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1" w:hRule="atLeast"/>
          <w:jc w:val="center"/>
        </w:trPr>
        <w:tc>
          <w:tcPr>
            <w:tcW w:w="823" w:type="dxa"/>
            <w:noWrap w:val="0"/>
            <w:vAlign w:val="center"/>
          </w:tcPr>
          <w:p w14:paraId="711F7473">
            <w:pPr>
              <w:pStyle w:val="26"/>
              <w:adjustRightInd w:val="0"/>
              <w:snapToGrid w:val="0"/>
              <w:spacing w:before="0" w:beforeAutospacing="0" w:after="0" w:afterAutospacing="0"/>
              <w:jc w:val="center"/>
              <w:rPr>
                <w:rFonts w:hint="default" w:ascii="Times New Roman" w:hAnsi="Times New Roman" w:cs="Times New Roman"/>
                <w:color w:val="auto"/>
                <w:sz w:val="21"/>
                <w:szCs w:val="21"/>
              </w:rPr>
            </w:pPr>
            <w:r>
              <w:rPr>
                <w:rFonts w:hint="default" w:ascii="Times New Roman" w:hAnsi="Times New Roman" w:cs="Times New Roman"/>
                <w:color w:val="auto"/>
                <w:sz w:val="24"/>
                <w:szCs w:val="24"/>
                <w:lang w:eastAsia="zh-CN"/>
              </w:rPr>
              <w:t>施工期工艺</w:t>
            </w:r>
            <w:r>
              <w:rPr>
                <w:rFonts w:hint="default" w:ascii="Times New Roman" w:hAnsi="Times New Roman" w:cs="Times New Roman"/>
                <w:color w:val="auto"/>
                <w:sz w:val="24"/>
                <w:szCs w:val="24"/>
              </w:rPr>
              <w:t>流程和产排污环节</w:t>
            </w:r>
          </w:p>
        </w:tc>
        <w:tc>
          <w:tcPr>
            <w:tcW w:w="8161" w:type="dxa"/>
            <w:noWrap w:val="0"/>
            <w:vAlign w:val="top"/>
          </w:tcPr>
          <w:p w14:paraId="499C2BF1">
            <w:pPr>
              <w:rPr>
                <w:rFonts w:hint="default" w:ascii="Times New Roman" w:hAnsi="Times New Roman" w:cs="Times New Roman"/>
                <w:b/>
                <w:bCs/>
                <w:color w:val="auto"/>
                <w:sz w:val="24"/>
                <w:szCs w:val="24"/>
              </w:rPr>
            </w:pPr>
            <w:r>
              <w:rPr>
                <w:rFonts w:hint="default" w:ascii="Times New Roman" w:hAnsi="Times New Roman" w:cs="Times New Roman"/>
                <w:b/>
                <w:bCs/>
                <w:color w:val="auto"/>
                <w:sz w:val="24"/>
                <w:szCs w:val="24"/>
              </w:rPr>
              <w:t>施工期工程分析</w:t>
            </w:r>
          </w:p>
          <w:p w14:paraId="71083C8A">
            <w:pPr>
              <w:jc w:val="center"/>
              <w:rPr>
                <w:rFonts w:hint="default" w:ascii="Times New Roman" w:hAnsi="Times New Roman" w:cs="Times New Roman"/>
                <w:color w:val="auto"/>
                <w:sz w:val="24"/>
              </w:rPr>
            </w:pPr>
            <w:r>
              <w:rPr>
                <w:rFonts w:hint="eastAsia"/>
                <w:color w:val="auto"/>
              </w:rPr>
              <w:object>
                <v:shape id="_x0000_i1026" o:spt="75" type="#_x0000_t75" style="height:121.25pt;width:383.75pt;" o:ole="t" filled="f" o:preferrelative="t" stroked="f" coordsize="21600,21600">
                  <v:path/>
                  <v:fill on="f" focussize="0,0"/>
                  <v:stroke on="f"/>
                  <v:imagedata r:id="rId16" o:title=""/>
                  <o:lock v:ext="edit" aspectratio="t"/>
                  <w10:wrap type="none"/>
                  <w10:anchorlock/>
                </v:shape>
                <o:OLEObject Type="Embed" ProgID="Visio.Drawing.11" ShapeID="_x0000_i1026" DrawAspect="Content" ObjectID="_1468075726" r:id="rId15">
                  <o:LockedField>false</o:LockedField>
                </o:OLEObject>
              </w:object>
            </w:r>
          </w:p>
          <w:p w14:paraId="571A60DB">
            <w:pPr>
              <w:jc w:val="center"/>
              <w:rPr>
                <w:rFonts w:hint="default" w:ascii="Times New Roman" w:hAnsi="Times New Roman" w:cs="Times New Roman"/>
                <w:b/>
                <w:color w:val="auto"/>
                <w:sz w:val="21"/>
                <w:szCs w:val="21"/>
              </w:rPr>
            </w:pPr>
          </w:p>
          <w:p w14:paraId="5228D0F0">
            <w:pPr>
              <w:jc w:val="center"/>
              <w:rPr>
                <w:rFonts w:hint="default" w:ascii="Times New Roman" w:hAnsi="Times New Roman" w:cs="Times New Roman"/>
                <w:color w:val="auto"/>
                <w:sz w:val="24"/>
                <w:szCs w:val="24"/>
              </w:rPr>
            </w:pPr>
            <w:r>
              <w:rPr>
                <w:rFonts w:hint="default" w:ascii="Times New Roman" w:hAnsi="Times New Roman" w:cs="Times New Roman"/>
                <w:b/>
                <w:color w:val="auto"/>
                <w:sz w:val="24"/>
                <w:szCs w:val="24"/>
              </w:rPr>
              <w:t>图</w:t>
            </w:r>
            <w:r>
              <w:rPr>
                <w:rFonts w:hint="default" w:ascii="Times New Roman" w:hAnsi="Times New Roman" w:cs="Times New Roman"/>
                <w:b/>
                <w:color w:val="auto"/>
                <w:sz w:val="24"/>
                <w:szCs w:val="24"/>
                <w:lang w:val="en-US" w:eastAsia="zh-CN"/>
              </w:rPr>
              <w:t>2-2</w:t>
            </w:r>
            <w:r>
              <w:rPr>
                <w:rFonts w:hint="default" w:ascii="Times New Roman" w:hAnsi="Times New Roman" w:cs="Times New Roman"/>
                <w:b/>
                <w:color w:val="auto"/>
                <w:sz w:val="24"/>
                <w:szCs w:val="24"/>
              </w:rPr>
              <w:t>施工期工艺流程图</w:t>
            </w:r>
          </w:p>
          <w:p w14:paraId="2D3BE801">
            <w:pPr>
              <w:spacing w:line="360" w:lineRule="auto"/>
              <w:ind w:firstLine="482" w:firstLineChars="200"/>
              <w:rPr>
                <w:rFonts w:hint="default" w:ascii="Times New Roman" w:hAnsi="Times New Roman" w:cs="Times New Roman"/>
                <w:b/>
                <w:color w:val="auto"/>
                <w:sz w:val="24"/>
                <w:lang w:val="en-US" w:eastAsia="zh-CN"/>
              </w:rPr>
            </w:pPr>
          </w:p>
          <w:p w14:paraId="3AC625C3">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1、</w:t>
            </w:r>
            <w:r>
              <w:rPr>
                <w:rFonts w:hint="default" w:ascii="Times New Roman" w:hAnsi="Times New Roman" w:cs="Times New Roman"/>
                <w:b/>
                <w:color w:val="auto"/>
                <w:sz w:val="24"/>
              </w:rPr>
              <w:t>环境空气</w:t>
            </w:r>
          </w:p>
          <w:p w14:paraId="1F828533">
            <w:pPr>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rPr>
              <w:t>施工扬尘来自于土地清理，大部分是由车辆在工地的来往行驶引起的。扬尘的排放与施工场地的面积和施工活动频率成比例，与土壤的泥沙颗粒含量成正比的，还与当地气象条件如风速、湿度、日照等有关。施工期的扬尘按同类项目的监测数据进行类比分析计算，施工工地扬尘浓度约为0.5～0.7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p>
          <w:p w14:paraId="21D581FF">
            <w:pPr>
              <w:tabs>
                <w:tab w:val="left" w:pos="2760"/>
              </w:tabs>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2、</w:t>
            </w:r>
            <w:r>
              <w:rPr>
                <w:rFonts w:hint="default" w:ascii="Times New Roman" w:hAnsi="Times New Roman" w:cs="Times New Roman"/>
                <w:b/>
                <w:color w:val="auto"/>
                <w:sz w:val="24"/>
              </w:rPr>
              <w:t>水环境</w:t>
            </w:r>
            <w:r>
              <w:rPr>
                <w:rFonts w:hint="default" w:ascii="Times New Roman" w:hAnsi="Times New Roman" w:cs="Times New Roman"/>
                <w:b/>
                <w:color w:val="auto"/>
                <w:sz w:val="24"/>
              </w:rPr>
              <w:tab/>
            </w:r>
          </w:p>
          <w:p w14:paraId="0FC80CAC">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施工期项目劳动定员</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人，根据</w:t>
            </w:r>
            <w:r>
              <w:rPr>
                <w:rFonts w:hint="default" w:ascii="Times New Roman" w:hAnsi="Times New Roman" w:eastAsia="宋体" w:cs="Times New Roman"/>
                <w:color w:val="auto"/>
                <w:kern w:val="0"/>
                <w:sz w:val="24"/>
              </w:rPr>
              <w:t>黑龙江省地方标准第四版《用水定额》（DB23/T 727-2025）</w:t>
            </w:r>
            <w:r>
              <w:rPr>
                <w:rFonts w:hint="default" w:ascii="Times New Roman" w:hAnsi="Times New Roman" w:eastAsia="宋体" w:cs="Times New Roman"/>
                <w:color w:val="auto"/>
                <w:sz w:val="24"/>
                <w:szCs w:val="24"/>
                <w:highlight w:val="none"/>
                <w:lang w:val="en-US" w:eastAsia="zh-CN"/>
              </w:rPr>
              <w:t>规定的用水量，按照</w:t>
            </w:r>
            <w:r>
              <w:rPr>
                <w:rFonts w:hint="eastAsia"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val="en-US" w:eastAsia="zh-CN"/>
              </w:rPr>
              <w:t>L/（人•d）计算，</w:t>
            </w:r>
            <w:r>
              <w:rPr>
                <w:rFonts w:hint="eastAsia" w:cs="Times New Roman"/>
                <w:color w:val="auto"/>
                <w:sz w:val="24"/>
                <w:szCs w:val="24"/>
                <w:highlight w:val="none"/>
                <w:lang w:val="en-US" w:eastAsia="zh-CN"/>
              </w:rPr>
              <w:t>施工期90天。</w:t>
            </w:r>
            <w:r>
              <w:rPr>
                <w:rFonts w:hint="default" w:ascii="Times New Roman" w:hAnsi="Times New Roman" w:eastAsia="宋体" w:cs="Times New Roman"/>
                <w:color w:val="auto"/>
                <w:sz w:val="24"/>
                <w:szCs w:val="24"/>
                <w:highlight w:val="none"/>
                <w:lang w:val="en-US" w:eastAsia="zh-CN"/>
              </w:rPr>
              <w:t>用水量为0.</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，36t/a</w:t>
            </w:r>
            <w:r>
              <w:rPr>
                <w:rFonts w:hint="default" w:ascii="Times New Roman" w:hAnsi="Times New Roman" w:cs="Times New Roman"/>
                <w:color w:val="auto"/>
                <w:sz w:val="24"/>
                <w:lang w:val="en-US" w:eastAsia="zh-CN"/>
              </w:rPr>
              <w:t>；</w:t>
            </w:r>
            <w:r>
              <w:rPr>
                <w:rFonts w:hint="default" w:ascii="Times New Roman" w:hAnsi="Times New Roman" w:eastAsia="宋体" w:cs="Times New Roman"/>
                <w:color w:val="auto"/>
                <w:sz w:val="24"/>
                <w:szCs w:val="24"/>
                <w:highlight w:val="none"/>
                <w:lang w:val="en-US" w:eastAsia="zh-CN"/>
              </w:rPr>
              <w:t>排水量约为用水量的80%，生活污水的排放量为0.</w:t>
            </w:r>
            <w:r>
              <w:rPr>
                <w:rFonts w:hint="eastAsia"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28.8</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cs="Times New Roman"/>
                <w:color w:val="auto"/>
                <w:sz w:val="24"/>
                <w:szCs w:val="24"/>
                <w:highlight w:val="none"/>
                <w:lang w:val="en-US" w:eastAsia="zh-CN"/>
              </w:rPr>
              <w:t>施工期</w:t>
            </w:r>
            <w:r>
              <w:rPr>
                <w:rFonts w:hint="default" w:ascii="Times New Roman" w:hAnsi="Times New Roman" w:cs="Times New Roman"/>
                <w:color w:val="auto"/>
                <w:sz w:val="24"/>
                <w:highlight w:val="none"/>
                <w:lang w:eastAsia="zh-CN"/>
              </w:rPr>
              <w:t>废水</w:t>
            </w:r>
            <w:r>
              <w:rPr>
                <w:rFonts w:hint="eastAsia" w:cs="Times New Roman"/>
                <w:color w:val="auto"/>
                <w:sz w:val="24"/>
                <w:szCs w:val="24"/>
                <w:highlight w:val="none"/>
                <w:lang w:val="en-US" w:eastAsia="zh-CN"/>
              </w:rPr>
              <w:t>排入生活污水一体化处理设备处理达标后全部回用作为地面降尘和绿化用水</w:t>
            </w:r>
            <w:r>
              <w:rPr>
                <w:rFonts w:hint="default" w:ascii="Times New Roman" w:hAnsi="Times New Roman" w:cs="Times New Roman"/>
                <w:color w:val="auto"/>
                <w:sz w:val="24"/>
                <w:highlight w:val="none"/>
                <w:lang w:eastAsia="zh-CN"/>
              </w:rPr>
              <w:t>。</w:t>
            </w:r>
          </w:p>
          <w:p w14:paraId="2F6DBD6D">
            <w:pPr>
              <w:spacing w:line="360" w:lineRule="auto"/>
              <w:ind w:firstLine="482" w:firstLineChars="200"/>
              <w:rPr>
                <w:rFonts w:hint="default" w:ascii="Times New Roman" w:hAnsi="Times New Roman" w:cs="Times New Roman"/>
                <w:b/>
                <w:color w:val="auto"/>
                <w:sz w:val="24"/>
                <w:highlight w:val="none"/>
              </w:rPr>
            </w:pPr>
            <w:r>
              <w:rPr>
                <w:rFonts w:hint="default" w:ascii="Times New Roman" w:hAnsi="Times New Roman" w:cs="Times New Roman"/>
                <w:b/>
                <w:color w:val="auto"/>
                <w:sz w:val="24"/>
                <w:highlight w:val="none"/>
                <w:lang w:val="en-US" w:eastAsia="zh-CN"/>
              </w:rPr>
              <w:t>3、</w:t>
            </w:r>
            <w:r>
              <w:rPr>
                <w:rFonts w:hint="default" w:ascii="Times New Roman" w:hAnsi="Times New Roman" w:cs="Times New Roman"/>
                <w:b/>
                <w:color w:val="auto"/>
                <w:sz w:val="24"/>
                <w:highlight w:val="none"/>
              </w:rPr>
              <w:t>噪声</w:t>
            </w:r>
          </w:p>
          <w:p w14:paraId="2868D557">
            <w:pPr>
              <w:spacing w:line="360" w:lineRule="auto"/>
              <w:ind w:firstLine="480" w:firstLineChars="200"/>
              <w:rPr>
                <w:rFonts w:hint="default" w:ascii="Times New Roman" w:hAnsi="Times New Roman" w:cs="Times New Roman"/>
                <w:color w:val="auto"/>
              </w:rPr>
            </w:pPr>
            <w:r>
              <w:rPr>
                <w:rFonts w:hint="default" w:ascii="Times New Roman" w:hAnsi="Times New Roman" w:cs="Times New Roman"/>
                <w:color w:val="auto"/>
                <w:sz w:val="24"/>
              </w:rPr>
              <w:t>施工期噪声主要来自各类施工机械及运输车辆，</w:t>
            </w:r>
            <w:r>
              <w:rPr>
                <w:rFonts w:hint="default" w:ascii="Times New Roman" w:hAnsi="Times New Roman" w:cs="Times New Roman"/>
                <w:color w:val="auto"/>
                <w:sz w:val="24"/>
                <w:highlight w:val="none"/>
                <w:lang w:eastAsia="zh-CN"/>
              </w:rPr>
              <w:t>噪声值</w:t>
            </w:r>
            <w:r>
              <w:rPr>
                <w:rFonts w:hint="default" w:ascii="Times New Roman" w:hAnsi="Times New Roman" w:cs="Times New Roman"/>
                <w:color w:val="auto"/>
                <w:sz w:val="24"/>
                <w:highlight w:val="none"/>
              </w:rPr>
              <w:t>一般为70~90dB(A)</w:t>
            </w:r>
            <w:r>
              <w:rPr>
                <w:rFonts w:hint="default" w:ascii="Times New Roman" w:hAnsi="Times New Roman" w:cs="Times New Roman"/>
                <w:color w:val="auto"/>
                <w:sz w:val="24"/>
              </w:rPr>
              <w:t>，施工期间会对周围环境产生一定的影响，选取低噪声设备，采取减振、隔声措施，</w:t>
            </w:r>
            <w:r>
              <w:rPr>
                <w:rFonts w:hint="eastAsia" w:cs="Times New Roman"/>
                <w:color w:val="auto"/>
                <w:sz w:val="24"/>
                <w:lang w:eastAsia="zh-CN"/>
              </w:rPr>
              <w:t>施工场区内</w:t>
            </w:r>
            <w:r>
              <w:rPr>
                <w:rFonts w:hint="default" w:ascii="Times New Roman" w:hAnsi="Times New Roman" w:cs="Times New Roman"/>
                <w:color w:val="auto"/>
                <w:sz w:val="24"/>
              </w:rPr>
              <w:t>限速行驶。</w:t>
            </w:r>
          </w:p>
          <w:p w14:paraId="467E1F7E">
            <w:pPr>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color w:val="auto"/>
                <w:sz w:val="24"/>
                <w:lang w:val="en-US" w:eastAsia="zh-CN"/>
              </w:rPr>
              <w:t>4、</w:t>
            </w:r>
            <w:r>
              <w:rPr>
                <w:rFonts w:hint="default" w:ascii="Times New Roman" w:hAnsi="Times New Roman" w:cs="Times New Roman"/>
                <w:b/>
                <w:color w:val="auto"/>
                <w:sz w:val="24"/>
              </w:rPr>
              <w:t>固体废物</w:t>
            </w:r>
          </w:p>
          <w:p w14:paraId="473C9227">
            <w:pPr>
              <w:spacing w:line="360" w:lineRule="auto"/>
              <w:ind w:firstLine="480" w:firstLineChars="200"/>
              <w:rPr>
                <w:rFonts w:hint="default" w:ascii="Times New Roman" w:hAnsi="Times New Roman" w:cs="Times New Roman"/>
                <w:bCs/>
                <w:color w:val="auto"/>
                <w:szCs w:val="21"/>
              </w:rPr>
            </w:pPr>
            <w:r>
              <w:rPr>
                <w:rFonts w:hint="default" w:ascii="Times New Roman" w:hAnsi="Times New Roman" w:cs="Times New Roman"/>
                <w:color w:val="auto"/>
                <w:sz w:val="24"/>
              </w:rPr>
              <w:t>固体废物主要为生活垃圾</w:t>
            </w:r>
            <w:r>
              <w:rPr>
                <w:rFonts w:hint="default" w:ascii="Times New Roman" w:hAnsi="Times New Roman" w:cs="Times New Roman"/>
                <w:color w:val="auto"/>
                <w:sz w:val="24"/>
                <w:lang w:eastAsia="zh-CN"/>
              </w:rPr>
              <w:t>和</w:t>
            </w:r>
            <w:r>
              <w:rPr>
                <w:rFonts w:hint="default" w:ascii="Times New Roman" w:hAnsi="Times New Roman" w:cs="Times New Roman"/>
                <w:color w:val="auto"/>
                <w:sz w:val="24"/>
              </w:rPr>
              <w:t>建筑垃圾</w:t>
            </w:r>
            <w:r>
              <w:rPr>
                <w:rFonts w:hint="default" w:ascii="Times New Roman" w:hAnsi="Times New Roman" w:cs="Times New Roman"/>
                <w:color w:val="auto"/>
                <w:sz w:val="24"/>
                <w:highlight w:val="none"/>
              </w:rPr>
              <w:t>，生活垃圾按0.4kg/人·天计算，施工人数为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人，施工期</w:t>
            </w:r>
            <w:r>
              <w:rPr>
                <w:rFonts w:hint="default" w:ascii="Times New Roman" w:hAnsi="Times New Roman" w:cs="Times New Roman"/>
                <w:color w:val="auto"/>
                <w:sz w:val="24"/>
                <w:highlight w:val="none"/>
                <w:lang w:eastAsia="zh-CN"/>
              </w:rPr>
              <w:t>为</w:t>
            </w:r>
            <w:r>
              <w:rPr>
                <w:rFonts w:hint="eastAsia" w:cs="Times New Roman"/>
                <w:color w:val="auto"/>
                <w:sz w:val="24"/>
                <w:highlight w:val="none"/>
                <w:lang w:val="en-US" w:eastAsia="zh-CN"/>
              </w:rPr>
              <w:t>90</w:t>
            </w:r>
            <w:r>
              <w:rPr>
                <w:rFonts w:hint="default" w:ascii="Times New Roman" w:hAnsi="Times New Roman" w:cs="Times New Roman"/>
                <w:color w:val="auto"/>
                <w:sz w:val="24"/>
                <w:highlight w:val="none"/>
                <w:lang w:val="en-US" w:eastAsia="zh-CN"/>
              </w:rPr>
              <w:t>天，</w:t>
            </w:r>
            <w:r>
              <w:rPr>
                <w:rFonts w:hint="default" w:ascii="Times New Roman" w:hAnsi="Times New Roman" w:cs="Times New Roman"/>
                <w:color w:val="auto"/>
                <w:sz w:val="24"/>
                <w:highlight w:val="none"/>
              </w:rPr>
              <w:t>产生量为</w:t>
            </w:r>
            <w:r>
              <w:rPr>
                <w:rFonts w:hint="default" w:ascii="Times New Roman" w:hAnsi="Times New Roman" w:cs="Times New Roman"/>
                <w:color w:val="auto"/>
                <w:sz w:val="24"/>
                <w:highlight w:val="none"/>
                <w:lang w:val="en-US" w:eastAsia="zh-CN"/>
              </w:rPr>
              <w:t>0.00</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t/d，0.1</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val="en-US" w:eastAsia="zh-CN"/>
              </w:rPr>
              <w:t>/a</w:t>
            </w:r>
            <w:r>
              <w:rPr>
                <w:rFonts w:hint="default" w:ascii="Times New Roman" w:hAnsi="Times New Roman" w:cs="Times New Roman"/>
                <w:color w:val="auto"/>
                <w:sz w:val="24"/>
                <w:highlight w:val="none"/>
              </w:rPr>
              <w:t>；建筑垃圾应尽可能利用或及时运送到行政主管部门指定地点；</w:t>
            </w:r>
            <w:r>
              <w:rPr>
                <w:rFonts w:hint="default" w:ascii="Times New Roman" w:hAnsi="Times New Roman" w:cs="Times New Roman"/>
                <w:color w:val="auto"/>
                <w:sz w:val="24"/>
              </w:rPr>
              <w:t>生活垃圾</w:t>
            </w:r>
            <w:r>
              <w:rPr>
                <w:rFonts w:hint="default" w:ascii="Times New Roman" w:hAnsi="Times New Roman" w:cs="Times New Roman"/>
                <w:color w:val="auto"/>
                <w:sz w:val="24"/>
                <w:lang w:eastAsia="zh-CN"/>
              </w:rPr>
              <w:t>集中收集后由环卫部门</w:t>
            </w:r>
            <w:r>
              <w:rPr>
                <w:rFonts w:hint="default" w:ascii="Times New Roman" w:hAnsi="Times New Roman" w:cs="Times New Roman"/>
                <w:color w:val="auto"/>
                <w:sz w:val="24"/>
              </w:rPr>
              <w:t>统一处理</w:t>
            </w:r>
            <w:r>
              <w:rPr>
                <w:rFonts w:hint="default" w:ascii="Times New Roman" w:hAnsi="Times New Roman" w:cs="Times New Roman"/>
                <w:color w:val="auto"/>
                <w:sz w:val="24"/>
                <w:lang w:eastAsia="zh-CN"/>
              </w:rPr>
              <w:t>。</w:t>
            </w:r>
          </w:p>
        </w:tc>
      </w:tr>
      <w:tr w14:paraId="488B3A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noWrap w:val="0"/>
            <w:vAlign w:val="center"/>
          </w:tcPr>
          <w:p w14:paraId="04B9FA4C">
            <w:pPr>
              <w:adjustRightInd w:val="0"/>
              <w:snapToGrid w:val="0"/>
              <w:jc w:val="both"/>
              <w:rPr>
                <w:rFonts w:hint="default" w:ascii="Times New Roman" w:hAnsi="Times New Roman" w:cs="Times New Roman"/>
                <w:color w:val="auto"/>
                <w:sz w:val="24"/>
                <w:szCs w:val="24"/>
                <w:lang w:val="en-US" w:eastAsia="zh-CN"/>
              </w:rPr>
            </w:pPr>
          </w:p>
          <w:p w14:paraId="5D5DBB71">
            <w:pPr>
              <w:adjustRightInd w:val="0"/>
              <w:snapToGrid w:val="0"/>
              <w:jc w:val="center"/>
              <w:rPr>
                <w:rFonts w:hint="default" w:ascii="Times New Roman" w:hAnsi="Times New Roman" w:cs="Times New Roman"/>
                <w:color w:val="auto"/>
                <w:sz w:val="24"/>
                <w:szCs w:val="24"/>
                <w:lang w:val="en-US" w:eastAsia="zh-CN"/>
              </w:rPr>
            </w:pPr>
          </w:p>
          <w:p w14:paraId="68613920">
            <w:pPr>
              <w:adjustRightInd w:val="0"/>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sz w:val="24"/>
                <w:szCs w:val="24"/>
                <w:lang w:val="en-US" w:eastAsia="zh-CN"/>
              </w:rPr>
              <w:t>运营期</w:t>
            </w:r>
            <w:r>
              <w:rPr>
                <w:rFonts w:hint="default" w:ascii="Times New Roman" w:hAnsi="Times New Roman" w:cs="Times New Roman"/>
                <w:color w:val="auto"/>
                <w:sz w:val="24"/>
                <w:szCs w:val="24"/>
                <w:lang w:eastAsia="zh-CN"/>
              </w:rPr>
              <w:t>工艺</w:t>
            </w:r>
            <w:r>
              <w:rPr>
                <w:rFonts w:hint="default" w:ascii="Times New Roman" w:hAnsi="Times New Roman" w:cs="Times New Roman"/>
                <w:color w:val="auto"/>
                <w:sz w:val="24"/>
                <w:szCs w:val="24"/>
              </w:rPr>
              <w:t>流程和产排污环节</w:t>
            </w:r>
          </w:p>
        </w:tc>
        <w:tc>
          <w:tcPr>
            <w:tcW w:w="8161" w:type="dxa"/>
            <w:noWrap w:val="0"/>
            <w:vAlign w:val="top"/>
          </w:tcPr>
          <w:p w14:paraId="3535A4AE">
            <w:pPr>
              <w:adjustRightInd w:val="0"/>
              <w:snapToGrid w:val="0"/>
              <w:jc w:val="both"/>
              <w:rPr>
                <w:rFonts w:hint="default" w:ascii="Times New Roman" w:hAnsi="Times New Roman" w:cs="Times New Roman"/>
                <w:b/>
                <w:bCs/>
                <w:color w:val="auto"/>
                <w:sz w:val="24"/>
                <w:szCs w:val="24"/>
                <w:lang w:val="en-US" w:eastAsia="zh-CN"/>
              </w:rPr>
            </w:pP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b/>
                <w:bCs/>
                <w:color w:val="auto"/>
                <w:sz w:val="24"/>
                <w:szCs w:val="24"/>
                <w:lang w:val="en-US" w:eastAsia="zh-CN"/>
              </w:rPr>
              <w:t>营运期工程分析：</w:t>
            </w:r>
          </w:p>
          <w:p w14:paraId="555840B5">
            <w:pPr>
              <w:jc w:val="center"/>
              <w:rPr>
                <w:rFonts w:hint="default" w:ascii="Times New Roman" w:hAnsi="Times New Roman" w:cs="Times New Roman"/>
                <w:b/>
                <w:bCs/>
                <w:color w:val="auto"/>
                <w:sz w:val="24"/>
                <w:szCs w:val="24"/>
                <w:lang w:val="en-US" w:eastAsia="zh-CN"/>
              </w:rPr>
            </w:pPr>
            <w:r>
              <w:rPr>
                <w:rFonts w:hint="default"/>
                <w:color w:val="auto"/>
                <w:lang w:val="en-US" w:eastAsia="zh-CN"/>
              </w:rPr>
              <w:drawing>
                <wp:inline distT="0" distB="0" distL="114300" distR="114300">
                  <wp:extent cx="5142865" cy="1637665"/>
                  <wp:effectExtent l="0" t="0" r="0" b="0"/>
                  <wp:docPr id="31" name="ECB019B1-382A-4266-B25C-5B523AA43C14-1" descr="C:/Users/Administrator/AppData/Local/Temp/wps.hAZvqR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ECB019B1-382A-4266-B25C-5B523AA43C14-1" descr="C:/Users/Administrator/AppData/Local/Temp/wps.hAZvqRwps"/>
                          <pic:cNvPicPr>
                            <a:picLocks noChangeAspect="1"/>
                          </pic:cNvPicPr>
                        </pic:nvPicPr>
                        <pic:blipFill>
                          <a:blip r:embed="rId17"/>
                          <a:srcRect l="4777" t="13724" r="2480" b="9332"/>
                          <a:stretch>
                            <a:fillRect/>
                          </a:stretch>
                        </pic:blipFill>
                        <pic:spPr>
                          <a:xfrm>
                            <a:off x="0" y="0"/>
                            <a:ext cx="5142865" cy="1637665"/>
                          </a:xfrm>
                          <a:prstGeom prst="rect">
                            <a:avLst/>
                          </a:prstGeom>
                        </pic:spPr>
                      </pic:pic>
                    </a:graphicData>
                  </a:graphic>
                </wp:inline>
              </w:drawing>
            </w:r>
          </w:p>
          <w:p w14:paraId="087A5C1E">
            <w:pPr>
              <w:pStyle w:val="24"/>
              <w:spacing w:line="360" w:lineRule="auto"/>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lang w:val="en-US" w:eastAsia="zh-CN"/>
              </w:rPr>
              <w:t>图2-</w:t>
            </w:r>
            <w:r>
              <w:rPr>
                <w:rFonts w:hint="eastAsia" w:cs="Times New Roman"/>
                <w:b/>
                <w:bCs/>
                <w:color w:val="auto"/>
                <w:sz w:val="24"/>
                <w:szCs w:val="24"/>
                <w:lang w:val="en-US" w:eastAsia="zh-CN"/>
              </w:rPr>
              <w:t>3 5</w:t>
            </w:r>
            <w:r>
              <w:rPr>
                <w:rFonts w:hint="default" w:ascii="Times New Roman" w:hAnsi="Times New Roman" w:cs="Times New Roman"/>
                <w:b/>
                <w:bCs/>
                <w:color w:val="auto"/>
                <w:sz w:val="24"/>
                <w:szCs w:val="24"/>
                <w:lang w:val="en-US" w:eastAsia="zh-CN"/>
              </w:rPr>
              <w:t>t/h生物质热风炉工艺流程及排污节点图</w:t>
            </w:r>
          </w:p>
          <w:p w14:paraId="2290353C">
            <w:pPr>
              <w:spacing w:line="360" w:lineRule="auto"/>
              <w:rPr>
                <w:rFonts w:hint="default"/>
                <w:color w:val="auto"/>
                <w:lang w:val="en-US" w:eastAsia="zh-CN"/>
              </w:rPr>
            </w:pPr>
            <w:r>
              <w:rPr>
                <w:rFonts w:hint="default" w:ascii="Times New Roman" w:hAnsi="Times New Roman" w:eastAsia="宋体" w:cs="Times New Roman"/>
                <w:b/>
                <w:bCs/>
                <w:color w:val="auto"/>
                <w:sz w:val="24"/>
                <w:szCs w:val="24"/>
                <w:lang w:val="en-US" w:eastAsia="zh-CN"/>
              </w:rPr>
              <w:t>生产工艺简述：</w:t>
            </w:r>
          </w:p>
          <w:p w14:paraId="1B2E1842">
            <w:pPr>
              <w:spacing w:line="360" w:lineRule="auto"/>
              <w:ind w:firstLine="480" w:firstLineChars="200"/>
              <w:rPr>
                <w:rFonts w:hint="eastAsia" w:cs="Times New Roman"/>
                <w:color w:val="auto"/>
                <w:sz w:val="24"/>
                <w:szCs w:val="24"/>
                <w:highlight w:val="none"/>
                <w:lang w:val="en-US" w:eastAsia="zh-CN"/>
              </w:rPr>
            </w:pPr>
            <w:r>
              <w:rPr>
                <w:rFonts w:hint="eastAsia" w:ascii="Times New Roman" w:hAnsi="Times New Roman" w:cs="Times New Roman"/>
                <w:color w:val="auto"/>
                <w:sz w:val="24"/>
                <w:szCs w:val="24"/>
                <w:lang w:val="en-US" w:eastAsia="zh-CN"/>
              </w:rPr>
              <w:t>建设一台5t/h生物质热风炉用于矿井</w:t>
            </w:r>
            <w:r>
              <w:rPr>
                <w:rFonts w:hint="eastAsia" w:cs="Times New Roman"/>
                <w:color w:val="auto"/>
                <w:sz w:val="24"/>
                <w:szCs w:val="24"/>
                <w:lang w:val="en-US" w:eastAsia="zh-CN"/>
              </w:rPr>
              <w:t>加热</w:t>
            </w:r>
            <w:r>
              <w:rPr>
                <w:rFonts w:hint="eastAsia" w:cs="Times New Roman"/>
                <w:color w:val="auto"/>
                <w:sz w:val="24"/>
                <w:szCs w:val="24"/>
                <w:highlight w:val="none"/>
                <w:lang w:val="en-US" w:eastAsia="zh-CN"/>
              </w:rPr>
              <w:t>。采用有风机冷热风在井筒内混合方式，用风机抽引热风至主井井筒内。本次环评只涉及热风炉改造工程，供热系统使用原有。</w:t>
            </w:r>
          </w:p>
          <w:p w14:paraId="7E099DBC">
            <w:pPr>
              <w:spacing w:line="360" w:lineRule="auto"/>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主要污染工序：</w:t>
            </w:r>
          </w:p>
          <w:p w14:paraId="4A4A69B0">
            <w:pPr>
              <w:pStyle w:val="24"/>
              <w:numPr>
                <w:ilvl w:val="0"/>
                <w:numId w:val="7"/>
              </w:numPr>
              <w:spacing w:line="360" w:lineRule="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废水</w:t>
            </w:r>
          </w:p>
          <w:p w14:paraId="707D6F51">
            <w:pPr>
              <w:spacing w:line="360" w:lineRule="auto"/>
              <w:ind w:firstLine="480" w:firstLineChars="200"/>
              <w:rPr>
                <w:rFonts w:hint="default" w:ascii="Times New Roman" w:hAnsi="Times New Roman" w:eastAsia="宋体" w:cs="Times New Roman"/>
                <w:color w:val="auto"/>
                <w:kern w:val="0"/>
                <w:sz w:val="24"/>
                <w:szCs w:val="24"/>
                <w:lang w:val="en-US" w:eastAsia="zh-CN" w:bidi="ar-SA"/>
              </w:rPr>
            </w:pPr>
            <w:r>
              <w:rPr>
                <w:rFonts w:hint="eastAsia" w:ascii="Times New Roman" w:hAnsi="Times New Roman" w:cs="Times New Roman"/>
                <w:color w:val="auto"/>
                <w:sz w:val="24"/>
                <w:szCs w:val="24"/>
                <w:lang w:val="en-US" w:eastAsia="zh-CN"/>
              </w:rPr>
              <w:t>热风炉无生产废水产生，</w:t>
            </w:r>
            <w:r>
              <w:rPr>
                <w:rFonts w:hint="default" w:ascii="Times New Roman" w:hAnsi="Times New Roman" w:cs="Times New Roman"/>
                <w:color w:val="auto"/>
                <w:sz w:val="24"/>
                <w:szCs w:val="24"/>
                <w:lang w:val="en-US" w:eastAsia="zh-CN"/>
              </w:rPr>
              <w:t>无新增员工</w:t>
            </w:r>
            <w:r>
              <w:rPr>
                <w:rFonts w:hint="eastAsia" w:ascii="Times New Roman" w:hAnsi="Times New Roman" w:cs="Times New Roman"/>
                <w:color w:val="auto"/>
                <w:sz w:val="24"/>
                <w:szCs w:val="24"/>
                <w:lang w:val="en-US" w:eastAsia="zh-CN"/>
              </w:rPr>
              <w:t>。废水主要为原有员工产生的生活污水，生活污水经一体化设备处理后达标后排入地面静 压水池供井下消尘用水，废水不外排。</w:t>
            </w:r>
          </w:p>
          <w:p w14:paraId="7E51AFB5">
            <w:pPr>
              <w:pStyle w:val="24"/>
              <w:numPr>
                <w:ilvl w:val="0"/>
                <w:numId w:val="7"/>
              </w:numPr>
              <w:spacing w:line="360" w:lineRule="auto"/>
              <w:ind w:left="420" w:leftChars="200" w:firstLine="0" w:firstLineChars="0"/>
              <w:rPr>
                <w:rFonts w:hint="default" w:ascii="Times New Roman" w:hAnsi="Times New Roman" w:eastAsia="宋体" w:cs="Times New Roman"/>
                <w:color w:val="auto"/>
                <w:kern w:val="0"/>
                <w:sz w:val="24"/>
                <w:szCs w:val="24"/>
                <w:lang w:val="en-US" w:eastAsia="zh-CN" w:bidi="ar-SA"/>
              </w:rPr>
            </w:pPr>
            <w:r>
              <w:rPr>
                <w:rFonts w:hint="default" w:ascii="Times New Roman" w:hAnsi="Times New Roman" w:eastAsia="宋体" w:cs="Times New Roman"/>
                <w:color w:val="auto"/>
                <w:kern w:val="0"/>
                <w:sz w:val="24"/>
                <w:szCs w:val="24"/>
                <w:lang w:val="en-US" w:eastAsia="zh-CN" w:bidi="ar-SA"/>
              </w:rPr>
              <w:t>废气</w:t>
            </w:r>
          </w:p>
          <w:p w14:paraId="1B527961">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项目产生的废气主要为</w:t>
            </w:r>
            <w:r>
              <w:rPr>
                <w:rFonts w:hint="eastAsia" w:cs="Times New Roman"/>
                <w:color w:val="auto"/>
                <w:sz w:val="24"/>
                <w:szCs w:val="24"/>
                <w:lang w:val="en-US" w:eastAsia="zh-CN"/>
              </w:rPr>
              <w:t>热风炉</w:t>
            </w:r>
            <w:r>
              <w:rPr>
                <w:rFonts w:hint="default" w:ascii="Times New Roman" w:hAnsi="Times New Roman" w:cs="Times New Roman"/>
                <w:color w:val="auto"/>
                <w:sz w:val="24"/>
                <w:szCs w:val="24"/>
                <w:lang w:val="en-US" w:eastAsia="zh-CN"/>
              </w:rPr>
              <w:t>烟气。</w:t>
            </w:r>
          </w:p>
          <w:p w14:paraId="12A7FEBA">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本项目锅炉为一台</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lang w:val="en-US" w:eastAsia="zh-CN"/>
              </w:rPr>
              <w:t>t/h</w:t>
            </w:r>
            <w:r>
              <w:rPr>
                <w:rFonts w:hint="eastAsia" w:cs="Times New Roman"/>
                <w:color w:val="auto"/>
                <w:sz w:val="24"/>
                <w:szCs w:val="24"/>
                <w:highlight w:val="none"/>
                <w:lang w:val="en-US" w:eastAsia="zh-CN"/>
              </w:rPr>
              <w:t>生物质热风炉，</w:t>
            </w:r>
            <w:r>
              <w:rPr>
                <w:rFonts w:hint="default" w:ascii="Times New Roman" w:hAnsi="Times New Roman" w:eastAsia="宋体" w:cs="Times New Roman"/>
                <w:color w:val="auto"/>
                <w:sz w:val="24"/>
                <w:szCs w:val="24"/>
                <w:highlight w:val="none"/>
                <w:lang w:val="en-US" w:eastAsia="zh-CN"/>
              </w:rPr>
              <w:t>锅炉年运行</w:t>
            </w:r>
            <w:r>
              <w:rPr>
                <w:rFonts w:hint="eastAsia"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d，每日运行</w:t>
            </w:r>
            <w:r>
              <w:rPr>
                <w:rFonts w:hint="eastAsia" w:cs="Times New Roman"/>
                <w:color w:val="auto"/>
                <w:sz w:val="24"/>
                <w:szCs w:val="24"/>
                <w:highlight w:val="none"/>
                <w:lang w:val="en-US" w:eastAsia="zh-CN"/>
              </w:rPr>
              <w:t>16</w:t>
            </w:r>
            <w:r>
              <w:rPr>
                <w:rFonts w:hint="default" w:ascii="Times New Roman" w:hAnsi="Times New Roman" w:eastAsia="宋体" w:cs="Times New Roman"/>
                <w:color w:val="auto"/>
                <w:sz w:val="24"/>
                <w:szCs w:val="24"/>
                <w:highlight w:val="none"/>
                <w:lang w:val="en-US" w:eastAsia="zh-CN"/>
              </w:rPr>
              <w:t>h</w:t>
            </w:r>
            <w:r>
              <w:rPr>
                <w:rFonts w:hint="eastAsia" w:cs="Times New Roman"/>
                <w:color w:val="auto"/>
                <w:sz w:val="24"/>
                <w:szCs w:val="24"/>
                <w:highlight w:val="none"/>
                <w:lang w:val="en-US" w:eastAsia="zh-CN"/>
              </w:rPr>
              <w:t>。热风炉</w:t>
            </w:r>
            <w:r>
              <w:rPr>
                <w:rFonts w:hint="default" w:ascii="Times New Roman" w:hAnsi="Times New Roman" w:eastAsia="宋体" w:cs="Times New Roman"/>
                <w:color w:val="auto"/>
                <w:sz w:val="24"/>
                <w:szCs w:val="24"/>
                <w:highlight w:val="none"/>
                <w:lang w:val="en-US" w:eastAsia="zh-CN"/>
              </w:rPr>
              <w:t>烟气通过</w:t>
            </w:r>
            <w:r>
              <w:rPr>
                <w:rFonts w:hint="eastAsia"/>
                <w:color w:val="auto"/>
                <w:sz w:val="24"/>
                <w:szCs w:val="24"/>
                <w:highlight w:val="none"/>
              </w:rPr>
              <w:t>配套的</w:t>
            </w:r>
            <w:r>
              <w:rPr>
                <w:rFonts w:hint="default" w:ascii="Times New Roman" w:hAnsi="Times New Roman" w:eastAsia="宋体" w:cs="Times New Roman"/>
                <w:color w:val="auto"/>
                <w:sz w:val="24"/>
                <w:szCs w:val="24"/>
                <w:highlight w:val="none"/>
                <w:lang w:val="en-US" w:eastAsia="zh-CN"/>
              </w:rPr>
              <w:t>布袋除尘器处理后</w:t>
            </w:r>
            <w:r>
              <w:rPr>
                <w:rFonts w:hint="eastAsia" w:cs="Times New Roman"/>
                <w:color w:val="auto"/>
                <w:sz w:val="24"/>
                <w:szCs w:val="24"/>
                <w:highlight w:val="none"/>
                <w:lang w:val="en-US" w:eastAsia="zh-CN"/>
              </w:rPr>
              <w:t>经20</w:t>
            </w:r>
            <w:r>
              <w:rPr>
                <w:rFonts w:hint="default" w:ascii="Times New Roman" w:hAnsi="Times New Roman" w:cs="Times New Roman"/>
                <w:color w:val="auto"/>
                <w:sz w:val="24"/>
                <w:szCs w:val="24"/>
                <w:highlight w:val="none"/>
                <w:lang w:val="en-US" w:eastAsia="zh-CN"/>
              </w:rPr>
              <w:t>m高烟囱DA001高空排放</w:t>
            </w:r>
            <w:r>
              <w:rPr>
                <w:rFonts w:hint="default" w:ascii="Times New Roman" w:hAnsi="Times New Roman" w:eastAsia="宋体" w:cs="Times New Roman"/>
                <w:color w:val="auto"/>
                <w:sz w:val="24"/>
                <w:szCs w:val="24"/>
                <w:highlight w:val="none"/>
                <w:lang w:val="en-US" w:eastAsia="zh-CN"/>
              </w:rPr>
              <w:t>，除尘器效率</w:t>
            </w:r>
            <w:r>
              <w:rPr>
                <w:rFonts w:hint="eastAsia" w:cs="Times New Roman"/>
                <w:color w:val="auto"/>
                <w:sz w:val="24"/>
                <w:szCs w:val="24"/>
                <w:highlight w:val="none"/>
                <w:lang w:val="en-US" w:eastAsia="zh-CN"/>
              </w:rPr>
              <w:t>为</w:t>
            </w:r>
            <w:r>
              <w:rPr>
                <w:rFonts w:hint="default" w:ascii="Times New Roman" w:hAnsi="Times New Roman" w:eastAsia="宋体" w:cs="Times New Roman"/>
                <w:color w:val="auto"/>
                <w:sz w:val="24"/>
                <w:szCs w:val="24"/>
                <w:highlight w:val="none"/>
                <w:lang w:val="en-US" w:eastAsia="zh-CN"/>
              </w:rPr>
              <w:t>99%。</w:t>
            </w:r>
          </w:p>
          <w:p w14:paraId="5F75F7C5">
            <w:pPr>
              <w:pStyle w:val="24"/>
              <w:numPr>
                <w:ilvl w:val="0"/>
                <w:numId w:val="7"/>
              </w:numPr>
              <w:spacing w:line="360" w:lineRule="auto"/>
              <w:ind w:left="420" w:leftChars="200" w:firstLine="0" w:firstLineChars="0"/>
              <w:rPr>
                <w:rFonts w:hint="default" w:ascii="Times New Roman" w:hAnsi="Times New Roman" w:eastAsia="宋体" w:cs="Times New Roman"/>
                <w:color w:val="auto"/>
                <w:sz w:val="24"/>
                <w:szCs w:val="24"/>
                <w:lang w:val="en-US" w:eastAsia="zh-CN"/>
              </w:rPr>
            </w:pPr>
            <w:r>
              <w:rPr>
                <w:rFonts w:hint="default" w:ascii="Times New Roman" w:hAnsi="Times New Roman" w:eastAsia="宋体" w:cs="Times New Roman"/>
                <w:color w:val="auto"/>
                <w:sz w:val="24"/>
                <w:szCs w:val="24"/>
                <w:lang w:val="en-US" w:eastAsia="zh-CN"/>
              </w:rPr>
              <w:t>固体废物</w:t>
            </w:r>
          </w:p>
          <w:p w14:paraId="78D24228">
            <w:pPr>
              <w:numPr>
                <w:ilvl w:val="0"/>
                <w:numId w:val="0"/>
              </w:num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kern w:val="2"/>
                <w:sz w:val="24"/>
                <w:szCs w:val="24"/>
                <w:lang w:val="en-US" w:eastAsia="zh-CN" w:bidi="ar-SA"/>
              </w:rPr>
              <w:t>项目无新增员工，无员工生活垃圾产生</w:t>
            </w:r>
            <w:r>
              <w:rPr>
                <w:rFonts w:hint="default"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本项目固体废物主要为</w:t>
            </w:r>
            <w:r>
              <w:rPr>
                <w:rFonts w:hint="eastAsia" w:cs="Times New Roman"/>
                <w:color w:val="auto"/>
                <w:kern w:val="2"/>
                <w:sz w:val="24"/>
                <w:szCs w:val="24"/>
                <w:highlight w:val="none"/>
                <w:lang w:val="en-US" w:eastAsia="zh-CN" w:bidi="ar-SA"/>
              </w:rPr>
              <w:t>热风炉灰渣（炉</w:t>
            </w:r>
            <w:r>
              <w:rPr>
                <w:rFonts w:hint="default" w:ascii="Times New Roman" w:hAnsi="Times New Roman" w:eastAsia="宋体" w:cs="Times New Roman"/>
                <w:color w:val="auto"/>
                <w:kern w:val="2"/>
                <w:sz w:val="24"/>
                <w:szCs w:val="24"/>
                <w:highlight w:val="none"/>
                <w:lang w:val="en-US" w:eastAsia="zh-CN" w:bidi="ar-SA"/>
              </w:rPr>
              <w:t>渣</w:t>
            </w:r>
            <w:r>
              <w:rPr>
                <w:rFonts w:hint="default" w:ascii="Times New Roman" w:hAnsi="Times New Roman" w:cs="Times New Roman"/>
                <w:color w:val="auto"/>
                <w:kern w:val="2"/>
                <w:sz w:val="24"/>
                <w:szCs w:val="24"/>
                <w:highlight w:val="none"/>
                <w:lang w:val="en-US" w:eastAsia="zh-CN" w:bidi="ar-SA"/>
              </w:rPr>
              <w:t>和除尘器灰尘</w:t>
            </w:r>
            <w:r>
              <w:rPr>
                <w:rFonts w:hint="eastAsia" w:cs="Times New Roman"/>
                <w:color w:val="auto"/>
                <w:kern w:val="2"/>
                <w:sz w:val="24"/>
                <w:szCs w:val="24"/>
                <w:highlight w:val="none"/>
                <w:lang w:val="en-US" w:eastAsia="zh-CN" w:bidi="ar-SA"/>
              </w:rPr>
              <w:t>）、废布袋及维修过程产生的废机油及含油废抹布</w:t>
            </w:r>
            <w:r>
              <w:rPr>
                <w:rFonts w:hint="default" w:ascii="Times New Roman" w:hAnsi="Times New Roman" w:eastAsia="宋体" w:cs="Times New Roman"/>
                <w:color w:val="auto"/>
                <w:kern w:val="2"/>
                <w:sz w:val="24"/>
                <w:szCs w:val="24"/>
                <w:highlight w:val="none"/>
                <w:lang w:val="en-US" w:eastAsia="zh-CN" w:bidi="ar-SA"/>
              </w:rPr>
              <w:t>。</w:t>
            </w:r>
          </w:p>
          <w:p w14:paraId="5B223FB4">
            <w:pPr>
              <w:pStyle w:val="24"/>
              <w:numPr>
                <w:ilvl w:val="0"/>
                <w:numId w:val="7"/>
              </w:numPr>
              <w:spacing w:line="360" w:lineRule="auto"/>
              <w:ind w:left="420" w:leftChars="200" w:firstLine="0" w:firstLineChars="0"/>
              <w:rPr>
                <w:rFonts w:hint="default" w:ascii="Times New Roman" w:hAnsi="Times New Roman" w:eastAsia="宋体"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噪声</w:t>
            </w:r>
          </w:p>
          <w:p w14:paraId="5D04F388">
            <w:pPr>
              <w:spacing w:line="360" w:lineRule="auto"/>
              <w:ind w:firstLine="480" w:firstLineChars="200"/>
              <w:rPr>
                <w:rFonts w:hint="default" w:ascii="Times New Roman" w:hAnsi="Times New Roman" w:cs="Times New Roman"/>
                <w:color w:val="auto"/>
                <w:lang w:val="en-US" w:eastAsia="zh-CN"/>
              </w:rPr>
            </w:pPr>
            <w:r>
              <w:rPr>
                <w:rFonts w:hint="default" w:ascii="Times New Roman" w:hAnsi="Times New Roman" w:eastAsia="宋体" w:cs="Times New Roman"/>
                <w:color w:val="auto"/>
                <w:kern w:val="2"/>
                <w:sz w:val="24"/>
                <w:szCs w:val="24"/>
                <w:lang w:val="en-US" w:eastAsia="zh-CN" w:bidi="ar-SA"/>
              </w:rPr>
              <w:t>本项目营运期产生的噪声主要来源于</w:t>
            </w:r>
            <w:r>
              <w:rPr>
                <w:rFonts w:hint="eastAsia" w:cs="Times New Roman"/>
                <w:color w:val="auto"/>
                <w:kern w:val="2"/>
                <w:sz w:val="24"/>
                <w:szCs w:val="24"/>
                <w:lang w:val="en-US" w:eastAsia="zh-CN" w:bidi="ar-SA"/>
              </w:rPr>
              <w:t>热风炉</w:t>
            </w:r>
            <w:r>
              <w:rPr>
                <w:rFonts w:hint="default" w:ascii="Times New Roman" w:hAnsi="Times New Roman" w:eastAsia="宋体" w:cs="Times New Roman"/>
                <w:color w:val="auto"/>
                <w:kern w:val="2"/>
                <w:sz w:val="24"/>
                <w:szCs w:val="24"/>
                <w:lang w:val="en-US" w:eastAsia="zh-CN" w:bidi="ar-SA"/>
              </w:rPr>
              <w:t>风机，其噪声值均在</w:t>
            </w:r>
            <w:r>
              <w:rPr>
                <w:rFonts w:hint="eastAsia" w:cs="Times New Roman"/>
                <w:color w:val="auto"/>
                <w:kern w:val="2"/>
                <w:sz w:val="24"/>
                <w:szCs w:val="24"/>
                <w:highlight w:val="none"/>
                <w:lang w:val="en-US" w:eastAsia="zh-CN" w:bidi="ar-SA"/>
              </w:rPr>
              <w:t>80</w:t>
            </w: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90</w:t>
            </w:r>
            <w:r>
              <w:rPr>
                <w:rFonts w:hint="default" w:ascii="Times New Roman" w:hAnsi="Times New Roman" w:eastAsia="宋体" w:cs="Times New Roman"/>
                <w:color w:val="auto"/>
                <w:kern w:val="2"/>
                <w:sz w:val="24"/>
                <w:szCs w:val="24"/>
                <w:highlight w:val="none"/>
                <w:lang w:val="en-US" w:eastAsia="zh-CN" w:bidi="ar-SA"/>
              </w:rPr>
              <w:t>dB（A）</w:t>
            </w:r>
            <w:r>
              <w:rPr>
                <w:rFonts w:hint="default" w:ascii="Times New Roman" w:hAnsi="Times New Roman" w:eastAsia="宋体" w:cs="Times New Roman"/>
                <w:color w:val="auto"/>
                <w:kern w:val="2"/>
                <w:sz w:val="24"/>
                <w:szCs w:val="24"/>
                <w:lang w:val="en-US" w:eastAsia="zh-CN" w:bidi="ar-SA"/>
              </w:rPr>
              <w:t>之间。</w:t>
            </w:r>
          </w:p>
        </w:tc>
      </w:tr>
      <w:tr w14:paraId="0F12D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23" w:type="dxa"/>
            <w:noWrap w:val="0"/>
            <w:vAlign w:val="center"/>
          </w:tcPr>
          <w:p w14:paraId="0394B588">
            <w:pPr>
              <w:adjustRightInd w:val="0"/>
              <w:snapToGrid w:val="0"/>
              <w:jc w:val="center"/>
              <w:rPr>
                <w:rFonts w:hint="default" w:ascii="Times New Roman" w:hAnsi="Times New Roman" w:cs="Times New Roman"/>
                <w:color w:val="auto"/>
                <w:sz w:val="24"/>
                <w:szCs w:val="32"/>
                <w:lang w:val="en-US" w:eastAsia="zh-CN"/>
              </w:rPr>
            </w:pPr>
            <w:r>
              <w:rPr>
                <w:rFonts w:hint="default" w:ascii="Times New Roman" w:hAnsi="Times New Roman" w:cs="Times New Roman"/>
                <w:color w:val="auto"/>
                <w:sz w:val="24"/>
                <w:szCs w:val="32"/>
                <w:lang w:val="en-US" w:eastAsia="zh-CN"/>
              </w:rPr>
              <w:t>与项目有关的原有环境污染问题</w:t>
            </w:r>
          </w:p>
        </w:tc>
        <w:tc>
          <w:tcPr>
            <w:tcW w:w="8161" w:type="dxa"/>
            <w:noWrap w:val="0"/>
            <w:vAlign w:val="top"/>
          </w:tcPr>
          <w:p w14:paraId="1F1DB30D">
            <w:pPr>
              <w:adjustRightInd w:val="0"/>
              <w:snapToGrid w:val="0"/>
              <w:spacing w:line="360" w:lineRule="auto"/>
              <w:ind w:firstLine="480" w:firstLineChars="200"/>
              <w:jc w:val="both"/>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一、项目原有环保手续落实情况</w:t>
            </w:r>
          </w:p>
          <w:p w14:paraId="717A834F">
            <w:pPr>
              <w:adjustRightInd w:val="0"/>
              <w:snapToGrid w:val="0"/>
              <w:spacing w:line="360" w:lineRule="auto"/>
              <w:ind w:firstLine="480" w:firstLineChars="200"/>
              <w:jc w:val="both"/>
              <w:rPr>
                <w:rFonts w:hint="eastAsia"/>
                <w:color w:val="auto"/>
                <w:sz w:val="24"/>
                <w:szCs w:val="24"/>
                <w:lang w:val="en-US" w:eastAsia="zh-CN"/>
              </w:rPr>
            </w:pPr>
            <w:r>
              <w:rPr>
                <w:rFonts w:hint="eastAsia" w:cs="Times New Roman"/>
                <w:color w:val="auto"/>
                <w:sz w:val="24"/>
                <w:szCs w:val="24"/>
                <w:lang w:eastAsia="zh-CN"/>
              </w:rPr>
              <w:t>鸡西市城子河铁城煤矿于</w:t>
            </w:r>
            <w:r>
              <w:rPr>
                <w:rFonts w:hint="eastAsia" w:cs="Times New Roman"/>
                <w:color w:val="auto"/>
                <w:sz w:val="24"/>
                <w:szCs w:val="24"/>
                <w:lang w:val="en-US" w:eastAsia="zh-CN"/>
              </w:rPr>
              <w:t>2010年12月委托鸡西市环境保护科学研究所编制了</w:t>
            </w:r>
            <w:r>
              <w:rPr>
                <w:rFonts w:hint="default"/>
                <w:color w:val="auto"/>
                <w:sz w:val="24"/>
                <w:szCs w:val="24"/>
                <w:lang w:val="en-US" w:eastAsia="zh-CN"/>
              </w:rPr>
              <w:t>环境影响评价报告</w:t>
            </w:r>
            <w:r>
              <w:rPr>
                <w:rFonts w:hint="default"/>
                <w:color w:val="auto"/>
                <w:sz w:val="24"/>
                <w:szCs w:val="24"/>
                <w:lang w:val="en-US" w:eastAsia="zh-Hans"/>
              </w:rPr>
              <w:t>书</w:t>
            </w:r>
            <w:r>
              <w:rPr>
                <w:rFonts w:hint="eastAsia"/>
                <w:color w:val="auto"/>
                <w:sz w:val="24"/>
                <w:szCs w:val="24"/>
                <w:lang w:val="en-US" w:eastAsia="zh-CN"/>
              </w:rPr>
              <w:t>，项目名称为《黑龙江省鸡西市城子河铁城煤矿资源整合建设项目环境影响评价报告书》，</w:t>
            </w:r>
            <w:r>
              <w:rPr>
                <w:rFonts w:hint="eastAsia"/>
                <w:color w:val="auto"/>
                <w:sz w:val="24"/>
                <w:szCs w:val="24"/>
                <w:highlight w:val="none"/>
                <w:lang w:val="en-US" w:eastAsia="zh-CN"/>
              </w:rPr>
              <w:t>并于2011年3月1日取得《关于黑</w:t>
            </w:r>
            <w:r>
              <w:rPr>
                <w:rFonts w:hint="eastAsia"/>
                <w:color w:val="auto"/>
                <w:sz w:val="24"/>
                <w:szCs w:val="24"/>
                <w:lang w:val="en-US" w:eastAsia="zh-CN"/>
              </w:rPr>
              <w:t>龙江省鸡西市城子河铁城煤矿资源整合建设项目环境影响报告书的批复》（鸡环建函【2011】13号）。</w:t>
            </w:r>
          </w:p>
          <w:p w14:paraId="01A0ABB5">
            <w:pPr>
              <w:adjustRightInd w:val="0"/>
              <w:snapToGrid w:val="0"/>
              <w:spacing w:line="360" w:lineRule="auto"/>
              <w:ind w:firstLine="480" w:firstLineChars="200"/>
              <w:jc w:val="both"/>
              <w:rPr>
                <w:rFonts w:hint="default"/>
                <w:color w:val="auto"/>
                <w:sz w:val="24"/>
                <w:szCs w:val="24"/>
                <w:highlight w:val="none"/>
                <w:lang w:val="en-US" w:eastAsia="zh-CN"/>
              </w:rPr>
            </w:pPr>
            <w:r>
              <w:rPr>
                <w:rFonts w:hint="eastAsia"/>
                <w:color w:val="auto"/>
                <w:sz w:val="24"/>
                <w:szCs w:val="24"/>
                <w:highlight w:val="none"/>
                <w:lang w:val="en-US" w:eastAsia="zh-CN"/>
              </w:rPr>
              <w:t>企业已于2025年7月24日申领排污许可证，排污许可证编号为91230300MABNCRNC1T001Q，排污许可年报已按时填报。</w:t>
            </w:r>
            <w:r>
              <w:rPr>
                <w:rFonts w:hint="eastAsia"/>
                <w:color w:val="auto"/>
                <w:sz w:val="24"/>
                <w:szCs w:val="24"/>
                <w:lang w:val="en-US" w:eastAsia="zh-CN"/>
              </w:rPr>
              <w:t>《鸡西市城子河铁城煤矿资源整合工程项目竣工环境保护验收调查报告》于2021年3月15日获得验收意见</w:t>
            </w:r>
            <w:r>
              <w:rPr>
                <w:rFonts w:hint="eastAsia"/>
                <w:color w:val="auto"/>
                <w:sz w:val="24"/>
                <w:szCs w:val="24"/>
                <w:highlight w:val="none"/>
                <w:lang w:val="en-US" w:eastAsia="zh-CN"/>
              </w:rPr>
              <w:t>，见附件；应急预案已备案，见附件。</w:t>
            </w:r>
          </w:p>
          <w:p w14:paraId="69E0698F">
            <w:pPr>
              <w:pStyle w:val="38"/>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eastAsia="宋体" w:cs="Times New Roman"/>
                <w:b w:val="0"/>
                <w:bCs/>
                <w:color w:val="auto"/>
                <w:sz w:val="24"/>
                <w:szCs w:val="24"/>
                <w:highlight w:val="none"/>
                <w:lang w:val="en-US" w:eastAsia="zh-CN"/>
              </w:rPr>
            </w:pPr>
            <w:r>
              <w:rPr>
                <w:rFonts w:hint="eastAsia" w:ascii="Times New Roman" w:hAnsi="Times New Roman" w:cs="Times New Roman"/>
                <w:b w:val="0"/>
                <w:bCs/>
                <w:color w:val="auto"/>
                <w:sz w:val="24"/>
                <w:szCs w:val="24"/>
                <w:highlight w:val="none"/>
                <w:lang w:eastAsia="zh-CN"/>
              </w:rPr>
              <w:t>二、</w:t>
            </w:r>
            <w:r>
              <w:rPr>
                <w:rFonts w:hint="default" w:ascii="Times New Roman" w:hAnsi="Times New Roman" w:cs="Times New Roman"/>
                <w:b w:val="0"/>
                <w:bCs/>
                <w:color w:val="auto"/>
                <w:sz w:val="24"/>
                <w:szCs w:val="24"/>
                <w:highlight w:val="none"/>
                <w:lang w:eastAsia="zh-CN"/>
              </w:rPr>
              <w:t>原有</w:t>
            </w:r>
            <w:r>
              <w:rPr>
                <w:rFonts w:hint="eastAsia" w:ascii="Times New Roman" w:hAnsi="Times New Roman" w:cs="Times New Roman"/>
                <w:b w:val="0"/>
                <w:bCs/>
                <w:color w:val="auto"/>
                <w:sz w:val="24"/>
                <w:szCs w:val="24"/>
                <w:highlight w:val="none"/>
                <w:lang w:eastAsia="zh-CN"/>
              </w:rPr>
              <w:t>项目</w:t>
            </w:r>
            <w:r>
              <w:rPr>
                <w:rFonts w:hint="default" w:ascii="Times New Roman" w:hAnsi="Times New Roman" w:eastAsia="宋体" w:cs="Times New Roman"/>
                <w:b w:val="0"/>
                <w:bCs/>
                <w:color w:val="auto"/>
                <w:sz w:val="24"/>
                <w:szCs w:val="24"/>
                <w:highlight w:val="none"/>
                <w:lang w:val="en-US" w:eastAsia="zh-CN"/>
              </w:rPr>
              <w:t>组成</w:t>
            </w:r>
          </w:p>
          <w:p w14:paraId="1FDDCB02">
            <w:pPr>
              <w:adjustRightInd w:val="0"/>
              <w:snapToGrid w:val="0"/>
              <w:spacing w:line="360" w:lineRule="auto"/>
              <w:ind w:firstLine="480" w:firstLineChars="200"/>
              <w:jc w:val="both"/>
              <w:rPr>
                <w:rFonts w:hint="default" w:ascii="Times New Roman" w:hAnsi="Times New Roman" w:eastAsia="宋体" w:cs="Times New Roman"/>
                <w:color w:val="auto"/>
                <w:sz w:val="24"/>
                <w:szCs w:val="24"/>
                <w:lang w:val="en-US" w:eastAsia="zh-CN"/>
              </w:rPr>
            </w:pPr>
            <w:r>
              <w:rPr>
                <w:rFonts w:hint="eastAsia" w:cs="Times New Roman"/>
                <w:color w:val="auto"/>
                <w:sz w:val="24"/>
                <w:szCs w:val="24"/>
                <w:lang w:eastAsia="zh-CN"/>
              </w:rPr>
              <w:t>鸡西市城子河铁城煤矿</w:t>
            </w:r>
            <w:r>
              <w:rPr>
                <w:rFonts w:hint="eastAsia" w:ascii="Times New Roman" w:hAnsi="Times New Roman" w:eastAsia="宋体" w:cs="Times New Roman"/>
                <w:color w:val="auto"/>
                <w:sz w:val="24"/>
                <w:szCs w:val="24"/>
                <w:highlight w:val="none"/>
                <w:lang w:eastAsia="zh-CN"/>
              </w:rPr>
              <w:t>的</w:t>
            </w:r>
            <w:r>
              <w:rPr>
                <w:rFonts w:hint="eastAsia" w:cs="Times New Roman"/>
                <w:color w:val="auto"/>
                <w:sz w:val="24"/>
                <w:szCs w:val="24"/>
                <w:highlight w:val="none"/>
                <w:lang w:eastAsia="zh-CN"/>
              </w:rPr>
              <w:t>开采量为</w:t>
            </w:r>
            <w:r>
              <w:rPr>
                <w:rFonts w:hint="eastAsia" w:cs="Times New Roman"/>
                <w:color w:val="auto"/>
                <w:sz w:val="24"/>
                <w:szCs w:val="24"/>
                <w:highlight w:val="none"/>
                <w:lang w:val="en-US" w:eastAsia="zh-CN"/>
              </w:rPr>
              <w:t>15</w:t>
            </w:r>
            <w:r>
              <w:rPr>
                <w:rFonts w:hint="eastAsia" w:ascii="Times New Roman" w:hAnsi="Times New Roman" w:eastAsia="宋体" w:cs="Times New Roman"/>
                <w:color w:val="auto"/>
                <w:sz w:val="24"/>
                <w:szCs w:val="24"/>
                <w:highlight w:val="none"/>
                <w:lang w:eastAsia="zh-CN"/>
              </w:rPr>
              <w:t>万吨/年；全井人</w:t>
            </w:r>
            <w:r>
              <w:rPr>
                <w:rFonts w:hint="eastAsia" w:ascii="Times New Roman" w:hAnsi="Times New Roman" w:eastAsia="宋体" w:cs="Times New Roman"/>
                <w:color w:val="auto"/>
                <w:sz w:val="24"/>
                <w:szCs w:val="24"/>
                <w:lang w:eastAsia="zh-CN"/>
              </w:rPr>
              <w:t>数为</w:t>
            </w:r>
            <w:r>
              <w:rPr>
                <w:rFonts w:hint="eastAsia" w:cs="Times New Roman"/>
                <w:color w:val="auto"/>
                <w:sz w:val="24"/>
                <w:szCs w:val="24"/>
                <w:lang w:val="en-US" w:eastAsia="zh-CN"/>
              </w:rPr>
              <w:t>300</w:t>
            </w:r>
            <w:r>
              <w:rPr>
                <w:rFonts w:hint="eastAsia" w:ascii="Times New Roman" w:hAnsi="Times New Roman" w:eastAsia="宋体" w:cs="Times New Roman"/>
                <w:color w:val="auto"/>
                <w:sz w:val="24"/>
                <w:szCs w:val="24"/>
                <w:lang w:eastAsia="zh-CN"/>
              </w:rPr>
              <w:t>人；年工作</w:t>
            </w:r>
            <w:r>
              <w:rPr>
                <w:rFonts w:hint="eastAsia" w:ascii="Times New Roman" w:hAnsi="Times New Roman" w:eastAsia="宋体" w:cs="Times New Roman"/>
                <w:color w:val="auto"/>
                <w:sz w:val="24"/>
                <w:szCs w:val="24"/>
                <w:lang w:val="en-US" w:eastAsia="zh-CN"/>
              </w:rPr>
              <w:t>330d，每天</w:t>
            </w:r>
            <w:r>
              <w:rPr>
                <w:rFonts w:hint="eastAsia" w:cs="Times New Roman"/>
                <w:color w:val="auto"/>
                <w:sz w:val="24"/>
                <w:szCs w:val="24"/>
                <w:lang w:val="en-US" w:eastAsia="zh-CN"/>
              </w:rPr>
              <w:t>三班工作</w:t>
            </w:r>
            <w:r>
              <w:rPr>
                <w:rFonts w:hint="eastAsia" w:ascii="Times New Roman" w:hAnsi="Times New Roman" w:eastAsia="宋体" w:cs="Times New Roman"/>
                <w:color w:val="auto"/>
                <w:sz w:val="24"/>
                <w:szCs w:val="24"/>
                <w:lang w:val="en-US" w:eastAsia="zh-CN"/>
              </w:rPr>
              <w:t>。具体组成见</w:t>
            </w:r>
            <w:r>
              <w:rPr>
                <w:rFonts w:hint="eastAsia" w:cs="Times New Roman"/>
                <w:color w:val="auto"/>
                <w:sz w:val="24"/>
                <w:szCs w:val="24"/>
                <w:lang w:val="en-US" w:eastAsia="zh-CN"/>
              </w:rPr>
              <w:t>下表</w:t>
            </w:r>
            <w:r>
              <w:rPr>
                <w:rFonts w:hint="eastAsia" w:ascii="Times New Roman" w:hAnsi="Times New Roman" w:eastAsia="宋体" w:cs="Times New Roman"/>
                <w:color w:val="auto"/>
                <w:sz w:val="24"/>
                <w:szCs w:val="24"/>
                <w:lang w:val="en-US" w:eastAsia="zh-CN"/>
              </w:rPr>
              <w:t>。</w:t>
            </w:r>
          </w:p>
          <w:p w14:paraId="4A186EBE">
            <w:pPr>
              <w:numPr>
                <w:ilvl w:val="0"/>
                <w:numId w:val="0"/>
              </w:numPr>
              <w:jc w:val="center"/>
              <w:rPr>
                <w:rFonts w:hint="default"/>
                <w:b/>
                <w:bCs/>
                <w:color w:val="auto"/>
                <w:sz w:val="24"/>
                <w:szCs w:val="32"/>
                <w:highlight w:val="none"/>
                <w:lang w:val="en-US" w:eastAsia="zh-CN"/>
              </w:rPr>
            </w:pPr>
            <w:r>
              <w:rPr>
                <w:rFonts w:hint="eastAsia"/>
                <w:b/>
                <w:bCs/>
                <w:color w:val="auto"/>
                <w:sz w:val="24"/>
                <w:szCs w:val="32"/>
                <w:highlight w:val="none"/>
                <w:lang w:val="en-US" w:eastAsia="zh-CN"/>
              </w:rPr>
              <w:t>表2-4 原有项目组成一览表</w:t>
            </w:r>
          </w:p>
          <w:tbl>
            <w:tblPr>
              <w:tblStyle w:val="31"/>
              <w:tblW w:w="791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8"/>
              <w:gridCol w:w="1170"/>
              <w:gridCol w:w="6081"/>
            </w:tblGrid>
            <w:tr w14:paraId="4C7A5F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tcBorders>
                    <w:tl2br w:val="nil"/>
                    <w:tr2bl w:val="nil"/>
                  </w:tcBorders>
                  <w:vAlign w:val="center"/>
                </w:tcPr>
                <w:p w14:paraId="541DF5AF">
                  <w:pPr>
                    <w:jc w:val="center"/>
                    <w:rPr>
                      <w:rFonts w:hint="default" w:ascii="Times New Roman" w:hAnsi="Times New Roman" w:cs="Times New Roman"/>
                      <w:b/>
                      <w:bCs/>
                      <w:color w:val="auto"/>
                      <w:sz w:val="21"/>
                      <w:szCs w:val="21"/>
                      <w:vertAlign w:val="baseline"/>
                      <w:lang w:eastAsia="zh-CN"/>
                    </w:rPr>
                  </w:pPr>
                  <w:r>
                    <w:rPr>
                      <w:rFonts w:hint="default" w:ascii="Times New Roman" w:hAnsi="Times New Roman" w:cs="Times New Roman"/>
                      <w:b/>
                      <w:bCs/>
                      <w:color w:val="auto"/>
                      <w:sz w:val="21"/>
                      <w:szCs w:val="21"/>
                      <w:highlight w:val="none"/>
                      <w:vertAlign w:val="baseline"/>
                      <w:lang w:val="en-US" w:eastAsia="zh-CN"/>
                    </w:rPr>
                    <w:t>类别</w:t>
                  </w:r>
                </w:p>
              </w:tc>
              <w:tc>
                <w:tcPr>
                  <w:tcW w:w="1170" w:type="dxa"/>
                  <w:tcBorders>
                    <w:tl2br w:val="nil"/>
                    <w:tr2bl w:val="nil"/>
                  </w:tcBorders>
                  <w:vAlign w:val="center"/>
                </w:tcPr>
                <w:p w14:paraId="432D1890">
                  <w:pPr>
                    <w:jc w:val="center"/>
                    <w:rPr>
                      <w:rFonts w:hint="default" w:ascii="Times New Roman" w:hAnsi="Times New Roman" w:cs="Times New Roman"/>
                      <w:b/>
                      <w:bCs/>
                      <w:color w:val="auto"/>
                      <w:szCs w:val="21"/>
                    </w:rPr>
                  </w:pPr>
                  <w:r>
                    <w:rPr>
                      <w:rFonts w:hint="default" w:ascii="Times New Roman" w:hAnsi="Times New Roman" w:cs="Times New Roman"/>
                      <w:b/>
                      <w:bCs/>
                      <w:color w:val="auto"/>
                      <w:szCs w:val="21"/>
                    </w:rPr>
                    <w:t>项目</w:t>
                  </w:r>
                </w:p>
              </w:tc>
              <w:tc>
                <w:tcPr>
                  <w:tcW w:w="6081" w:type="dxa"/>
                  <w:tcBorders>
                    <w:tl2br w:val="nil"/>
                    <w:tr2bl w:val="nil"/>
                  </w:tcBorders>
                  <w:vAlign w:val="center"/>
                </w:tcPr>
                <w:p w14:paraId="487564C8">
                  <w:pPr>
                    <w:pStyle w:val="24"/>
                    <w:spacing w:line="240" w:lineRule="auto"/>
                    <w:ind w:left="0" w:leftChars="0" w:firstLine="0" w:firstLineChars="0"/>
                    <w:jc w:val="center"/>
                    <w:rPr>
                      <w:rFonts w:hint="default" w:ascii="Times New Roman" w:hAnsi="Times New Roman" w:cs="Times New Roman"/>
                      <w:b/>
                      <w:bCs/>
                      <w:color w:val="auto"/>
                      <w:sz w:val="21"/>
                      <w:szCs w:val="21"/>
                      <w:vertAlign w:val="baseline"/>
                      <w:lang w:eastAsia="zh-CN"/>
                    </w:rPr>
                  </w:pPr>
                  <w:r>
                    <w:rPr>
                      <w:rFonts w:hint="default" w:ascii="Times New Roman" w:hAnsi="Times New Roman" w:cs="Times New Roman"/>
                      <w:b/>
                      <w:bCs/>
                      <w:color w:val="auto"/>
                      <w:sz w:val="21"/>
                      <w:szCs w:val="21"/>
                      <w:vertAlign w:val="baseline"/>
                      <w:lang w:eastAsia="zh-CN"/>
                    </w:rPr>
                    <w:t>工程内容</w:t>
                  </w:r>
                </w:p>
              </w:tc>
            </w:tr>
            <w:tr w14:paraId="7FCBB7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Merge w:val="restart"/>
                  <w:vAlign w:val="center"/>
                </w:tcPr>
                <w:p w14:paraId="0C2CA7AE">
                  <w:pPr>
                    <w:keepNext w:val="0"/>
                    <w:keepLines w:val="0"/>
                    <w:widowControl/>
                    <w:suppressLineNumbers w:val="0"/>
                    <w:spacing w:line="240" w:lineRule="auto"/>
                    <w:jc w:val="both"/>
                    <w:rPr>
                      <w:rFonts w:hint="default" w:ascii="Times New Roman" w:hAnsi="Times New Roman" w:cs="Times New Roman"/>
                      <w:color w:val="auto"/>
                      <w:sz w:val="21"/>
                      <w:szCs w:val="21"/>
                    </w:rPr>
                  </w:pPr>
                  <w:r>
                    <w:rPr>
                      <w:rFonts w:hint="default" w:ascii="Times New Roman" w:hAnsi="Times New Roman" w:eastAsia="宋体" w:cs="Times New Roman"/>
                      <w:color w:val="auto"/>
                      <w:kern w:val="0"/>
                      <w:sz w:val="21"/>
                      <w:szCs w:val="21"/>
                      <w:lang w:val="en-US" w:eastAsia="zh-CN" w:bidi="ar"/>
                    </w:rPr>
                    <w:t>公用</w:t>
                  </w:r>
                </w:p>
                <w:p w14:paraId="28164D5F">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0"/>
                      <w:sz w:val="21"/>
                      <w:szCs w:val="21"/>
                      <w:lang w:val="en-US" w:eastAsia="zh-CN" w:bidi="ar"/>
                    </w:rPr>
                    <w:t>工程</w:t>
                  </w:r>
                </w:p>
              </w:tc>
              <w:tc>
                <w:tcPr>
                  <w:tcW w:w="1170" w:type="dxa"/>
                  <w:vAlign w:val="center"/>
                </w:tcPr>
                <w:p w14:paraId="5298245E">
                  <w:pPr>
                    <w:jc w:val="center"/>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供热</w:t>
                  </w:r>
                </w:p>
              </w:tc>
              <w:tc>
                <w:tcPr>
                  <w:tcW w:w="6081" w:type="dxa"/>
                  <w:vAlign w:val="center"/>
                </w:tcPr>
                <w:p w14:paraId="27D0CA1F">
                  <w:pPr>
                    <w:ind w:firstLine="420" w:firstLineChars="20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铁城煤矿供热、浴池用CH</w:t>
                  </w:r>
                  <w:r>
                    <w:rPr>
                      <w:rFonts w:hint="eastAsia" w:cs="Times New Roman"/>
                      <w:color w:val="auto"/>
                      <w:szCs w:val="21"/>
                      <w:lang w:val="en-US" w:eastAsia="zh-CN"/>
                    </w:rPr>
                    <w:t>HO.</w:t>
                  </w:r>
                  <w:r>
                    <w:rPr>
                      <w:rFonts w:hint="default" w:ascii="Times New Roman" w:hAnsi="Times New Roman" w:cs="Times New Roman"/>
                      <w:color w:val="auto"/>
                      <w:szCs w:val="21"/>
                    </w:rPr>
                    <w:t>7A 节能锅炉各一台，额定功率 0.1mw，容水量为700kg，由鸡西圣火锅炉厂生产。铁城煤矿矿井加热用一台鸡西市星光锅炉厂生产的RFLJY2.8型煤矿通用燃机热风炉,额定供热两位 1.05mw,额定送风量为 15800m</w:t>
                  </w:r>
                  <w:r>
                    <w:rPr>
                      <w:rFonts w:hint="eastAsia" w:cs="Times New Roman"/>
                      <w:color w:val="auto"/>
                      <w:szCs w:val="21"/>
                      <w:vertAlign w:val="superscript"/>
                      <w:lang w:val="en-US" w:eastAsia="zh-CN"/>
                    </w:rPr>
                    <w:t>3</w:t>
                  </w:r>
                  <w:r>
                    <w:rPr>
                      <w:rFonts w:hint="default" w:ascii="Times New Roman" w:hAnsi="Times New Roman" w:cs="Times New Roman"/>
                      <w:color w:val="auto"/>
                      <w:szCs w:val="21"/>
                    </w:rPr>
                    <w:t>/N。</w:t>
                  </w:r>
                </w:p>
              </w:tc>
            </w:tr>
            <w:tr w14:paraId="16783D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Merge w:val="continue"/>
                  <w:vAlign w:val="center"/>
                </w:tcPr>
                <w:p w14:paraId="228B3CC6">
                  <w:pPr>
                    <w:jc w:val="center"/>
                    <w:rPr>
                      <w:rFonts w:hint="default" w:ascii="Times New Roman" w:hAnsi="Times New Roman" w:eastAsia="宋体" w:cs="Times New Roman"/>
                      <w:color w:val="auto"/>
                      <w:kern w:val="2"/>
                      <w:sz w:val="21"/>
                      <w:szCs w:val="21"/>
                      <w:lang w:val="en-US" w:eastAsia="zh-CN" w:bidi="ar-SA"/>
                    </w:rPr>
                  </w:pPr>
                </w:p>
              </w:tc>
              <w:tc>
                <w:tcPr>
                  <w:tcW w:w="1170" w:type="dxa"/>
                  <w:vAlign w:val="center"/>
                </w:tcPr>
                <w:p w14:paraId="63520DD2">
                  <w:pPr>
                    <w:jc w:val="center"/>
                    <w:rPr>
                      <w:rFonts w:hint="default" w:ascii="Times New Roman" w:hAnsi="Times New Roman" w:cs="Times New Roman"/>
                      <w:color w:val="auto"/>
                      <w:szCs w:val="21"/>
                    </w:rPr>
                  </w:pPr>
                  <w:r>
                    <w:rPr>
                      <w:rFonts w:hint="default" w:ascii="Times New Roman" w:hAnsi="Times New Roman" w:cs="Times New Roman"/>
                      <w:color w:val="auto"/>
                      <w:szCs w:val="21"/>
                    </w:rPr>
                    <w:t>给水</w:t>
                  </w:r>
                </w:p>
              </w:tc>
              <w:tc>
                <w:tcPr>
                  <w:tcW w:w="6081" w:type="dxa"/>
                  <w:vAlign w:val="center"/>
                </w:tcPr>
                <w:p w14:paraId="6334C8AC">
                  <w:pPr>
                    <w:ind w:firstLine="420" w:firstLineChars="20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矿内生活用水水源来自兴凯湖用水，有供水管路供生活用水，浴池和锅炉使用。地面200m</w:t>
                  </w:r>
                  <w:r>
                    <w:rPr>
                      <w:rFonts w:hint="eastAsia" w:cs="Times New Roman"/>
                      <w:color w:val="auto"/>
                      <w:szCs w:val="21"/>
                      <w:vertAlign w:val="superscript"/>
                      <w:lang w:val="en-US" w:eastAsia="zh-CN"/>
                    </w:rPr>
                    <w:t>3</w:t>
                  </w:r>
                  <w:r>
                    <w:rPr>
                      <w:rFonts w:hint="default" w:ascii="Times New Roman" w:hAnsi="Times New Roman" w:cs="Times New Roman"/>
                      <w:color w:val="auto"/>
                      <w:szCs w:val="21"/>
                    </w:rPr>
                    <w:t>静压水池沉淀后，回用于井上、井下酒水降尘及本厂锅炉、</w:t>
                  </w:r>
                  <w:r>
                    <w:rPr>
                      <w:rFonts w:hint="eastAsia" w:cs="Times New Roman"/>
                      <w:color w:val="auto"/>
                      <w:szCs w:val="21"/>
                      <w:lang w:eastAsia="zh-CN"/>
                    </w:rPr>
                    <w:t>浴</w:t>
                  </w:r>
                  <w:r>
                    <w:rPr>
                      <w:rFonts w:hint="default" w:ascii="Times New Roman" w:hAnsi="Times New Roman" w:cs="Times New Roman"/>
                      <w:color w:val="auto"/>
                      <w:szCs w:val="21"/>
                    </w:rPr>
                    <w:t>池、洗衣房、绿化、消防用水。</w:t>
                  </w:r>
                </w:p>
              </w:tc>
            </w:tr>
            <w:tr w14:paraId="781C4D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Merge w:val="continue"/>
                  <w:vAlign w:val="center"/>
                </w:tcPr>
                <w:p w14:paraId="46F41972">
                  <w:pPr>
                    <w:jc w:val="center"/>
                    <w:rPr>
                      <w:rFonts w:hint="default" w:ascii="Times New Roman" w:hAnsi="Times New Roman" w:eastAsia="宋体" w:cs="Times New Roman"/>
                      <w:color w:val="auto"/>
                      <w:kern w:val="2"/>
                      <w:sz w:val="21"/>
                      <w:szCs w:val="21"/>
                      <w:lang w:val="en-US" w:eastAsia="zh-CN" w:bidi="ar-SA"/>
                    </w:rPr>
                  </w:pPr>
                </w:p>
              </w:tc>
              <w:tc>
                <w:tcPr>
                  <w:tcW w:w="1170" w:type="dxa"/>
                  <w:vAlign w:val="center"/>
                </w:tcPr>
                <w:p w14:paraId="59B0A6C8">
                  <w:pPr>
                    <w:jc w:val="center"/>
                    <w:rPr>
                      <w:rFonts w:hint="default" w:ascii="Times New Roman" w:hAnsi="Times New Roman" w:cs="Times New Roman"/>
                      <w:color w:val="auto"/>
                      <w:szCs w:val="21"/>
                    </w:rPr>
                  </w:pPr>
                  <w:r>
                    <w:rPr>
                      <w:rFonts w:hint="default" w:ascii="Times New Roman" w:hAnsi="Times New Roman" w:cs="Times New Roman"/>
                      <w:color w:val="auto"/>
                      <w:szCs w:val="21"/>
                    </w:rPr>
                    <w:t>排水</w:t>
                  </w:r>
                </w:p>
              </w:tc>
              <w:tc>
                <w:tcPr>
                  <w:tcW w:w="6081" w:type="dxa"/>
                  <w:vAlign w:val="center"/>
                </w:tcPr>
                <w:p w14:paraId="1EF35A3B">
                  <w:pPr>
                    <w:ind w:firstLine="420" w:firstLineChars="200"/>
                    <w:jc w:val="left"/>
                    <w:rPr>
                      <w:rFonts w:hint="eastAsia" w:ascii="Times New Roman" w:hAnsi="Times New Roman" w:eastAsia="宋体" w:cs="Times New Roman"/>
                      <w:color w:val="auto"/>
                      <w:kern w:val="2"/>
                      <w:sz w:val="21"/>
                      <w:szCs w:val="21"/>
                      <w:lang w:val="en-US" w:eastAsia="zh-CN" w:bidi="ar-SA"/>
                    </w:rPr>
                  </w:pPr>
                  <w:r>
                    <w:rPr>
                      <w:rFonts w:hint="eastAsia" w:ascii="宋体" w:hAnsi="宋体"/>
                      <w:color w:val="auto"/>
                      <w:sz w:val="21"/>
                      <w:szCs w:val="21"/>
                    </w:rPr>
                    <w:t>矿井一段井底-17m 设井底水仓，水仓通道设置在付井，风井联络巷附近，水仓由两条独立的巷道组成，当一条水仓清污时，另一条正常使用。水泵硐室长度50m，断面 8m</w:t>
                  </w:r>
                  <w:r>
                    <w:rPr>
                      <w:rFonts w:hint="eastAsia" w:ascii="宋体" w:hAnsi="宋体"/>
                      <w:color w:val="auto"/>
                      <w:sz w:val="21"/>
                      <w:szCs w:val="21"/>
                      <w:vertAlign w:val="superscript"/>
                      <w:lang w:val="en-US" w:eastAsia="zh-CN"/>
                    </w:rPr>
                    <w:t>2</w:t>
                  </w:r>
                  <w:r>
                    <w:rPr>
                      <w:rFonts w:hint="eastAsia" w:ascii="宋体" w:hAnsi="宋体"/>
                      <w:color w:val="auto"/>
                      <w:sz w:val="21"/>
                      <w:szCs w:val="21"/>
                    </w:rPr>
                    <w:t>，水仓长度 60m，硐室内安装三台水泵，水泵型号为100D-45*7，电极功率为132KW，排水管路选用Ф108*4无缝钢管两趟。</w:t>
                  </w:r>
                </w:p>
              </w:tc>
            </w:tr>
            <w:tr w14:paraId="686F68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Merge w:val="continue"/>
                  <w:vAlign w:val="center"/>
                </w:tcPr>
                <w:p w14:paraId="2CAC1777">
                  <w:pPr>
                    <w:jc w:val="center"/>
                    <w:rPr>
                      <w:rFonts w:hint="default" w:ascii="Times New Roman" w:hAnsi="Times New Roman" w:eastAsia="宋体" w:cs="Times New Roman"/>
                      <w:color w:val="auto"/>
                      <w:kern w:val="2"/>
                      <w:sz w:val="21"/>
                      <w:szCs w:val="21"/>
                      <w:lang w:val="en-US" w:eastAsia="zh-CN" w:bidi="ar-SA"/>
                    </w:rPr>
                  </w:pPr>
                </w:p>
              </w:tc>
              <w:tc>
                <w:tcPr>
                  <w:tcW w:w="1170" w:type="dxa"/>
                  <w:vAlign w:val="center"/>
                </w:tcPr>
                <w:p w14:paraId="664ACA6F">
                  <w:pPr>
                    <w:jc w:val="center"/>
                    <w:rPr>
                      <w:rFonts w:hint="default" w:ascii="Times New Roman" w:hAnsi="Times New Roman" w:cs="Times New Roman"/>
                      <w:color w:val="auto"/>
                      <w:szCs w:val="21"/>
                    </w:rPr>
                  </w:pPr>
                  <w:r>
                    <w:rPr>
                      <w:rFonts w:hint="default" w:ascii="Times New Roman" w:hAnsi="Times New Roman" w:cs="Times New Roman"/>
                      <w:color w:val="auto"/>
                      <w:szCs w:val="21"/>
                    </w:rPr>
                    <w:t>供电</w:t>
                  </w:r>
                </w:p>
              </w:tc>
              <w:tc>
                <w:tcPr>
                  <w:tcW w:w="6081" w:type="dxa"/>
                  <w:vAlign w:val="center"/>
                </w:tcPr>
                <w:p w14:paraId="1A9C1843">
                  <w:pPr>
                    <w:ind w:firstLine="420" w:firstLineChars="20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由城子河变电所和立井变电所供电。</w:t>
                  </w:r>
                </w:p>
              </w:tc>
            </w:tr>
            <w:tr w14:paraId="41EA52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7388E267">
                  <w:pPr>
                    <w:jc w:val="center"/>
                    <w:rPr>
                      <w:rFonts w:hint="default" w:ascii="Times New Roman" w:hAnsi="Times New Roman" w:eastAsia="宋体" w:cs="Times New Roman"/>
                      <w:color w:val="auto"/>
                      <w:kern w:val="2"/>
                      <w:sz w:val="21"/>
                      <w:szCs w:val="21"/>
                      <w:lang w:val="en-US" w:eastAsia="zh-CN" w:bidi="ar-SA"/>
                    </w:rPr>
                  </w:pPr>
                  <w:r>
                    <w:rPr>
                      <w:rFonts w:hint="eastAsia" w:cs="Times New Roman"/>
                      <w:color w:val="auto"/>
                      <w:kern w:val="2"/>
                      <w:sz w:val="21"/>
                      <w:szCs w:val="21"/>
                      <w:lang w:val="en-US" w:eastAsia="zh-CN" w:bidi="ar-SA"/>
                    </w:rPr>
                    <w:t>环保工程</w:t>
                  </w:r>
                </w:p>
              </w:tc>
              <w:tc>
                <w:tcPr>
                  <w:tcW w:w="1170" w:type="dxa"/>
                  <w:vAlign w:val="center"/>
                </w:tcPr>
                <w:p w14:paraId="654509FE">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废水</w:t>
                  </w:r>
                </w:p>
              </w:tc>
              <w:tc>
                <w:tcPr>
                  <w:tcW w:w="6081" w:type="dxa"/>
                  <w:vAlign w:val="center"/>
                </w:tcPr>
                <w:p w14:paraId="15F5C5B8">
                  <w:pPr>
                    <w:ind w:firstLine="420" w:firstLineChars="200"/>
                    <w:jc w:val="left"/>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本项目生产废水只有锅炉废水，废水量1.6m</w:t>
                  </w:r>
                  <w:r>
                    <w:rPr>
                      <w:rFonts w:hint="eastAsia" w:cs="Times New Roman"/>
                      <w:color w:val="auto"/>
                      <w:szCs w:val="21"/>
                      <w:vertAlign w:val="superscript"/>
                      <w:lang w:val="en-US" w:eastAsia="zh-CN"/>
                    </w:rPr>
                    <w:t>3</w:t>
                  </w:r>
                  <w:r>
                    <w:rPr>
                      <w:rFonts w:hint="eastAsia" w:cs="Times New Roman"/>
                      <w:color w:val="auto"/>
                      <w:szCs w:val="21"/>
                      <w:lang w:val="en-US" w:eastAsia="zh-CN"/>
                    </w:rPr>
                    <w:t>/</w:t>
                  </w:r>
                  <w:r>
                    <w:rPr>
                      <w:rFonts w:hint="default" w:ascii="Times New Roman" w:hAnsi="Times New Roman" w:cs="Times New Roman"/>
                      <w:color w:val="auto"/>
                      <w:szCs w:val="21"/>
                    </w:rPr>
                    <w:t>d，同生活污水一同经 100m</w:t>
                  </w:r>
                  <w:r>
                    <w:rPr>
                      <w:rFonts w:hint="eastAsia" w:cs="Times New Roman"/>
                      <w:color w:val="auto"/>
                      <w:szCs w:val="21"/>
                      <w:vertAlign w:val="superscript"/>
                      <w:lang w:val="en-US" w:eastAsia="zh-CN"/>
                    </w:rPr>
                    <w:t>3</w:t>
                  </w:r>
                  <w:r>
                    <w:rPr>
                      <w:rFonts w:hint="eastAsia" w:cs="Times New Roman"/>
                      <w:color w:val="auto"/>
                      <w:szCs w:val="21"/>
                      <w:lang w:val="en-US" w:eastAsia="zh-CN"/>
                    </w:rPr>
                    <w:t>/</w:t>
                  </w:r>
                  <w:r>
                    <w:rPr>
                      <w:rFonts w:hint="default" w:ascii="Times New Roman" w:hAnsi="Times New Roman" w:cs="Times New Roman"/>
                      <w:color w:val="auto"/>
                      <w:szCs w:val="21"/>
                    </w:rPr>
                    <w:t>d 处理能力的一体化设备处理后达标后排入地面静压水池。本工程生活污水来自办公室、浴池、洗衣房等，生活污水产生量为58.24m</w:t>
                  </w:r>
                  <w:r>
                    <w:rPr>
                      <w:rFonts w:hint="eastAsia" w:cs="Times New Roman"/>
                      <w:color w:val="auto"/>
                      <w:szCs w:val="21"/>
                      <w:vertAlign w:val="superscript"/>
                      <w:lang w:val="en-US" w:eastAsia="zh-CN"/>
                    </w:rPr>
                    <w:t>3</w:t>
                  </w:r>
                  <w:r>
                    <w:rPr>
                      <w:rFonts w:hint="eastAsia" w:cs="Times New Roman"/>
                      <w:color w:val="auto"/>
                      <w:szCs w:val="21"/>
                      <w:lang w:val="en-US" w:eastAsia="zh-CN"/>
                    </w:rPr>
                    <w:t>/</w:t>
                  </w:r>
                  <w:r>
                    <w:rPr>
                      <w:rFonts w:hint="default" w:ascii="Times New Roman" w:hAnsi="Times New Roman" w:cs="Times New Roman"/>
                      <w:color w:val="auto"/>
                      <w:szCs w:val="21"/>
                    </w:rPr>
                    <w:t>d，生活污水经一体化设备处理后达标后排入地面静压水池供井下消尘用水，废水不外排。</w:t>
                  </w:r>
                </w:p>
              </w:tc>
            </w:tr>
            <w:tr w14:paraId="11294F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12B8A0D1">
                  <w:pPr>
                    <w:jc w:val="center"/>
                    <w:rPr>
                      <w:rFonts w:hint="eastAsia" w:cs="Times New Roman"/>
                      <w:color w:val="auto"/>
                      <w:kern w:val="2"/>
                      <w:sz w:val="21"/>
                      <w:szCs w:val="21"/>
                      <w:lang w:val="en-US" w:eastAsia="zh-CN" w:bidi="ar-SA"/>
                    </w:rPr>
                  </w:pPr>
                </w:p>
              </w:tc>
              <w:tc>
                <w:tcPr>
                  <w:tcW w:w="1170" w:type="dxa"/>
                  <w:vAlign w:val="center"/>
                </w:tcPr>
                <w:p w14:paraId="2F4BBFE5">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废气</w:t>
                  </w:r>
                </w:p>
              </w:tc>
              <w:tc>
                <w:tcPr>
                  <w:tcW w:w="6081" w:type="dxa"/>
                  <w:vAlign w:val="center"/>
                </w:tcPr>
                <w:p w14:paraId="343AD789">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洗浴锅炉、供暖锅炉及热风炉产生的废气通过各自</w:t>
                  </w:r>
                  <w:r>
                    <w:rPr>
                      <w:rFonts w:hint="eastAsia" w:cs="Times New Roman"/>
                      <w:color w:val="auto"/>
                      <w:szCs w:val="21"/>
                      <w:lang w:eastAsia="zh-CN"/>
                    </w:rPr>
                    <w:t>烟囱</w:t>
                  </w:r>
                  <w:r>
                    <w:rPr>
                      <w:rFonts w:hint="default" w:ascii="Times New Roman" w:hAnsi="Times New Roman" w:cs="Times New Roman"/>
                      <w:color w:val="auto"/>
                      <w:szCs w:val="21"/>
                    </w:rPr>
                    <w:t>排放，共三个</w:t>
                  </w:r>
                  <w:r>
                    <w:rPr>
                      <w:rFonts w:hint="eastAsia" w:cs="Times New Roman"/>
                      <w:color w:val="auto"/>
                      <w:szCs w:val="21"/>
                      <w:lang w:eastAsia="zh-CN"/>
                    </w:rPr>
                    <w:t>烟囱</w:t>
                  </w:r>
                  <w:r>
                    <w:rPr>
                      <w:rFonts w:hint="default" w:ascii="Times New Roman" w:hAnsi="Times New Roman" w:cs="Times New Roman"/>
                      <w:color w:val="auto"/>
                      <w:szCs w:val="21"/>
                    </w:rPr>
                    <w:t xml:space="preserve">。洗浴采用 CHH0.1-A 环保型热水锅炉产生的废气经布袋除尘器处理后通过 </w:t>
                  </w:r>
                  <w:r>
                    <w:rPr>
                      <w:rFonts w:hint="eastAsia" w:cs="Times New Roman"/>
                      <w:color w:val="auto"/>
                      <w:szCs w:val="21"/>
                      <w:lang w:val="en-US" w:eastAsia="zh-CN"/>
                    </w:rPr>
                    <w:t>20</w:t>
                  </w:r>
                  <w:r>
                    <w:rPr>
                      <w:rFonts w:hint="default" w:ascii="Times New Roman" w:hAnsi="Times New Roman" w:cs="Times New Roman"/>
                      <w:color w:val="auto"/>
                      <w:szCs w:val="21"/>
                    </w:rPr>
                    <w:t>m 高</w:t>
                  </w:r>
                  <w:r>
                    <w:rPr>
                      <w:rFonts w:hint="eastAsia" w:cs="Times New Roman"/>
                      <w:color w:val="auto"/>
                      <w:szCs w:val="21"/>
                      <w:lang w:eastAsia="zh-CN"/>
                    </w:rPr>
                    <w:t>烟囱</w:t>
                  </w:r>
                  <w:r>
                    <w:rPr>
                      <w:rFonts w:hint="default" w:ascii="Times New Roman" w:hAnsi="Times New Roman" w:cs="Times New Roman"/>
                      <w:color w:val="auto"/>
                      <w:szCs w:val="21"/>
                    </w:rPr>
                    <w:t>排放</w:t>
                  </w:r>
                  <w:r>
                    <w:rPr>
                      <w:rFonts w:hint="eastAsia" w:cs="Times New Roman"/>
                      <w:color w:val="auto"/>
                      <w:szCs w:val="21"/>
                      <w:lang w:eastAsia="zh-CN"/>
                    </w:rPr>
                    <w:t>；</w:t>
                  </w:r>
                  <w:r>
                    <w:rPr>
                      <w:rFonts w:hint="default" w:ascii="Times New Roman" w:hAnsi="Times New Roman" w:cs="Times New Roman"/>
                      <w:color w:val="auto"/>
                      <w:szCs w:val="21"/>
                    </w:rPr>
                    <w:t>办公室供暖采用的 CHH0.1-A 环保型热水锅炉产生的废气经布袋除尘器处理后通过 20m 高</w:t>
                  </w:r>
                  <w:r>
                    <w:rPr>
                      <w:rFonts w:hint="eastAsia" w:cs="Times New Roman"/>
                      <w:color w:val="auto"/>
                      <w:szCs w:val="21"/>
                      <w:lang w:eastAsia="zh-CN"/>
                    </w:rPr>
                    <w:t>烟囱</w:t>
                  </w:r>
                  <w:r>
                    <w:rPr>
                      <w:rFonts w:hint="default" w:ascii="Times New Roman" w:hAnsi="Times New Roman" w:cs="Times New Roman"/>
                      <w:color w:val="auto"/>
                      <w:szCs w:val="21"/>
                    </w:rPr>
                    <w:t>排放</w:t>
                  </w:r>
                  <w:r>
                    <w:rPr>
                      <w:rFonts w:hint="eastAsia" w:cs="Times New Roman"/>
                      <w:color w:val="auto"/>
                      <w:szCs w:val="21"/>
                      <w:lang w:eastAsia="zh-CN"/>
                    </w:rPr>
                    <w:t>；</w:t>
                  </w:r>
                  <w:r>
                    <w:rPr>
                      <w:rFonts w:hint="default" w:ascii="Times New Roman" w:hAnsi="Times New Roman" w:cs="Times New Roman"/>
                      <w:color w:val="auto"/>
                      <w:szCs w:val="21"/>
                    </w:rPr>
                    <w:t>井下供暖采用的 RFLJY2.8 型热风炉。燃煤产生的废气经布袋除尘器处理后通过 25m 高</w:t>
                  </w:r>
                  <w:r>
                    <w:rPr>
                      <w:rFonts w:hint="eastAsia" w:cs="Times New Roman"/>
                      <w:color w:val="auto"/>
                      <w:szCs w:val="21"/>
                      <w:lang w:eastAsia="zh-CN"/>
                    </w:rPr>
                    <w:t>烟囱</w:t>
                  </w:r>
                  <w:r>
                    <w:rPr>
                      <w:rFonts w:hint="default" w:ascii="Times New Roman" w:hAnsi="Times New Roman" w:cs="Times New Roman"/>
                      <w:color w:val="auto"/>
                      <w:szCs w:val="21"/>
                    </w:rPr>
                    <w:t>排放。锅炉及热风炉废气经处理后可满足《锅炉大气污染物排放标准》(GB 13271-2014)表2燃煤锅炉标准。原煤翻卸、建设全封闭储煤场、矸石倾卸采用酒水车对其进行洒水保持湿润</w:t>
                  </w:r>
                  <w:r>
                    <w:rPr>
                      <w:rFonts w:hint="eastAsia" w:cs="Times New Roman"/>
                      <w:color w:val="auto"/>
                      <w:szCs w:val="21"/>
                      <w:lang w:eastAsia="zh-CN"/>
                    </w:rPr>
                    <w:t>；</w:t>
                  </w:r>
                  <w:r>
                    <w:rPr>
                      <w:rFonts w:hint="default" w:ascii="Times New Roman" w:hAnsi="Times New Roman" w:cs="Times New Roman"/>
                      <w:color w:val="auto"/>
                      <w:szCs w:val="21"/>
                    </w:rPr>
                    <w:t>厂区四周修建2米高围墙，严格控制扬尘。厂界颗粒物排放浓度满足《煤炭工业污染物排放标准》(GB 20426-2006)中表5无组织排放标准限值的要求。</w:t>
                  </w:r>
                </w:p>
              </w:tc>
            </w:tr>
            <w:tr w14:paraId="613D6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0AE0FE64">
                  <w:pPr>
                    <w:jc w:val="center"/>
                    <w:rPr>
                      <w:rFonts w:hint="eastAsia" w:cs="Times New Roman"/>
                      <w:color w:val="auto"/>
                      <w:kern w:val="2"/>
                      <w:sz w:val="21"/>
                      <w:szCs w:val="21"/>
                      <w:lang w:val="en-US" w:eastAsia="zh-CN" w:bidi="ar-SA"/>
                    </w:rPr>
                  </w:pPr>
                </w:p>
              </w:tc>
              <w:tc>
                <w:tcPr>
                  <w:tcW w:w="1170" w:type="dxa"/>
                  <w:vAlign w:val="center"/>
                </w:tcPr>
                <w:p w14:paraId="6F873818">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噪声</w:t>
                  </w:r>
                </w:p>
              </w:tc>
              <w:tc>
                <w:tcPr>
                  <w:tcW w:w="6081" w:type="dxa"/>
                  <w:vAlign w:val="center"/>
                </w:tcPr>
                <w:p w14:paraId="302B0162">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本工程采用技术新、噪声低的设备。对各类噪声设备进行定期检修，使其正常运转。在各噪声源周围绿化植树，以消减噪声强度。采取上述措施后厂界噪声符合《工业企业厂界环境噪声排放标准》(GB12348-2008)中2标准。</w:t>
                  </w:r>
                </w:p>
              </w:tc>
            </w:tr>
            <w:tr w14:paraId="0B3287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4C3CB3D7">
                  <w:pPr>
                    <w:jc w:val="center"/>
                    <w:rPr>
                      <w:rFonts w:hint="eastAsia" w:cs="Times New Roman"/>
                      <w:color w:val="auto"/>
                      <w:kern w:val="2"/>
                      <w:sz w:val="21"/>
                      <w:szCs w:val="21"/>
                      <w:lang w:val="en-US" w:eastAsia="zh-CN" w:bidi="ar-SA"/>
                    </w:rPr>
                  </w:pPr>
                </w:p>
              </w:tc>
              <w:tc>
                <w:tcPr>
                  <w:tcW w:w="1170" w:type="dxa"/>
                  <w:vAlign w:val="center"/>
                </w:tcPr>
                <w:p w14:paraId="2CE1F25E">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固体废物</w:t>
                  </w:r>
                </w:p>
              </w:tc>
              <w:tc>
                <w:tcPr>
                  <w:tcW w:w="6081" w:type="dxa"/>
                  <w:vAlign w:val="center"/>
                </w:tcPr>
                <w:p w14:paraId="695458C2">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本项目己制定水土保持方案，土壤复垦方案正在办理。矸石一部分用于充填沟壑和修整道路，另有一小部分在临时矸石场暂存，定期用洒水车对矸石场进行酒水抑尘。生活垃圾在厂内收集后，由环卫部门集中收集运至垃圾处理厂集中填埋处置。</w:t>
                  </w:r>
                </w:p>
                <w:p w14:paraId="4FA2EDAD">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炉渣用于铺路。</w:t>
                  </w:r>
                </w:p>
              </w:tc>
            </w:tr>
            <w:tr w14:paraId="2F7F94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4B9B13C4">
                  <w:pPr>
                    <w:jc w:val="center"/>
                    <w:rPr>
                      <w:rFonts w:hint="eastAsia" w:cs="Times New Roman"/>
                      <w:color w:val="auto"/>
                      <w:kern w:val="2"/>
                      <w:sz w:val="21"/>
                      <w:szCs w:val="21"/>
                      <w:lang w:val="en-US" w:eastAsia="zh-CN" w:bidi="ar-SA"/>
                    </w:rPr>
                  </w:pPr>
                </w:p>
              </w:tc>
              <w:tc>
                <w:tcPr>
                  <w:tcW w:w="1170" w:type="dxa"/>
                  <w:vAlign w:val="center"/>
                </w:tcPr>
                <w:p w14:paraId="5771AE91">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地下水</w:t>
                  </w:r>
                </w:p>
              </w:tc>
              <w:tc>
                <w:tcPr>
                  <w:tcW w:w="6081" w:type="dxa"/>
                  <w:vAlign w:val="center"/>
                </w:tcPr>
                <w:p w14:paraId="11CD6194">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在工业场地内设一口地下水监测井(坐标为:131.04330824，45.35893377)和矸石厂设地下水监测井</w:t>
                  </w:r>
                  <w:r>
                    <w:rPr>
                      <w:rFonts w:hint="eastAsia" w:cs="Times New Roman"/>
                      <w:color w:val="auto"/>
                      <w:szCs w:val="21"/>
                      <w:lang w:eastAsia="zh-CN"/>
                    </w:rPr>
                    <w:t>（</w:t>
                  </w:r>
                  <w:r>
                    <w:rPr>
                      <w:rFonts w:hint="default" w:ascii="Times New Roman" w:hAnsi="Times New Roman" w:cs="Times New Roman"/>
                      <w:color w:val="auto"/>
                      <w:szCs w:val="21"/>
                    </w:rPr>
                    <w:t>坐标为:131.04332417，45.35899673</w:t>
                  </w:r>
                  <w:r>
                    <w:rPr>
                      <w:rFonts w:hint="eastAsia" w:cs="Times New Roman"/>
                      <w:color w:val="auto"/>
                      <w:szCs w:val="21"/>
                      <w:lang w:eastAsia="zh-CN"/>
                    </w:rPr>
                    <w:t>）</w:t>
                  </w:r>
                </w:p>
              </w:tc>
            </w:tr>
            <w:tr w14:paraId="2DE2B5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668" w:type="dxa"/>
                  <w:vAlign w:val="center"/>
                </w:tcPr>
                <w:p w14:paraId="0E859D9E">
                  <w:pPr>
                    <w:jc w:val="center"/>
                    <w:rPr>
                      <w:rFonts w:hint="eastAsia" w:cs="Times New Roman"/>
                      <w:color w:val="auto"/>
                      <w:kern w:val="2"/>
                      <w:sz w:val="21"/>
                      <w:szCs w:val="21"/>
                      <w:lang w:val="en-US" w:eastAsia="zh-CN" w:bidi="ar-SA"/>
                    </w:rPr>
                  </w:pPr>
                </w:p>
              </w:tc>
              <w:tc>
                <w:tcPr>
                  <w:tcW w:w="1170" w:type="dxa"/>
                  <w:vAlign w:val="center"/>
                </w:tcPr>
                <w:p w14:paraId="4D3DF5AF">
                  <w:pPr>
                    <w:jc w:val="center"/>
                    <w:rPr>
                      <w:rFonts w:hint="eastAsia" w:ascii="Times New Roman" w:hAnsi="Times New Roman" w:eastAsia="宋体" w:cs="Times New Roman"/>
                      <w:color w:val="auto"/>
                      <w:szCs w:val="21"/>
                      <w:lang w:eastAsia="zh-CN"/>
                    </w:rPr>
                  </w:pPr>
                  <w:r>
                    <w:rPr>
                      <w:rFonts w:hint="eastAsia" w:cs="Times New Roman"/>
                      <w:color w:val="auto"/>
                      <w:szCs w:val="21"/>
                      <w:lang w:eastAsia="zh-CN"/>
                    </w:rPr>
                    <w:t>生态</w:t>
                  </w:r>
                </w:p>
              </w:tc>
              <w:tc>
                <w:tcPr>
                  <w:tcW w:w="6081" w:type="dxa"/>
                  <w:vAlign w:val="center"/>
                </w:tcPr>
                <w:p w14:paraId="53BD9057">
                  <w:pPr>
                    <w:ind w:firstLine="420" w:firstLineChars="200"/>
                    <w:jc w:val="left"/>
                    <w:rPr>
                      <w:rFonts w:hint="default" w:ascii="Times New Roman" w:hAnsi="Times New Roman" w:cs="Times New Roman"/>
                      <w:color w:val="auto"/>
                      <w:szCs w:val="21"/>
                    </w:rPr>
                  </w:pPr>
                  <w:r>
                    <w:rPr>
                      <w:rFonts w:hint="default" w:ascii="Times New Roman" w:hAnsi="Times New Roman" w:cs="Times New Roman"/>
                      <w:color w:val="auto"/>
                      <w:szCs w:val="21"/>
                    </w:rPr>
                    <w:t>本项目己修建排水沟，对场地进行绿化。服务期满后工业场地没有基建拆迁工程，不破坏场内绿地植被，目前煤矿矿区未发现明显沉陷，没有新的水土流失。</w:t>
                  </w:r>
                </w:p>
              </w:tc>
            </w:tr>
          </w:tbl>
          <w:p w14:paraId="04C26365">
            <w:pPr>
              <w:pStyle w:val="38"/>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firstLine="480" w:firstLineChars="200"/>
              <w:jc w:val="both"/>
              <w:textAlignment w:val="auto"/>
              <w:rPr>
                <w:rFonts w:hint="default" w:ascii="Times New Roman" w:hAnsi="Times New Roman" w:cs="Times New Roman"/>
                <w:b w:val="0"/>
                <w:bCs/>
                <w:color w:val="auto"/>
                <w:sz w:val="24"/>
                <w:szCs w:val="24"/>
                <w:highlight w:val="none"/>
                <w:lang w:val="en-US" w:eastAsia="zh-CN"/>
              </w:rPr>
            </w:pPr>
            <w:r>
              <w:rPr>
                <w:rFonts w:hint="default" w:ascii="Times New Roman" w:hAnsi="Times New Roman" w:cs="Times New Roman"/>
                <w:b w:val="0"/>
                <w:bCs/>
                <w:color w:val="auto"/>
                <w:sz w:val="24"/>
                <w:szCs w:val="24"/>
                <w:highlight w:val="none"/>
                <w:lang w:val="en-US" w:eastAsia="zh-CN"/>
              </w:rPr>
              <w:t>三、原有污染物排放情况及环保措施</w:t>
            </w:r>
          </w:p>
          <w:p w14:paraId="3F7E45BA">
            <w:pPr>
              <w:pStyle w:val="38"/>
              <w:keepNext w:val="0"/>
              <w:keepLines w:val="0"/>
              <w:pageBreakBefore w:val="0"/>
              <w:widowControl w:val="0"/>
              <w:numPr>
                <w:ilvl w:val="0"/>
                <w:numId w:val="0"/>
              </w:numPr>
              <w:kinsoku/>
              <w:wordWrap/>
              <w:overflowPunct/>
              <w:topLinePunct w:val="0"/>
              <w:autoSpaceDE w:val="0"/>
              <w:autoSpaceDN w:val="0"/>
              <w:bidi w:val="0"/>
              <w:adjustRightInd w:val="0"/>
              <w:snapToGrid/>
              <w:spacing w:line="360" w:lineRule="auto"/>
              <w:ind w:leftChars="200"/>
              <w:jc w:val="both"/>
              <w:textAlignment w:val="auto"/>
              <w:rPr>
                <w:rFonts w:hint="default" w:ascii="Times New Roman" w:hAnsi="Times New Roman" w:cs="Times New Roman"/>
                <w:b w:val="0"/>
                <w:bCs/>
                <w:color w:val="auto"/>
                <w:sz w:val="24"/>
                <w:szCs w:val="24"/>
                <w:lang w:val="en-US" w:eastAsia="zh-CN"/>
              </w:rPr>
            </w:pPr>
            <w:r>
              <w:rPr>
                <w:rFonts w:hint="default" w:ascii="Times New Roman" w:hAnsi="Times New Roman" w:cs="Times New Roman"/>
                <w:b w:val="0"/>
                <w:bCs/>
                <w:color w:val="auto"/>
                <w:sz w:val="24"/>
                <w:szCs w:val="24"/>
                <w:lang w:val="en-US" w:eastAsia="zh-CN"/>
              </w:rPr>
              <w:t>1、</w:t>
            </w:r>
            <w:r>
              <w:rPr>
                <w:rFonts w:hint="eastAsia" w:ascii="Times New Roman" w:hAnsi="Times New Roman" w:cs="Times New Roman"/>
                <w:b w:val="0"/>
                <w:bCs/>
                <w:color w:val="auto"/>
                <w:sz w:val="24"/>
                <w:szCs w:val="24"/>
                <w:lang w:val="en-US" w:eastAsia="zh-CN"/>
              </w:rPr>
              <w:t>废水</w:t>
            </w:r>
          </w:p>
          <w:p w14:paraId="5B2E4636">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eastAsia" w:cs="Times New Roman"/>
                <w:color w:val="auto"/>
                <w:kern w:val="0"/>
                <w:sz w:val="24"/>
                <w:szCs w:val="24"/>
                <w:lang w:val="en-US" w:eastAsia="zh-CN" w:bidi="ar-SA"/>
              </w:rPr>
              <w:t>①矿井水处理</w:t>
            </w:r>
          </w:p>
          <w:p w14:paraId="5E9479F1">
            <w:pPr>
              <w:pStyle w:val="16"/>
              <w:numPr>
                <w:ilvl w:val="0"/>
                <w:numId w:val="0"/>
              </w:numPr>
              <w:spacing w:line="360" w:lineRule="auto"/>
              <w:ind w:firstLine="480" w:firstLineChars="200"/>
              <w:rPr>
                <w:rFonts w:ascii="宋体" w:hAnsi="宋体" w:eastAsia="宋体" w:cs="宋体"/>
                <w:b w:val="0"/>
                <w:bCs w:val="0"/>
                <w:color w:val="auto"/>
                <w:sz w:val="24"/>
                <w:szCs w:val="24"/>
              </w:rPr>
            </w:pPr>
            <w:r>
              <w:rPr>
                <w:rFonts w:ascii="宋体" w:hAnsi="宋体" w:eastAsia="宋体" w:cs="宋体"/>
                <w:b w:val="0"/>
                <w:bCs w:val="0"/>
                <w:color w:val="auto"/>
                <w:sz w:val="24"/>
                <w:szCs w:val="24"/>
              </w:rPr>
              <w:t>本工程矿井正常涌水量为</w:t>
            </w:r>
            <w:r>
              <w:rPr>
                <w:rFonts w:ascii="TimesNewRomanPSMT" w:hAnsi="TimesNewRomanPSMT" w:eastAsia="TimesNewRomanPSMT" w:cs="TimesNewRomanPSMT"/>
                <w:b w:val="0"/>
                <w:bCs w:val="0"/>
                <w:color w:val="auto"/>
                <w:sz w:val="24"/>
                <w:szCs w:val="24"/>
              </w:rPr>
              <w:t>40m</w:t>
            </w:r>
            <w:r>
              <w:rPr>
                <w:rFonts w:hint="eastAsia" w:ascii="TimesNewRomanPSMT" w:hAnsi="TimesNewRomanPSMT" w:eastAsia="宋体" w:cs="TimesNewRomanPSMT"/>
                <w:b w:val="0"/>
                <w:bCs w:val="0"/>
                <w:color w:val="auto"/>
                <w:sz w:val="24"/>
                <w:szCs w:val="24"/>
                <w:vertAlign w:val="superscript"/>
                <w:lang w:val="en-US" w:eastAsia="zh-CN"/>
              </w:rPr>
              <w:t>3</w:t>
            </w:r>
            <w:r>
              <w:rPr>
                <w:rFonts w:hint="default" w:ascii="TimesNewRomanPSMT" w:hAnsi="TimesNewRomanPSMT" w:eastAsia="TimesNewRomanPSMT" w:cs="TimesNewRomanPSMT"/>
                <w:b w:val="0"/>
                <w:bCs w:val="0"/>
                <w:color w:val="auto"/>
                <w:sz w:val="15"/>
                <w:szCs w:val="15"/>
              </w:rPr>
              <w:t xml:space="preserve"> </w:t>
            </w:r>
            <w:r>
              <w:rPr>
                <w:rFonts w:hint="default" w:ascii="TimesNewRomanPSMT" w:hAnsi="TimesNewRomanPSMT" w:eastAsia="TimesNewRomanPSMT" w:cs="TimesNewRomanPSMT"/>
                <w:b w:val="0"/>
                <w:bCs w:val="0"/>
                <w:color w:val="auto"/>
                <w:sz w:val="24"/>
                <w:szCs w:val="24"/>
              </w:rPr>
              <w:t>/d</w:t>
            </w:r>
            <w:r>
              <w:rPr>
                <w:rFonts w:ascii="宋体" w:hAnsi="宋体" w:eastAsia="宋体" w:cs="宋体"/>
                <w:b w:val="0"/>
                <w:bCs w:val="0"/>
                <w:color w:val="auto"/>
                <w:sz w:val="24"/>
                <w:szCs w:val="24"/>
              </w:rPr>
              <w:t>，每天涌水时间在</w:t>
            </w:r>
            <w:r>
              <w:rPr>
                <w:rFonts w:hint="default" w:ascii="TimesNewRomanPSMT" w:hAnsi="TimesNewRomanPSMT" w:eastAsia="TimesNewRomanPSMT" w:cs="TimesNewRomanPSMT"/>
                <w:b w:val="0"/>
                <w:bCs w:val="0"/>
                <w:color w:val="auto"/>
                <w:sz w:val="24"/>
                <w:szCs w:val="24"/>
              </w:rPr>
              <w:t>24</w:t>
            </w:r>
            <w:r>
              <w:rPr>
                <w:rFonts w:ascii="宋体" w:hAnsi="宋体" w:eastAsia="宋体" w:cs="宋体"/>
                <w:b w:val="0"/>
                <w:bCs w:val="0"/>
                <w:color w:val="auto"/>
                <w:sz w:val="24"/>
                <w:szCs w:val="24"/>
              </w:rPr>
              <w:t>个小时左右，平均每天涌水量 为</w:t>
            </w:r>
            <w:r>
              <w:rPr>
                <w:rFonts w:hint="default" w:ascii="TimesNewRomanPSMT" w:hAnsi="TimesNewRomanPSMT" w:eastAsia="TimesNewRomanPSMT" w:cs="TimesNewRomanPSMT"/>
                <w:b w:val="0"/>
                <w:bCs w:val="0"/>
                <w:color w:val="auto"/>
                <w:sz w:val="24"/>
                <w:szCs w:val="24"/>
              </w:rPr>
              <w:t>960m</w:t>
            </w:r>
            <w:r>
              <w:rPr>
                <w:rFonts w:hint="eastAsia" w:ascii="TimesNewRomanPSMT" w:hAnsi="TimesNewRomanPSMT" w:eastAsia="宋体" w:cs="TimesNewRomanPSMT"/>
                <w:b w:val="0"/>
                <w:bCs w:val="0"/>
                <w:color w:val="auto"/>
                <w:sz w:val="24"/>
                <w:szCs w:val="24"/>
                <w:vertAlign w:val="superscript"/>
                <w:lang w:val="en-US" w:eastAsia="zh-CN"/>
              </w:rPr>
              <w:t>3</w:t>
            </w:r>
            <w:r>
              <w:rPr>
                <w:rFonts w:hint="default" w:ascii="TimesNewRomanPSMT" w:hAnsi="TimesNewRomanPSMT" w:eastAsia="TimesNewRomanPSMT" w:cs="TimesNewRomanPSMT"/>
                <w:b w:val="0"/>
                <w:bCs w:val="0"/>
                <w:color w:val="auto"/>
                <w:sz w:val="15"/>
                <w:szCs w:val="15"/>
              </w:rPr>
              <w:t xml:space="preserve"> </w:t>
            </w:r>
            <w:r>
              <w:rPr>
                <w:rFonts w:hint="default" w:ascii="TimesNewRomanPSMT" w:hAnsi="TimesNewRomanPSMT" w:eastAsia="TimesNewRomanPSMT" w:cs="TimesNewRomanPSMT"/>
                <w:b w:val="0"/>
                <w:bCs w:val="0"/>
                <w:color w:val="auto"/>
                <w:sz w:val="24"/>
                <w:szCs w:val="24"/>
              </w:rPr>
              <w:t>/d</w:t>
            </w:r>
            <w:r>
              <w:rPr>
                <w:rFonts w:ascii="宋体" w:hAnsi="宋体" w:eastAsia="宋体" w:cs="宋体"/>
                <w:b w:val="0"/>
                <w:bCs w:val="0"/>
                <w:color w:val="auto"/>
                <w:sz w:val="24"/>
                <w:szCs w:val="24"/>
              </w:rPr>
              <w:t>，主要污染物为悬浮物。</w:t>
            </w:r>
          </w:p>
          <w:p w14:paraId="2EDF6143">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本矿井</w:t>
            </w:r>
            <w:r>
              <w:rPr>
                <w:rFonts w:hint="eastAsia" w:cs="Times New Roman"/>
                <w:color w:val="auto"/>
                <w:kern w:val="0"/>
                <w:sz w:val="24"/>
                <w:szCs w:val="24"/>
                <w:lang w:val="en-US" w:eastAsia="zh-CN" w:bidi="ar-SA"/>
              </w:rPr>
              <w:t>涌水</w:t>
            </w:r>
            <w:r>
              <w:rPr>
                <w:rFonts w:hint="default" w:ascii="Times New Roman" w:hAnsi="Times New Roman" w:cs="Times New Roman"/>
                <w:color w:val="auto"/>
                <w:kern w:val="0"/>
                <w:sz w:val="24"/>
                <w:szCs w:val="24"/>
                <w:lang w:val="en-US" w:eastAsia="zh-CN" w:bidi="ar-SA"/>
              </w:rPr>
              <w:t>经处理后一部分作为井下消防和防尘用水、锅炉补充水及绿化用水，另一部分用于洗浴及其它生活用水，多余部分排入穆</w:t>
            </w:r>
            <w:r>
              <w:rPr>
                <w:rFonts w:hint="eastAsia" w:cs="Times New Roman"/>
                <w:color w:val="auto"/>
                <w:kern w:val="0"/>
                <w:sz w:val="24"/>
                <w:szCs w:val="24"/>
                <w:lang w:val="en-US" w:eastAsia="zh-CN" w:bidi="ar-SA"/>
              </w:rPr>
              <w:t>棱</w:t>
            </w:r>
            <w:r>
              <w:rPr>
                <w:rFonts w:hint="default" w:ascii="Times New Roman" w:hAnsi="Times New Roman" w:cs="Times New Roman"/>
                <w:color w:val="auto"/>
                <w:kern w:val="0"/>
                <w:sz w:val="24"/>
                <w:szCs w:val="24"/>
                <w:lang w:val="en-US" w:eastAsia="zh-CN" w:bidi="ar-SA"/>
              </w:rPr>
              <w:t>河。冬季排水时，要设专人看管维护，防止矿井水漫出河床，淹没耕田。</w:t>
            </w:r>
          </w:p>
          <w:p w14:paraId="7F81A073">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沉淀池SS去除率在70%。但若由于涌水量增加等原因导致沉淀时间不够时，很有可能超标排放。另外，经沉淀池处理后，排水中的SS浓度仍在100mg</w:t>
            </w:r>
            <w:r>
              <w:rPr>
                <w:rFonts w:hint="eastAsia" w:cs="Times New Roman"/>
                <w:color w:val="auto"/>
                <w:kern w:val="0"/>
                <w:sz w:val="24"/>
                <w:szCs w:val="24"/>
                <w:lang w:val="en-US" w:eastAsia="zh-CN" w:bidi="ar-SA"/>
              </w:rPr>
              <w:t>/L</w:t>
            </w:r>
            <w:r>
              <w:rPr>
                <w:rFonts w:hint="default" w:ascii="Times New Roman" w:hAnsi="Times New Roman" w:cs="Times New Roman"/>
                <w:color w:val="auto"/>
                <w:kern w:val="0"/>
                <w:sz w:val="24"/>
                <w:szCs w:val="24"/>
                <w:lang w:val="en-US" w:eastAsia="zh-CN" w:bidi="ar-SA"/>
              </w:rPr>
              <w:t>左右，只符合消防注浆，水重复利用率低。因此，本评价增设一套100m</w:t>
            </w:r>
            <w:r>
              <w:rPr>
                <w:rFonts w:hint="eastAsia" w:cs="Times New Roman"/>
                <w:color w:val="auto"/>
                <w:kern w:val="0"/>
                <w:sz w:val="24"/>
                <w:szCs w:val="24"/>
                <w:vertAlign w:val="superscript"/>
                <w:lang w:val="en-US" w:eastAsia="zh-CN" w:bidi="ar-SA"/>
              </w:rPr>
              <w:t>3</w:t>
            </w:r>
            <w:r>
              <w:rPr>
                <w:rFonts w:hint="default" w:ascii="Times New Roman" w:hAnsi="Times New Roman" w:cs="Times New Roman"/>
                <w:color w:val="auto"/>
                <w:kern w:val="0"/>
                <w:sz w:val="24"/>
                <w:szCs w:val="24"/>
                <w:lang w:val="en-US" w:eastAsia="zh-CN" w:bidi="ar-SA"/>
              </w:rPr>
              <w:t>/d处理能力的一体化矿井水处理设备，加药絮凝后进行二级沉淀处理，处理后的水中SS和COD的去除率可达80%进行回用，提高水重复利用率。根据需要，也可深度处理后作为饮用水。</w:t>
            </w:r>
          </w:p>
          <w:p w14:paraId="49381C8F">
            <w:pPr>
              <w:pStyle w:val="16"/>
              <w:numPr>
                <w:ilvl w:val="0"/>
                <w:numId w:val="0"/>
              </w:numPr>
              <w:spacing w:line="360" w:lineRule="auto"/>
              <w:ind w:firstLine="480" w:firstLineChars="200"/>
              <w:rPr>
                <w:rFonts w:hint="eastAsia" w:cs="Times New Roman"/>
                <w:color w:val="auto"/>
                <w:kern w:val="0"/>
                <w:sz w:val="24"/>
                <w:szCs w:val="24"/>
                <w:lang w:val="en-US" w:eastAsia="zh-CN" w:bidi="ar-SA"/>
              </w:rPr>
            </w:pPr>
            <w:r>
              <w:rPr>
                <w:rFonts w:hint="eastAsia" w:cs="Times New Roman"/>
                <w:color w:val="auto"/>
                <w:kern w:val="0"/>
                <w:sz w:val="24"/>
                <w:szCs w:val="24"/>
                <w:lang w:val="en-US" w:eastAsia="zh-CN" w:bidi="ar-SA"/>
              </w:rPr>
              <w:t>②工业场地生活污水处理</w:t>
            </w:r>
          </w:p>
          <w:p w14:paraId="760643F8">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矿污水经生活污水一体化设备处理达标后，与锅炉排水及其它废水合并就近排入程棱河。</w:t>
            </w:r>
          </w:p>
          <w:p w14:paraId="7B119D13">
            <w:pPr>
              <w:pStyle w:val="16"/>
              <w:numPr>
                <w:ilvl w:val="0"/>
                <w:numId w:val="4"/>
              </w:numPr>
              <w:spacing w:line="360" w:lineRule="auto"/>
              <w:ind w:left="0" w:leftChars="0" w:firstLine="480" w:firstLineChars="200"/>
              <w:rPr>
                <w:rFonts w:hint="eastAsia" w:cs="Times New Roman"/>
                <w:color w:val="auto"/>
                <w:kern w:val="0"/>
                <w:sz w:val="24"/>
                <w:szCs w:val="24"/>
                <w:lang w:val="en-US" w:eastAsia="zh-CN" w:bidi="ar-SA"/>
              </w:rPr>
            </w:pPr>
            <w:r>
              <w:rPr>
                <w:rFonts w:hint="eastAsia" w:cs="Times New Roman"/>
                <w:color w:val="auto"/>
                <w:kern w:val="0"/>
                <w:sz w:val="24"/>
                <w:szCs w:val="24"/>
                <w:lang w:val="en-US" w:eastAsia="zh-CN" w:bidi="ar-SA"/>
              </w:rPr>
              <w:t>废气</w:t>
            </w:r>
          </w:p>
          <w:p w14:paraId="2A69BEBB">
            <w:pPr>
              <w:pStyle w:val="16"/>
              <w:numPr>
                <w:ilvl w:val="0"/>
                <w:numId w:val="0"/>
              </w:numPr>
              <w:spacing w:line="360" w:lineRule="auto"/>
              <w:ind w:leftChars="200"/>
              <w:rPr>
                <w:rFonts w:hint="default" w:ascii="Times New Roman" w:hAnsi="Times New Roman"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（1）锅炉烟气</w:t>
            </w:r>
          </w:p>
          <w:p w14:paraId="067F1842">
            <w:pPr>
              <w:pStyle w:val="16"/>
              <w:numPr>
                <w:ilvl w:val="0"/>
                <w:numId w:val="0"/>
              </w:numPr>
              <w:spacing w:line="360" w:lineRule="auto"/>
              <w:ind w:leftChars="200" w:firstLine="240" w:firstLineChars="100"/>
              <w:rPr>
                <w:rFonts w:hint="default" w:cs="Times New Roman"/>
                <w:color w:val="auto"/>
                <w:kern w:val="0"/>
                <w:sz w:val="24"/>
                <w:szCs w:val="24"/>
                <w:lang w:val="en-US" w:eastAsia="zh-CN" w:bidi="ar-SA"/>
              </w:rPr>
            </w:pPr>
            <w:r>
              <w:rPr>
                <w:rFonts w:hint="default" w:cs="Times New Roman"/>
                <w:color w:val="auto"/>
                <w:kern w:val="0"/>
                <w:sz w:val="24"/>
                <w:szCs w:val="24"/>
                <w:lang w:val="en-US" w:eastAsia="zh-CN" w:bidi="ar-SA"/>
              </w:rPr>
              <w:t>整合后，新建采暖系统。</w:t>
            </w:r>
          </w:p>
          <w:p w14:paraId="17D5C417">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工业场地学习班、洗浴、休息室由地面锅炉供热，采用CHH0.1-A环保型热水锅年用煤量100吨。污染物排放量为：烟尘:0.7吨/年，二氧化硫:0.64吨/年。办公室及食堂采</w:t>
            </w:r>
            <w:r>
              <w:rPr>
                <w:rFonts w:hint="default" w:cs="Times New Roman"/>
                <w:color w:val="auto"/>
                <w:kern w:val="0"/>
                <w:sz w:val="24"/>
                <w:szCs w:val="24"/>
                <w:lang w:val="en-US" w:eastAsia="zh-CN" w:bidi="ar-SA"/>
              </w:rPr>
              <w:t xml:space="preserve">用CHH0.1-A环保型热水锅，年燃煤量为60吨。污染物排放量为：烟尘:0.42吨/年，二氧化硫:0.38吨/年。 </w:t>
            </w:r>
          </w:p>
          <w:p w14:paraId="1F58597B">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default" w:cs="Times New Roman"/>
                <w:color w:val="auto"/>
                <w:kern w:val="0"/>
                <w:sz w:val="24"/>
                <w:szCs w:val="24"/>
                <w:lang w:val="en-US" w:eastAsia="zh-CN" w:bidi="ar-SA"/>
              </w:rPr>
              <w:t>井下供暖采用型号为RF-90型热风炉一台，年用煤量为200吨/年。锅</w:t>
            </w:r>
            <w:r>
              <w:rPr>
                <w:rFonts w:hint="default" w:ascii="Times New Roman" w:hAnsi="Times New Roman" w:cs="Times New Roman"/>
                <w:color w:val="auto"/>
                <w:kern w:val="0"/>
                <w:sz w:val="24"/>
                <w:szCs w:val="24"/>
                <w:lang w:val="en-US" w:eastAsia="zh-CN" w:bidi="ar-SA"/>
              </w:rPr>
              <w:t>炉烟气经采用除尘效率为94%的多管除尘器除尘后，污染物排放量为：烟尘:0.84吨/年，二氧化硫</w:t>
            </w:r>
            <w:r>
              <w:rPr>
                <w:rFonts w:hint="eastAsia" w:cs="Times New Roman"/>
                <w:color w:val="auto"/>
                <w:kern w:val="0"/>
                <w:sz w:val="24"/>
                <w:szCs w:val="24"/>
                <w:lang w:val="en-US" w:eastAsia="zh-CN" w:bidi="ar-SA"/>
              </w:rPr>
              <w:t>：</w:t>
            </w:r>
            <w:r>
              <w:rPr>
                <w:rFonts w:hint="default" w:ascii="Times New Roman" w:hAnsi="Times New Roman" w:cs="Times New Roman"/>
                <w:color w:val="auto"/>
                <w:kern w:val="0"/>
                <w:sz w:val="24"/>
                <w:szCs w:val="24"/>
                <w:lang w:val="en-US" w:eastAsia="zh-CN" w:bidi="ar-SA"/>
              </w:rPr>
              <w:t xml:space="preserve">1.28吨/年。 </w:t>
            </w:r>
          </w:p>
          <w:p w14:paraId="60E7F708">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燃煤来自本矿井，其煤质灰分为30%以下，硫分0.4%左右。在除尘设备正常运行时，锅炉排放的烟尘、SO</w:t>
            </w:r>
            <w:r>
              <w:rPr>
                <w:rFonts w:hint="default" w:ascii="Times New Roman" w:hAnsi="Times New Roman" w:cs="Times New Roman"/>
                <w:color w:val="auto"/>
                <w:kern w:val="0"/>
                <w:sz w:val="24"/>
                <w:szCs w:val="24"/>
                <w:vertAlign w:val="subscript"/>
                <w:lang w:val="en-US" w:eastAsia="zh-CN" w:bidi="ar-SA"/>
              </w:rPr>
              <w:t>2</w:t>
            </w:r>
            <w:r>
              <w:rPr>
                <w:rFonts w:hint="default" w:ascii="Times New Roman" w:hAnsi="Times New Roman" w:cs="Times New Roman"/>
                <w:color w:val="auto"/>
                <w:kern w:val="0"/>
                <w:sz w:val="24"/>
                <w:szCs w:val="24"/>
                <w:lang w:val="en-US" w:eastAsia="zh-CN" w:bidi="ar-SA"/>
              </w:rPr>
              <w:t>浓度符合《锅炉大气污染物排放标准》（GB13271-2001）燃煤锅炉类区Ⅱ时段标准值。</w:t>
            </w:r>
          </w:p>
          <w:p w14:paraId="07E03A70">
            <w:pPr>
              <w:pStyle w:val="16"/>
              <w:numPr>
                <w:ilvl w:val="0"/>
                <w:numId w:val="0"/>
              </w:numPr>
              <w:spacing w:line="360" w:lineRule="auto"/>
              <w:ind w:firstLine="480" w:firstLineChars="200"/>
              <w:rPr>
                <w:rFonts w:hint="default" w:ascii="Times New Roman" w:hAnsi="Times New Roman" w:cs="Times New Roman"/>
                <w:color w:val="auto"/>
                <w:kern w:val="0"/>
                <w:sz w:val="24"/>
                <w:szCs w:val="24"/>
                <w:lang w:val="en-US" w:eastAsia="zh-CN" w:bidi="ar-SA"/>
              </w:rPr>
            </w:pPr>
            <w:r>
              <w:rPr>
                <w:rFonts w:hint="default" w:ascii="Times New Roman" w:hAnsi="Times New Roman" w:cs="Times New Roman"/>
                <w:color w:val="auto"/>
                <w:kern w:val="0"/>
                <w:sz w:val="24"/>
                <w:szCs w:val="24"/>
                <w:lang w:val="en-US" w:eastAsia="zh-CN" w:bidi="ar-SA"/>
              </w:rPr>
              <w:t>（</w:t>
            </w:r>
            <w:r>
              <w:rPr>
                <w:rFonts w:hint="eastAsia" w:cs="Times New Roman"/>
                <w:color w:val="auto"/>
                <w:kern w:val="0"/>
                <w:sz w:val="24"/>
                <w:szCs w:val="24"/>
                <w:lang w:val="en-US" w:eastAsia="zh-CN" w:bidi="ar-SA"/>
              </w:rPr>
              <w:t>2</w:t>
            </w:r>
            <w:r>
              <w:rPr>
                <w:rFonts w:hint="default" w:ascii="Times New Roman" w:hAnsi="Times New Roman" w:cs="Times New Roman"/>
                <w:color w:val="auto"/>
                <w:kern w:val="0"/>
                <w:sz w:val="24"/>
                <w:szCs w:val="24"/>
                <w:lang w:val="en-US" w:eastAsia="zh-CN" w:bidi="ar-SA"/>
              </w:rPr>
              <w:t>）</w:t>
            </w:r>
            <w:r>
              <w:rPr>
                <w:rFonts w:hint="eastAsia" w:cs="Times New Roman"/>
                <w:color w:val="auto"/>
                <w:kern w:val="0"/>
                <w:sz w:val="24"/>
                <w:szCs w:val="24"/>
                <w:lang w:val="en-US" w:eastAsia="zh-CN" w:bidi="ar-SA"/>
              </w:rPr>
              <w:t>粉尘</w:t>
            </w:r>
          </w:p>
          <w:p w14:paraId="55B9D7A4">
            <w:pPr>
              <w:pStyle w:val="16"/>
              <w:numPr>
                <w:ilvl w:val="0"/>
                <w:numId w:val="0"/>
              </w:numPr>
              <w:spacing w:line="360" w:lineRule="auto"/>
              <w:ind w:firstLine="480" w:firstLineChars="200"/>
              <w:rPr>
                <w:rFonts w:hint="eastAsia" w:cs="Times New Roman"/>
                <w:color w:val="auto"/>
                <w:kern w:val="0"/>
                <w:sz w:val="24"/>
                <w:szCs w:val="24"/>
                <w:lang w:val="en-US" w:eastAsia="zh-CN" w:bidi="ar-SA"/>
              </w:rPr>
            </w:pPr>
            <w:r>
              <w:rPr>
                <w:rFonts w:hint="eastAsia" w:ascii="微软雅黑" w:hAnsi="微软雅黑" w:eastAsia="微软雅黑" w:cs="微软雅黑"/>
                <w:color w:val="auto"/>
                <w:kern w:val="0"/>
                <w:sz w:val="24"/>
                <w:szCs w:val="24"/>
                <w:lang w:val="en-US" w:eastAsia="zh-CN" w:bidi="ar-SA"/>
              </w:rPr>
              <w:t>①</w:t>
            </w:r>
            <w:r>
              <w:rPr>
                <w:rFonts w:hint="default" w:ascii="Times New Roman" w:hAnsi="Times New Roman" w:cs="Times New Roman"/>
                <w:color w:val="auto"/>
                <w:kern w:val="0"/>
                <w:sz w:val="24"/>
                <w:szCs w:val="24"/>
                <w:lang w:val="en-US" w:eastAsia="zh-CN" w:bidi="ar-SA"/>
              </w:rPr>
              <w:t>原煤部分进全封闭储煤场，设防风抑尘网并设喷淋装置</w:t>
            </w:r>
            <w:r>
              <w:rPr>
                <w:rFonts w:hint="eastAsia" w:cs="Times New Roman"/>
                <w:color w:val="auto"/>
                <w:kern w:val="0"/>
                <w:sz w:val="24"/>
                <w:szCs w:val="24"/>
                <w:lang w:val="en-US" w:eastAsia="zh-CN" w:bidi="ar-SA"/>
              </w:rPr>
              <w:t>。</w:t>
            </w:r>
          </w:p>
          <w:p w14:paraId="797412DA">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eastAsia" w:ascii="微软雅黑" w:hAnsi="微软雅黑" w:eastAsia="微软雅黑" w:cs="微软雅黑"/>
                <w:color w:val="auto"/>
                <w:kern w:val="0"/>
                <w:sz w:val="24"/>
                <w:szCs w:val="24"/>
                <w:lang w:val="en-US" w:eastAsia="zh-CN" w:bidi="ar-SA"/>
              </w:rPr>
              <w:t>②</w:t>
            </w:r>
            <w:r>
              <w:rPr>
                <w:rFonts w:hint="default" w:cs="Times New Roman"/>
                <w:color w:val="auto"/>
                <w:kern w:val="0"/>
                <w:sz w:val="24"/>
                <w:szCs w:val="24"/>
                <w:lang w:val="en-US" w:eastAsia="zh-CN" w:bidi="ar-SA"/>
              </w:rPr>
              <w:t>煤炭原煤翻卸、建设封闭储煤场、装车应设有喷淋洒水装置。矸石倾卸扬尘主要是矸石碎末，应设喷洒装置降尘。</w:t>
            </w:r>
          </w:p>
          <w:p w14:paraId="20BB0908">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eastAsia" w:ascii="微软雅黑" w:hAnsi="微软雅黑" w:eastAsia="微软雅黑" w:cs="微软雅黑"/>
                <w:color w:val="auto"/>
                <w:kern w:val="0"/>
                <w:sz w:val="24"/>
                <w:szCs w:val="24"/>
                <w:lang w:val="en-US" w:eastAsia="zh-CN" w:bidi="ar-SA"/>
              </w:rPr>
              <w:t>③</w:t>
            </w:r>
            <w:r>
              <w:rPr>
                <w:rFonts w:hint="default" w:cs="Times New Roman"/>
                <w:color w:val="auto"/>
                <w:kern w:val="0"/>
                <w:sz w:val="24"/>
                <w:szCs w:val="24"/>
                <w:lang w:val="en-US" w:eastAsia="zh-CN" w:bidi="ar-SA"/>
              </w:rPr>
              <w:t>厂区地面需硬化和洒水降尘。根据预测分析，路面湿度、风速是影响运输起尘量的重要因素。由于风速是自然现象，无法控制，而路面湿度则可以通过洒水实现。场外运输道路铺垫完毕后，路面质量优于原有土路，在没有尘源的情况下不会产生扬尘污染，而粉尘来源途径主要是过往汽车轮胎上的附土、空气降尘和运煤车辆洒落的煤粉，因此，应要求装满产品煤的运输车辆加罩封盖，避免超载运输，减少煤尘洒落。同时组织人力按时清扫路面，对受损路面及时修补，保持路面平整。</w:t>
            </w:r>
          </w:p>
          <w:p w14:paraId="1B6C07A0">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eastAsia" w:ascii="微软雅黑" w:hAnsi="微软雅黑" w:eastAsia="微软雅黑" w:cs="微软雅黑"/>
                <w:color w:val="auto"/>
                <w:kern w:val="0"/>
                <w:sz w:val="24"/>
                <w:szCs w:val="24"/>
                <w:lang w:val="en-US" w:eastAsia="zh-CN" w:bidi="ar-SA"/>
              </w:rPr>
              <w:t>④</w:t>
            </w:r>
            <w:r>
              <w:rPr>
                <w:rFonts w:hint="default" w:cs="Times New Roman"/>
                <w:color w:val="auto"/>
                <w:kern w:val="0"/>
                <w:sz w:val="24"/>
                <w:szCs w:val="24"/>
                <w:lang w:val="en-US" w:eastAsia="zh-CN" w:bidi="ar-SA"/>
              </w:rPr>
              <w:t>为控制煤堆场地和装车产生的扬尘污染，在其周围，尤其是主导风向上侧种植防护林带，厂区四周修建 2 米高围墙。</w:t>
            </w:r>
          </w:p>
          <w:p w14:paraId="08FD123A">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cs="Times New Roman"/>
                <w:color w:val="auto"/>
                <w:kern w:val="0"/>
                <w:sz w:val="24"/>
                <w:szCs w:val="24"/>
                <w:lang w:val="en-US" w:eastAsia="zh-CN" w:bidi="ar-SA"/>
              </w:rPr>
              <w:t>因此，本项目改扩建后经采取相应的措施后煤粉尘产生量较少，对周围影响也较小。</w:t>
            </w:r>
          </w:p>
          <w:p w14:paraId="169FE6A6">
            <w:pPr>
              <w:pStyle w:val="16"/>
              <w:numPr>
                <w:ilvl w:val="0"/>
                <w:numId w:val="0"/>
              </w:numPr>
              <w:spacing w:line="360" w:lineRule="auto"/>
              <w:ind w:firstLine="480" w:firstLineChars="200"/>
              <w:rPr>
                <w:rFonts w:hint="default" w:ascii="Times New Roman" w:hAnsi="Times New Roman" w:cs="Times New Roman"/>
                <w:color w:val="auto"/>
                <w:kern w:val="0"/>
                <w:sz w:val="24"/>
                <w:szCs w:val="24"/>
                <w:vertAlign w:val="baseline"/>
                <w:lang w:val="en-US" w:eastAsia="zh-CN" w:bidi="ar-SA"/>
              </w:rPr>
            </w:pPr>
            <w:r>
              <w:rPr>
                <w:rFonts w:hint="default" w:ascii="Times New Roman" w:hAnsi="Times New Roman" w:cs="Times New Roman"/>
                <w:color w:val="auto"/>
                <w:kern w:val="0"/>
                <w:sz w:val="24"/>
                <w:szCs w:val="24"/>
                <w:vertAlign w:val="baseline"/>
                <w:lang w:val="en-US" w:eastAsia="zh-CN" w:bidi="ar-SA"/>
              </w:rPr>
              <w:t>3、噪声</w:t>
            </w:r>
          </w:p>
          <w:p w14:paraId="760B067A">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cs="Times New Roman"/>
                <w:color w:val="auto"/>
                <w:kern w:val="0"/>
                <w:sz w:val="24"/>
                <w:szCs w:val="24"/>
                <w:lang w:val="en-US" w:eastAsia="zh-CN" w:bidi="ar-SA"/>
              </w:rPr>
              <w:t>釆用技术新、低噪声的设备。对通风机、鼓、引风机采取消声措施，对水泵安装减振装置。对各类噪声设备进行定期检修，使其正常运转。此外，在各噪声源周围绿化植树，以消减噪声强度。采用上述治理措施后，厂界噪声符合《工业企业厂界环境噪声排放标准》中</w:t>
            </w:r>
            <w:r>
              <w:rPr>
                <w:rFonts w:hint="eastAsia" w:cs="Times New Roman"/>
                <w:color w:val="auto"/>
                <w:kern w:val="0"/>
                <w:sz w:val="24"/>
                <w:szCs w:val="24"/>
                <w:lang w:val="en-US" w:eastAsia="zh-CN" w:bidi="ar-SA"/>
              </w:rPr>
              <w:t>2</w:t>
            </w:r>
            <w:r>
              <w:rPr>
                <w:rFonts w:hint="default" w:cs="Times New Roman"/>
                <w:color w:val="auto"/>
                <w:kern w:val="0"/>
                <w:sz w:val="24"/>
                <w:szCs w:val="24"/>
                <w:lang w:val="en-US" w:eastAsia="zh-CN" w:bidi="ar-SA"/>
              </w:rPr>
              <w:t xml:space="preserve">类标准。 </w:t>
            </w:r>
          </w:p>
          <w:p w14:paraId="1EDB89FE">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cs="Times New Roman"/>
                <w:color w:val="auto"/>
                <w:kern w:val="0"/>
                <w:sz w:val="24"/>
                <w:szCs w:val="24"/>
                <w:lang w:val="en-US" w:eastAsia="zh-CN" w:bidi="ar-SA"/>
              </w:rPr>
              <w:t xml:space="preserve">在场内道路两侧、场区的周边及其他空地布置有花坛，植树绿化，选用一些耐寒的杨树、云杉、乔木或丁香等灌木，增加林木面积和抗污品种，促进污染物的净化。厂区绿化系数为 18%。 </w:t>
            </w:r>
          </w:p>
          <w:p w14:paraId="7CE6596E">
            <w:pPr>
              <w:pStyle w:val="16"/>
              <w:numPr>
                <w:ilvl w:val="0"/>
                <w:numId w:val="0"/>
              </w:numPr>
              <w:spacing w:line="360" w:lineRule="auto"/>
              <w:ind w:firstLine="480" w:firstLineChars="200"/>
              <w:rPr>
                <w:rFonts w:hint="default" w:cs="Times New Roman"/>
                <w:color w:val="auto"/>
                <w:kern w:val="0"/>
                <w:sz w:val="24"/>
                <w:szCs w:val="24"/>
                <w:lang w:val="en-US" w:eastAsia="zh-CN" w:bidi="ar-SA"/>
              </w:rPr>
            </w:pPr>
            <w:r>
              <w:rPr>
                <w:rFonts w:hint="default" w:cs="Times New Roman"/>
                <w:color w:val="auto"/>
                <w:kern w:val="0"/>
                <w:sz w:val="24"/>
                <w:szCs w:val="24"/>
                <w:lang w:val="en-US" w:eastAsia="zh-CN" w:bidi="ar-SA"/>
              </w:rPr>
              <w:t>绿化布置的原则是：在通风机房、水泵房等高噪音建筑物周围的空地内，进行植树绿化，在场区道路两侧植树，行政、生活福利区栽花、铺草坪等。绿化树种等的选择应防护效果好、对有害气体抗性强，并适宜当地的生长条件，速生宜活，便于管理。</w:t>
            </w:r>
          </w:p>
          <w:p w14:paraId="335227D1">
            <w:pPr>
              <w:pStyle w:val="16"/>
              <w:numPr>
                <w:ilvl w:val="0"/>
                <w:numId w:val="0"/>
              </w:numPr>
              <w:spacing w:line="360" w:lineRule="auto"/>
              <w:ind w:leftChars="200"/>
              <w:rPr>
                <w:rFonts w:hint="default" w:ascii="Times New Roman" w:hAnsi="Times New Roman" w:cs="Times New Roman"/>
                <w:color w:val="auto"/>
                <w:kern w:val="0"/>
                <w:sz w:val="24"/>
                <w:szCs w:val="24"/>
                <w:vertAlign w:val="baseline"/>
                <w:lang w:val="en-US" w:eastAsia="zh-CN" w:bidi="ar-SA"/>
              </w:rPr>
            </w:pPr>
            <w:r>
              <w:rPr>
                <w:rFonts w:hint="default" w:ascii="Times New Roman" w:hAnsi="Times New Roman" w:cs="Times New Roman"/>
                <w:color w:val="auto"/>
                <w:kern w:val="0"/>
                <w:sz w:val="24"/>
                <w:szCs w:val="24"/>
                <w:vertAlign w:val="baseline"/>
                <w:lang w:val="en-US" w:eastAsia="zh-CN" w:bidi="ar-SA"/>
              </w:rPr>
              <w:t>4、固体废物</w:t>
            </w:r>
          </w:p>
          <w:p w14:paraId="4526CEFB">
            <w:pPr>
              <w:pStyle w:val="9"/>
              <w:spacing w:line="360" w:lineRule="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 xml:space="preserve">整合后，在采煤过程中，矿井矸石产生量约为1.5万 t/a，参考恒山矿所作的淋溶实验，本矿施工期和营运期产生的掘进矸石主要由硅酸盐和铝盐组成，硅酸盐和铝盐比较稳定，水溶性小，随经风化和降雨产生的地表径流流走的量很少。适合用于制清洁砖、填塌陷区或铺设场地和道路。 </w:t>
            </w:r>
          </w:p>
          <w:p w14:paraId="4CF22977">
            <w:pPr>
              <w:pStyle w:val="9"/>
              <w:spacing w:line="360" w:lineRule="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 xml:space="preserve">生产期间排放的矸石，一部分用于充填塌陷区、充填沟壑和修整道路，另有一小部分在临时矸石场暂时堆存。 </w:t>
            </w:r>
          </w:p>
          <w:p w14:paraId="77A78654">
            <w:pPr>
              <w:pStyle w:val="9"/>
              <w:spacing w:line="360" w:lineRule="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 xml:space="preserve">生活垃圾在厂内收集后，由环卫部门集中收集运至垃圾处理场集中填埋处置。 </w:t>
            </w:r>
          </w:p>
          <w:p w14:paraId="204C1A79">
            <w:pPr>
              <w:pStyle w:val="9"/>
              <w:spacing w:line="360" w:lineRule="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炉渣用于铺路</w:t>
            </w:r>
          </w:p>
          <w:p w14:paraId="7A06ED92">
            <w:pPr>
              <w:pStyle w:val="9"/>
              <w:spacing w:line="360" w:lineRule="auto"/>
              <w:rPr>
                <w:rFonts w:hint="eastAsia"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5、</w:t>
            </w:r>
            <w:r>
              <w:rPr>
                <w:rFonts w:hint="eastAsia" w:cs="Times New Roman"/>
                <w:color w:val="auto"/>
                <w:sz w:val="24"/>
                <w:szCs w:val="24"/>
                <w:lang w:val="en-US" w:eastAsia="zh-CN"/>
              </w:rPr>
              <w:t>原有</w:t>
            </w:r>
            <w:r>
              <w:rPr>
                <w:rFonts w:hint="eastAsia" w:cs="Times New Roman"/>
                <w:color w:val="auto"/>
                <w:kern w:val="0"/>
                <w:sz w:val="24"/>
                <w:szCs w:val="24"/>
                <w:vertAlign w:val="baseline"/>
                <w:lang w:val="en-US" w:eastAsia="zh-CN" w:bidi="ar-SA"/>
              </w:rPr>
              <w:t>污染物总排放量核算</w:t>
            </w:r>
          </w:p>
          <w:p w14:paraId="1DFF5EE9">
            <w:pPr>
              <w:pStyle w:val="9"/>
              <w:spacing w:line="360" w:lineRule="auto"/>
              <w:rPr>
                <w:rFonts w:hint="default"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井下供热热风炉排污情况根据2025年排污许可年报信息，年工作时间5040h，颗粒物的排放速率最大值为0.036kg/h，即0.18</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二氧化硫的排放速率均值为0.08kg/h，即0.40</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氮氧化物的排放速率均值为0.4kg/h，即2.02</w:t>
            </w:r>
            <w:r>
              <w:rPr>
                <w:rFonts w:hint="eastAsia"/>
                <w:bCs/>
                <w:color w:val="auto"/>
                <w:sz w:val="21"/>
                <w:szCs w:val="21"/>
                <w:lang w:val="en-US" w:eastAsia="zh-CN"/>
              </w:rPr>
              <w:t>t/a。</w:t>
            </w:r>
          </w:p>
          <w:p w14:paraId="787F946D">
            <w:pPr>
              <w:pStyle w:val="9"/>
              <w:spacing w:line="360" w:lineRule="auto"/>
              <w:rPr>
                <w:rFonts w:hint="default"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洗浴锅炉年工作时间2190h，根据验收报告监测数据可知，颗粒物的排放速率最大值为0.0097kg/h，即0.02</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二氧化硫的排放速率均值为0.058kg/h，即0.13</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氮氧化物的排放速率均值为0.60kg/h，即1.31</w:t>
            </w:r>
            <w:r>
              <w:rPr>
                <w:rFonts w:hint="eastAsia"/>
                <w:bCs/>
                <w:color w:val="auto"/>
                <w:sz w:val="21"/>
                <w:szCs w:val="21"/>
                <w:lang w:val="en-US" w:eastAsia="zh-CN"/>
              </w:rPr>
              <w:t>t/a。</w:t>
            </w:r>
          </w:p>
          <w:p w14:paraId="020F3EFD">
            <w:pPr>
              <w:pStyle w:val="9"/>
              <w:spacing w:line="360" w:lineRule="auto"/>
              <w:rPr>
                <w:rFonts w:hint="default" w:cs="Times New Roman"/>
                <w:color w:val="auto"/>
                <w:kern w:val="0"/>
                <w:sz w:val="24"/>
                <w:szCs w:val="24"/>
                <w:vertAlign w:val="baseline"/>
                <w:lang w:val="en-US" w:eastAsia="zh-CN" w:bidi="ar-SA"/>
              </w:rPr>
            </w:pPr>
            <w:r>
              <w:rPr>
                <w:rFonts w:hint="eastAsia" w:cs="Times New Roman"/>
                <w:color w:val="auto"/>
                <w:kern w:val="0"/>
                <w:sz w:val="24"/>
                <w:szCs w:val="24"/>
                <w:vertAlign w:val="baseline"/>
                <w:lang w:val="en-US" w:eastAsia="zh-CN" w:bidi="ar-SA"/>
              </w:rPr>
              <w:t>办公区供热锅炉年工作时间3240h，根据验收报告监测数据可知，颗粒物的排放速率最大值为0.0024kg/h，即0.08</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二氧化硫的排放速率均值为0.095kg/h，即0.31</w:t>
            </w:r>
            <w:r>
              <w:rPr>
                <w:rFonts w:hint="eastAsia"/>
                <w:bCs/>
                <w:color w:val="auto"/>
                <w:sz w:val="21"/>
                <w:szCs w:val="21"/>
                <w:lang w:val="en-US" w:eastAsia="zh-CN"/>
              </w:rPr>
              <w:t>t/a；</w:t>
            </w:r>
            <w:r>
              <w:rPr>
                <w:rFonts w:hint="eastAsia" w:cs="Times New Roman"/>
                <w:color w:val="auto"/>
                <w:kern w:val="0"/>
                <w:sz w:val="24"/>
                <w:szCs w:val="24"/>
                <w:vertAlign w:val="baseline"/>
                <w:lang w:val="en-US" w:eastAsia="zh-CN" w:bidi="ar-SA"/>
              </w:rPr>
              <w:t>氮氧化物的排放速率均值为0.13kg/h，即0.42</w:t>
            </w:r>
            <w:r>
              <w:rPr>
                <w:rFonts w:hint="eastAsia"/>
                <w:bCs/>
                <w:color w:val="auto"/>
                <w:sz w:val="21"/>
                <w:szCs w:val="21"/>
                <w:lang w:val="en-US" w:eastAsia="zh-CN"/>
              </w:rPr>
              <w:t>t/a。</w:t>
            </w:r>
          </w:p>
          <w:p w14:paraId="140D736A">
            <w:pPr>
              <w:pStyle w:val="9"/>
              <w:spacing w:line="240" w:lineRule="auto"/>
              <w:jc w:val="center"/>
              <w:rPr>
                <w:rFonts w:hint="eastAsia" w:cs="Times New Roman"/>
                <w:b/>
                <w:bCs/>
                <w:color w:val="auto"/>
                <w:kern w:val="0"/>
                <w:sz w:val="24"/>
                <w:szCs w:val="24"/>
                <w:vertAlign w:val="baseline"/>
                <w:lang w:val="en-US" w:eastAsia="zh-CN" w:bidi="ar-SA"/>
              </w:rPr>
            </w:pPr>
          </w:p>
          <w:p w14:paraId="7C232CF8">
            <w:pPr>
              <w:pStyle w:val="9"/>
              <w:spacing w:line="240" w:lineRule="auto"/>
              <w:jc w:val="center"/>
              <w:rPr>
                <w:rFonts w:hint="default" w:cs="Times New Roman"/>
                <w:b/>
                <w:bCs/>
                <w:color w:val="auto"/>
                <w:kern w:val="0"/>
                <w:sz w:val="24"/>
                <w:szCs w:val="24"/>
                <w:vertAlign w:val="baseline"/>
                <w:lang w:val="en-US" w:eastAsia="zh-CN" w:bidi="ar-SA"/>
              </w:rPr>
            </w:pPr>
            <w:r>
              <w:rPr>
                <w:rFonts w:hint="eastAsia" w:cs="Times New Roman"/>
                <w:b/>
                <w:bCs/>
                <w:color w:val="auto"/>
                <w:kern w:val="0"/>
                <w:sz w:val="24"/>
                <w:szCs w:val="24"/>
                <w:vertAlign w:val="baseline"/>
                <w:lang w:val="en-US" w:eastAsia="zh-CN" w:bidi="ar-SA"/>
              </w:rPr>
              <w:t xml:space="preserve">表2-5 现有污染物总排放量一览表 </w:t>
            </w:r>
          </w:p>
          <w:tbl>
            <w:tblPr>
              <w:tblStyle w:val="31"/>
              <w:tblW w:w="7898" w:type="dxa"/>
              <w:tblInd w:w="5"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0"/>
              <w:gridCol w:w="1238"/>
              <w:gridCol w:w="2239"/>
              <w:gridCol w:w="3091"/>
            </w:tblGrid>
            <w:tr w14:paraId="545B666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tcBorders>
                    <w:top w:val="single" w:color="auto" w:sz="12" w:space="0"/>
                  </w:tcBorders>
                  <w:vAlign w:val="center"/>
                </w:tcPr>
                <w:p w14:paraId="69920B4D">
                  <w:pPr>
                    <w:snapToGrid w:val="0"/>
                    <w:spacing w:line="240" w:lineRule="auto"/>
                    <w:jc w:val="center"/>
                    <w:rPr>
                      <w:rFonts w:hint="eastAsia" w:ascii="Times New Roman" w:hAnsi="Times New Roman" w:eastAsia="宋体" w:cs="Times New Roman"/>
                      <w:bCs/>
                      <w:color w:val="auto"/>
                      <w:kern w:val="2"/>
                      <w:sz w:val="21"/>
                      <w:szCs w:val="21"/>
                      <w:lang w:val="en-US" w:eastAsia="zh-CN" w:bidi="ar-SA"/>
                    </w:rPr>
                  </w:pPr>
                  <w:r>
                    <w:rPr>
                      <w:bCs/>
                      <w:color w:val="auto"/>
                      <w:sz w:val="21"/>
                      <w:szCs w:val="21"/>
                    </w:rPr>
                    <w:t>类别</w:t>
                  </w:r>
                </w:p>
              </w:tc>
              <w:tc>
                <w:tcPr>
                  <w:tcW w:w="3477" w:type="dxa"/>
                  <w:gridSpan w:val="2"/>
                  <w:tcBorders>
                    <w:top w:val="single" w:color="auto" w:sz="12" w:space="0"/>
                  </w:tcBorders>
                  <w:vAlign w:val="center"/>
                </w:tcPr>
                <w:p w14:paraId="1C66BD37">
                  <w:pPr>
                    <w:snapToGrid w:val="0"/>
                    <w:spacing w:line="240" w:lineRule="auto"/>
                    <w:jc w:val="center"/>
                    <w:rPr>
                      <w:rFonts w:hint="eastAsia" w:ascii="Times New Roman" w:hAnsi="Times New Roman" w:eastAsia="宋体" w:cs="Times New Roman"/>
                      <w:bCs/>
                      <w:color w:val="auto"/>
                      <w:kern w:val="2"/>
                      <w:sz w:val="21"/>
                      <w:szCs w:val="21"/>
                      <w:lang w:val="en-US" w:eastAsia="zh-CN" w:bidi="ar-SA"/>
                    </w:rPr>
                  </w:pPr>
                  <w:r>
                    <w:rPr>
                      <w:bCs/>
                      <w:color w:val="auto"/>
                      <w:sz w:val="21"/>
                      <w:szCs w:val="21"/>
                    </w:rPr>
                    <w:t>污染物</w:t>
                  </w:r>
                </w:p>
              </w:tc>
              <w:tc>
                <w:tcPr>
                  <w:tcW w:w="3091" w:type="dxa"/>
                  <w:tcBorders>
                    <w:top w:val="single" w:color="auto" w:sz="12" w:space="0"/>
                  </w:tcBorders>
                  <w:vAlign w:val="center"/>
                </w:tcPr>
                <w:p w14:paraId="4EB629A6">
                  <w:pPr>
                    <w:snapToGrid w:val="0"/>
                    <w:spacing w:line="240" w:lineRule="auto"/>
                    <w:jc w:val="center"/>
                    <w:rPr>
                      <w:rFonts w:hint="eastAsia" w:ascii="Times New Roman" w:hAnsi="Times New Roman" w:eastAsia="宋体" w:cs="Times New Roman"/>
                      <w:bCs/>
                      <w:color w:val="auto"/>
                      <w:kern w:val="2"/>
                      <w:sz w:val="21"/>
                      <w:szCs w:val="21"/>
                      <w:lang w:val="en-US" w:eastAsia="zh-CN" w:bidi="ar-SA"/>
                    </w:rPr>
                  </w:pPr>
                  <w:r>
                    <w:rPr>
                      <w:bCs/>
                      <w:color w:val="auto"/>
                      <w:sz w:val="21"/>
                      <w:szCs w:val="21"/>
                    </w:rPr>
                    <w:t>排放量</w:t>
                  </w:r>
                  <w:r>
                    <w:rPr>
                      <w:rFonts w:hint="eastAsia"/>
                      <w:bCs/>
                      <w:color w:val="auto"/>
                      <w:sz w:val="21"/>
                      <w:szCs w:val="21"/>
                      <w:lang w:eastAsia="zh-CN"/>
                    </w:rPr>
                    <w:t>（</w:t>
                  </w:r>
                  <w:r>
                    <w:rPr>
                      <w:rFonts w:hint="eastAsia"/>
                      <w:bCs/>
                      <w:color w:val="auto"/>
                      <w:sz w:val="21"/>
                      <w:szCs w:val="21"/>
                      <w:lang w:val="en-US" w:eastAsia="zh-CN"/>
                    </w:rPr>
                    <w:t>t/a</w:t>
                  </w:r>
                  <w:r>
                    <w:rPr>
                      <w:rFonts w:hint="eastAsia"/>
                      <w:bCs/>
                      <w:color w:val="auto"/>
                      <w:sz w:val="21"/>
                      <w:szCs w:val="21"/>
                      <w:lang w:eastAsia="zh-CN"/>
                    </w:rPr>
                    <w:t>）</w:t>
                  </w:r>
                </w:p>
              </w:tc>
            </w:tr>
            <w:tr w14:paraId="499CC04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restart"/>
                  <w:vAlign w:val="center"/>
                </w:tcPr>
                <w:p w14:paraId="0AFB8DD2">
                  <w:pPr>
                    <w:snapToGrid w:val="0"/>
                    <w:spacing w:line="240" w:lineRule="auto"/>
                    <w:jc w:val="center"/>
                    <w:rPr>
                      <w:rFonts w:hint="eastAsia" w:eastAsia="宋体"/>
                      <w:bCs/>
                      <w:color w:val="auto"/>
                      <w:sz w:val="21"/>
                      <w:szCs w:val="21"/>
                      <w:lang w:eastAsia="zh-CN"/>
                    </w:rPr>
                  </w:pPr>
                  <w:r>
                    <w:rPr>
                      <w:rFonts w:hint="eastAsia"/>
                      <w:bCs/>
                      <w:color w:val="auto"/>
                      <w:sz w:val="21"/>
                      <w:szCs w:val="21"/>
                      <w:lang w:eastAsia="zh-CN"/>
                    </w:rPr>
                    <w:t>废气</w:t>
                  </w:r>
                </w:p>
              </w:tc>
              <w:tc>
                <w:tcPr>
                  <w:tcW w:w="1238" w:type="dxa"/>
                  <w:vMerge w:val="restart"/>
                  <w:vAlign w:val="center"/>
                </w:tcPr>
                <w:p w14:paraId="783E5553">
                  <w:pPr>
                    <w:snapToGrid w:val="0"/>
                    <w:spacing w:line="240" w:lineRule="auto"/>
                    <w:jc w:val="center"/>
                    <w:rPr>
                      <w:rFonts w:hint="eastAsia" w:eastAsia="宋体"/>
                      <w:bCs/>
                      <w:color w:val="auto"/>
                      <w:sz w:val="21"/>
                      <w:szCs w:val="21"/>
                      <w:lang w:eastAsia="zh-CN"/>
                    </w:rPr>
                  </w:pPr>
                  <w:r>
                    <w:rPr>
                      <w:rFonts w:hint="eastAsia"/>
                      <w:bCs/>
                      <w:color w:val="auto"/>
                      <w:sz w:val="21"/>
                      <w:szCs w:val="21"/>
                      <w:lang w:eastAsia="zh-CN"/>
                    </w:rPr>
                    <w:t>洗浴锅炉废气</w:t>
                  </w:r>
                </w:p>
              </w:tc>
              <w:tc>
                <w:tcPr>
                  <w:tcW w:w="2239" w:type="dxa"/>
                  <w:vAlign w:val="center"/>
                </w:tcPr>
                <w:p w14:paraId="41A15E18">
                  <w:pPr>
                    <w:snapToGrid w:val="0"/>
                    <w:spacing w:line="240" w:lineRule="auto"/>
                    <w:jc w:val="center"/>
                    <w:rPr>
                      <w:rFonts w:hint="eastAsia"/>
                      <w:bCs/>
                      <w:color w:val="auto"/>
                      <w:sz w:val="21"/>
                      <w:szCs w:val="21"/>
                      <w:lang w:eastAsia="zh-CN"/>
                    </w:rPr>
                  </w:pPr>
                  <w:r>
                    <w:rPr>
                      <w:rFonts w:hint="eastAsia"/>
                      <w:bCs/>
                      <w:color w:val="auto"/>
                      <w:sz w:val="21"/>
                      <w:szCs w:val="21"/>
                      <w:lang w:eastAsia="zh-CN"/>
                    </w:rPr>
                    <w:t>颗粒物</w:t>
                  </w:r>
                </w:p>
              </w:tc>
              <w:tc>
                <w:tcPr>
                  <w:tcW w:w="3091" w:type="dxa"/>
                  <w:vAlign w:val="center"/>
                </w:tcPr>
                <w:p w14:paraId="5E8E53FD">
                  <w:pPr>
                    <w:keepNext w:val="0"/>
                    <w:keepLines w:val="0"/>
                    <w:pageBreakBefore w:val="0"/>
                    <w:kinsoku/>
                    <w:wordWrap/>
                    <w:overflowPunct/>
                    <w:topLinePunct w:val="0"/>
                    <w:autoSpaceDE/>
                    <w:autoSpaceDN/>
                    <w:bidi w:val="0"/>
                    <w:adjustRightInd/>
                    <w:spacing w:line="0" w:lineRule="atLeast"/>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0.02</w:t>
                  </w:r>
                </w:p>
              </w:tc>
            </w:tr>
            <w:tr w14:paraId="079CAF2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5DEC3BA5">
                  <w:pPr>
                    <w:snapToGrid w:val="0"/>
                    <w:spacing w:line="240" w:lineRule="auto"/>
                    <w:jc w:val="center"/>
                    <w:rPr>
                      <w:bCs/>
                      <w:color w:val="auto"/>
                      <w:sz w:val="21"/>
                      <w:szCs w:val="21"/>
                    </w:rPr>
                  </w:pPr>
                </w:p>
              </w:tc>
              <w:tc>
                <w:tcPr>
                  <w:tcW w:w="1238" w:type="dxa"/>
                  <w:vMerge w:val="continue"/>
                  <w:vAlign w:val="center"/>
                </w:tcPr>
                <w:p w14:paraId="58575248">
                  <w:pPr>
                    <w:snapToGrid w:val="0"/>
                    <w:spacing w:line="240" w:lineRule="auto"/>
                    <w:jc w:val="center"/>
                    <w:rPr>
                      <w:bCs/>
                      <w:color w:val="auto"/>
                      <w:sz w:val="21"/>
                      <w:szCs w:val="21"/>
                    </w:rPr>
                  </w:pPr>
                </w:p>
              </w:tc>
              <w:tc>
                <w:tcPr>
                  <w:tcW w:w="2239" w:type="dxa"/>
                  <w:vAlign w:val="center"/>
                </w:tcPr>
                <w:p w14:paraId="3F8E8C70">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3091" w:type="dxa"/>
                  <w:vAlign w:val="center"/>
                </w:tcPr>
                <w:p w14:paraId="7801B32E">
                  <w:pPr>
                    <w:keepNext w:val="0"/>
                    <w:keepLines w:val="0"/>
                    <w:pageBreakBefore w:val="0"/>
                    <w:kinsoku/>
                    <w:wordWrap/>
                    <w:overflowPunct/>
                    <w:topLinePunct w:val="0"/>
                    <w:autoSpaceDE/>
                    <w:autoSpaceDN/>
                    <w:bidi w:val="0"/>
                    <w:adjustRightInd/>
                    <w:spacing w:line="0" w:lineRule="atLeast"/>
                    <w:jc w:val="center"/>
                    <w:rPr>
                      <w:rFonts w:hint="default" w:eastAsia="宋体"/>
                      <w:bCs/>
                      <w:color w:val="auto"/>
                      <w:sz w:val="21"/>
                      <w:szCs w:val="21"/>
                      <w:highlight w:val="none"/>
                      <w:lang w:val="en-US" w:eastAsia="zh-CN"/>
                    </w:rPr>
                  </w:pPr>
                  <w:r>
                    <w:rPr>
                      <w:rFonts w:hint="eastAsia"/>
                      <w:bCs/>
                      <w:color w:val="auto"/>
                      <w:sz w:val="21"/>
                      <w:szCs w:val="21"/>
                      <w:highlight w:val="none"/>
                      <w:lang w:val="en-US" w:eastAsia="zh-CN"/>
                    </w:rPr>
                    <w:t>0.13</w:t>
                  </w:r>
                </w:p>
              </w:tc>
            </w:tr>
            <w:tr w14:paraId="1477C54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01629B78">
                  <w:pPr>
                    <w:snapToGrid w:val="0"/>
                    <w:spacing w:line="240" w:lineRule="auto"/>
                    <w:jc w:val="center"/>
                    <w:rPr>
                      <w:bCs/>
                      <w:color w:val="auto"/>
                      <w:sz w:val="21"/>
                      <w:szCs w:val="21"/>
                    </w:rPr>
                  </w:pPr>
                </w:p>
              </w:tc>
              <w:tc>
                <w:tcPr>
                  <w:tcW w:w="1238" w:type="dxa"/>
                  <w:vMerge w:val="continue"/>
                  <w:vAlign w:val="center"/>
                </w:tcPr>
                <w:p w14:paraId="06D22466">
                  <w:pPr>
                    <w:snapToGrid w:val="0"/>
                    <w:spacing w:line="240" w:lineRule="auto"/>
                    <w:jc w:val="center"/>
                    <w:rPr>
                      <w:rFonts w:hint="eastAsia"/>
                      <w:bCs/>
                      <w:color w:val="auto"/>
                      <w:sz w:val="21"/>
                      <w:szCs w:val="21"/>
                      <w:lang w:eastAsia="zh-CN"/>
                    </w:rPr>
                  </w:pPr>
                </w:p>
              </w:tc>
              <w:tc>
                <w:tcPr>
                  <w:tcW w:w="2239" w:type="dxa"/>
                  <w:vAlign w:val="center"/>
                </w:tcPr>
                <w:p w14:paraId="1B094B48">
                  <w:pPr>
                    <w:snapToGrid w:val="0"/>
                    <w:spacing w:line="240" w:lineRule="auto"/>
                    <w:jc w:val="center"/>
                    <w:rPr>
                      <w:rFonts w:hint="eastAsia"/>
                      <w:bCs/>
                      <w:color w:val="auto"/>
                      <w:sz w:val="21"/>
                      <w:szCs w:val="21"/>
                      <w:lang w:eastAsia="zh-CN"/>
                    </w:rPr>
                  </w:pPr>
                  <w:r>
                    <w:rPr>
                      <w:rFonts w:hint="eastAsia"/>
                      <w:color w:val="auto"/>
                      <w:sz w:val="21"/>
                      <w:szCs w:val="21"/>
                      <w:highlight w:val="none"/>
                      <w:lang w:eastAsia="zh-CN"/>
                    </w:rPr>
                    <w:t>氮氧化物</w:t>
                  </w:r>
                </w:p>
              </w:tc>
              <w:tc>
                <w:tcPr>
                  <w:tcW w:w="3091" w:type="dxa"/>
                  <w:vAlign w:val="center"/>
                </w:tcPr>
                <w:p w14:paraId="1E2A0065">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1.31</w:t>
                  </w:r>
                </w:p>
              </w:tc>
            </w:tr>
            <w:tr w14:paraId="2A7A7833">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74F14B10">
                  <w:pPr>
                    <w:snapToGrid w:val="0"/>
                    <w:spacing w:line="240" w:lineRule="auto"/>
                    <w:jc w:val="center"/>
                    <w:rPr>
                      <w:bCs/>
                      <w:color w:val="auto"/>
                      <w:sz w:val="21"/>
                      <w:szCs w:val="21"/>
                    </w:rPr>
                  </w:pPr>
                </w:p>
              </w:tc>
              <w:tc>
                <w:tcPr>
                  <w:tcW w:w="1238" w:type="dxa"/>
                  <w:vMerge w:val="restart"/>
                  <w:vAlign w:val="center"/>
                </w:tcPr>
                <w:p w14:paraId="6BF12F23">
                  <w:pPr>
                    <w:snapToGrid w:val="0"/>
                    <w:spacing w:line="240" w:lineRule="auto"/>
                    <w:jc w:val="center"/>
                    <w:rPr>
                      <w:bCs/>
                      <w:color w:val="auto"/>
                      <w:sz w:val="21"/>
                      <w:szCs w:val="21"/>
                    </w:rPr>
                  </w:pPr>
                  <w:r>
                    <w:rPr>
                      <w:rFonts w:hint="eastAsia"/>
                      <w:bCs/>
                      <w:color w:val="auto"/>
                      <w:sz w:val="21"/>
                      <w:szCs w:val="21"/>
                      <w:lang w:eastAsia="zh-CN"/>
                    </w:rPr>
                    <w:t>办公区供热锅炉废气</w:t>
                  </w:r>
                </w:p>
              </w:tc>
              <w:tc>
                <w:tcPr>
                  <w:tcW w:w="2239" w:type="dxa"/>
                  <w:vAlign w:val="center"/>
                </w:tcPr>
                <w:p w14:paraId="501FDA7A">
                  <w:pPr>
                    <w:snapToGrid w:val="0"/>
                    <w:spacing w:line="240" w:lineRule="auto"/>
                    <w:jc w:val="center"/>
                    <w:rPr>
                      <w:color w:val="auto"/>
                      <w:sz w:val="21"/>
                      <w:szCs w:val="21"/>
                      <w:highlight w:val="none"/>
                    </w:rPr>
                  </w:pPr>
                  <w:r>
                    <w:rPr>
                      <w:rFonts w:hint="eastAsia"/>
                      <w:bCs/>
                      <w:color w:val="auto"/>
                      <w:sz w:val="21"/>
                      <w:szCs w:val="21"/>
                      <w:lang w:eastAsia="zh-CN"/>
                    </w:rPr>
                    <w:t>颗粒物</w:t>
                  </w:r>
                </w:p>
              </w:tc>
              <w:tc>
                <w:tcPr>
                  <w:tcW w:w="3091" w:type="dxa"/>
                  <w:vAlign w:val="center"/>
                </w:tcPr>
                <w:p w14:paraId="398DAFB6">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0.08</w:t>
                  </w:r>
                </w:p>
              </w:tc>
            </w:tr>
            <w:tr w14:paraId="177B80C6">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32B7C8EE">
                  <w:pPr>
                    <w:snapToGrid w:val="0"/>
                    <w:spacing w:line="240" w:lineRule="auto"/>
                    <w:jc w:val="center"/>
                    <w:rPr>
                      <w:bCs/>
                      <w:color w:val="auto"/>
                      <w:sz w:val="21"/>
                      <w:szCs w:val="21"/>
                    </w:rPr>
                  </w:pPr>
                </w:p>
              </w:tc>
              <w:tc>
                <w:tcPr>
                  <w:tcW w:w="1238" w:type="dxa"/>
                  <w:vMerge w:val="continue"/>
                  <w:vAlign w:val="center"/>
                </w:tcPr>
                <w:p w14:paraId="51A87294">
                  <w:pPr>
                    <w:snapToGrid w:val="0"/>
                    <w:spacing w:line="240" w:lineRule="auto"/>
                    <w:jc w:val="center"/>
                    <w:rPr>
                      <w:bCs/>
                      <w:color w:val="auto"/>
                      <w:sz w:val="21"/>
                      <w:szCs w:val="21"/>
                    </w:rPr>
                  </w:pPr>
                </w:p>
              </w:tc>
              <w:tc>
                <w:tcPr>
                  <w:tcW w:w="2239" w:type="dxa"/>
                  <w:vAlign w:val="center"/>
                </w:tcPr>
                <w:p w14:paraId="2681A280">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3091" w:type="dxa"/>
                  <w:vAlign w:val="center"/>
                </w:tcPr>
                <w:p w14:paraId="52CEB9CC">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0.31</w:t>
                  </w:r>
                </w:p>
              </w:tc>
            </w:tr>
            <w:tr w14:paraId="6328761C">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69DCE8C4">
                  <w:pPr>
                    <w:snapToGrid w:val="0"/>
                    <w:spacing w:line="240" w:lineRule="auto"/>
                    <w:jc w:val="center"/>
                    <w:rPr>
                      <w:bCs/>
                      <w:color w:val="auto"/>
                      <w:sz w:val="21"/>
                      <w:szCs w:val="21"/>
                    </w:rPr>
                  </w:pPr>
                </w:p>
              </w:tc>
              <w:tc>
                <w:tcPr>
                  <w:tcW w:w="1238" w:type="dxa"/>
                  <w:vMerge w:val="continue"/>
                  <w:vAlign w:val="center"/>
                </w:tcPr>
                <w:p w14:paraId="6FFAD83C">
                  <w:pPr>
                    <w:snapToGrid w:val="0"/>
                    <w:spacing w:line="240" w:lineRule="auto"/>
                    <w:jc w:val="center"/>
                    <w:rPr>
                      <w:rFonts w:hint="eastAsia"/>
                      <w:bCs/>
                      <w:color w:val="auto"/>
                      <w:sz w:val="21"/>
                      <w:szCs w:val="21"/>
                      <w:lang w:eastAsia="zh-CN"/>
                    </w:rPr>
                  </w:pPr>
                </w:p>
              </w:tc>
              <w:tc>
                <w:tcPr>
                  <w:tcW w:w="2239" w:type="dxa"/>
                  <w:vAlign w:val="center"/>
                </w:tcPr>
                <w:p w14:paraId="291CA6E3">
                  <w:pPr>
                    <w:snapToGrid w:val="0"/>
                    <w:spacing w:line="240" w:lineRule="auto"/>
                    <w:jc w:val="center"/>
                    <w:rPr>
                      <w:rFonts w:hint="eastAsia"/>
                      <w:bCs/>
                      <w:color w:val="auto"/>
                      <w:sz w:val="21"/>
                      <w:szCs w:val="21"/>
                      <w:lang w:eastAsia="zh-CN"/>
                    </w:rPr>
                  </w:pPr>
                  <w:r>
                    <w:rPr>
                      <w:rFonts w:hint="eastAsia"/>
                      <w:color w:val="auto"/>
                      <w:sz w:val="21"/>
                      <w:szCs w:val="21"/>
                      <w:highlight w:val="none"/>
                      <w:lang w:eastAsia="zh-CN"/>
                    </w:rPr>
                    <w:t>氮氧化物</w:t>
                  </w:r>
                </w:p>
              </w:tc>
              <w:tc>
                <w:tcPr>
                  <w:tcW w:w="3091" w:type="dxa"/>
                  <w:vAlign w:val="center"/>
                </w:tcPr>
                <w:p w14:paraId="3AD335CF">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0.42</w:t>
                  </w:r>
                </w:p>
              </w:tc>
            </w:tr>
            <w:tr w14:paraId="63DBAB9B">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297ABB41">
                  <w:pPr>
                    <w:snapToGrid w:val="0"/>
                    <w:spacing w:line="240" w:lineRule="auto"/>
                    <w:jc w:val="center"/>
                    <w:rPr>
                      <w:bCs/>
                      <w:color w:val="auto"/>
                      <w:sz w:val="21"/>
                      <w:szCs w:val="21"/>
                    </w:rPr>
                  </w:pPr>
                </w:p>
              </w:tc>
              <w:tc>
                <w:tcPr>
                  <w:tcW w:w="1238" w:type="dxa"/>
                  <w:vMerge w:val="restart"/>
                  <w:vAlign w:val="center"/>
                </w:tcPr>
                <w:p w14:paraId="30B76201">
                  <w:pPr>
                    <w:snapToGrid w:val="0"/>
                    <w:spacing w:line="240" w:lineRule="auto"/>
                    <w:jc w:val="center"/>
                    <w:rPr>
                      <w:bCs/>
                      <w:color w:val="auto"/>
                      <w:sz w:val="21"/>
                      <w:szCs w:val="21"/>
                    </w:rPr>
                  </w:pPr>
                  <w:r>
                    <w:rPr>
                      <w:rFonts w:hint="eastAsia"/>
                      <w:bCs/>
                      <w:color w:val="auto"/>
                      <w:sz w:val="21"/>
                      <w:szCs w:val="21"/>
                      <w:lang w:eastAsia="zh-CN"/>
                    </w:rPr>
                    <w:t>井下供热锅炉废气</w:t>
                  </w:r>
                </w:p>
              </w:tc>
              <w:tc>
                <w:tcPr>
                  <w:tcW w:w="2239" w:type="dxa"/>
                  <w:vAlign w:val="center"/>
                </w:tcPr>
                <w:p w14:paraId="6132179B">
                  <w:pPr>
                    <w:snapToGrid w:val="0"/>
                    <w:spacing w:line="240" w:lineRule="auto"/>
                    <w:jc w:val="center"/>
                    <w:rPr>
                      <w:color w:val="auto"/>
                      <w:sz w:val="21"/>
                      <w:szCs w:val="21"/>
                      <w:highlight w:val="none"/>
                    </w:rPr>
                  </w:pPr>
                  <w:r>
                    <w:rPr>
                      <w:rFonts w:hint="eastAsia"/>
                      <w:bCs/>
                      <w:color w:val="auto"/>
                      <w:sz w:val="21"/>
                      <w:szCs w:val="21"/>
                      <w:lang w:eastAsia="zh-CN"/>
                    </w:rPr>
                    <w:t>颗粒物</w:t>
                  </w:r>
                </w:p>
              </w:tc>
              <w:tc>
                <w:tcPr>
                  <w:tcW w:w="3091" w:type="dxa"/>
                  <w:vAlign w:val="center"/>
                </w:tcPr>
                <w:p w14:paraId="73C63EE0">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0.18</w:t>
                  </w:r>
                </w:p>
              </w:tc>
            </w:tr>
            <w:tr w14:paraId="1F363FA4">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6D673891">
                  <w:pPr>
                    <w:snapToGrid w:val="0"/>
                    <w:spacing w:line="240" w:lineRule="auto"/>
                    <w:jc w:val="center"/>
                    <w:rPr>
                      <w:bCs/>
                      <w:color w:val="auto"/>
                      <w:sz w:val="21"/>
                      <w:szCs w:val="21"/>
                    </w:rPr>
                  </w:pPr>
                </w:p>
              </w:tc>
              <w:tc>
                <w:tcPr>
                  <w:tcW w:w="1238" w:type="dxa"/>
                  <w:vMerge w:val="continue"/>
                  <w:vAlign w:val="center"/>
                </w:tcPr>
                <w:p w14:paraId="7C5538F7">
                  <w:pPr>
                    <w:snapToGrid w:val="0"/>
                    <w:spacing w:line="240" w:lineRule="auto"/>
                    <w:jc w:val="center"/>
                    <w:rPr>
                      <w:bCs/>
                      <w:color w:val="auto"/>
                      <w:sz w:val="21"/>
                      <w:szCs w:val="21"/>
                    </w:rPr>
                  </w:pPr>
                </w:p>
              </w:tc>
              <w:tc>
                <w:tcPr>
                  <w:tcW w:w="2239" w:type="dxa"/>
                  <w:vAlign w:val="center"/>
                </w:tcPr>
                <w:p w14:paraId="71BA82E3">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3091" w:type="dxa"/>
                  <w:vAlign w:val="center"/>
                </w:tcPr>
                <w:p w14:paraId="77C33313">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0.40</w:t>
                  </w:r>
                </w:p>
              </w:tc>
            </w:tr>
            <w:tr w14:paraId="64CABC3F">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3E41DA48">
                  <w:pPr>
                    <w:snapToGrid w:val="0"/>
                    <w:spacing w:line="240" w:lineRule="auto"/>
                    <w:jc w:val="center"/>
                    <w:rPr>
                      <w:bCs/>
                      <w:color w:val="auto"/>
                      <w:sz w:val="21"/>
                      <w:szCs w:val="21"/>
                    </w:rPr>
                  </w:pPr>
                </w:p>
              </w:tc>
              <w:tc>
                <w:tcPr>
                  <w:tcW w:w="1238" w:type="dxa"/>
                  <w:vMerge w:val="continue"/>
                  <w:vAlign w:val="center"/>
                </w:tcPr>
                <w:p w14:paraId="07EF8D56">
                  <w:pPr>
                    <w:snapToGrid w:val="0"/>
                    <w:spacing w:line="240" w:lineRule="auto"/>
                    <w:jc w:val="center"/>
                    <w:rPr>
                      <w:bCs/>
                      <w:color w:val="auto"/>
                      <w:sz w:val="21"/>
                      <w:szCs w:val="21"/>
                    </w:rPr>
                  </w:pPr>
                </w:p>
              </w:tc>
              <w:tc>
                <w:tcPr>
                  <w:tcW w:w="2239" w:type="dxa"/>
                  <w:vAlign w:val="center"/>
                </w:tcPr>
                <w:p w14:paraId="37634251">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eastAsia="zh-CN"/>
                    </w:rPr>
                  </w:pPr>
                  <w:r>
                    <w:rPr>
                      <w:rFonts w:hint="eastAsia"/>
                      <w:color w:val="auto"/>
                      <w:sz w:val="21"/>
                      <w:szCs w:val="21"/>
                      <w:highlight w:val="none"/>
                      <w:lang w:eastAsia="zh-CN"/>
                    </w:rPr>
                    <w:t>氮氧化物</w:t>
                  </w:r>
                </w:p>
              </w:tc>
              <w:tc>
                <w:tcPr>
                  <w:tcW w:w="3091" w:type="dxa"/>
                  <w:vAlign w:val="center"/>
                </w:tcPr>
                <w:p w14:paraId="3FC1CB48">
                  <w:pPr>
                    <w:keepNext w:val="0"/>
                    <w:keepLines w:val="0"/>
                    <w:pageBreakBefore w:val="0"/>
                    <w:kinsoku/>
                    <w:wordWrap/>
                    <w:overflowPunct/>
                    <w:topLinePunct w:val="0"/>
                    <w:autoSpaceDE/>
                    <w:autoSpaceDN/>
                    <w:bidi w:val="0"/>
                    <w:adjustRightInd/>
                    <w:spacing w:line="0" w:lineRule="atLeast"/>
                    <w:jc w:val="center"/>
                    <w:rPr>
                      <w:rFonts w:hint="default"/>
                      <w:bCs/>
                      <w:color w:val="auto"/>
                      <w:sz w:val="21"/>
                      <w:szCs w:val="21"/>
                      <w:highlight w:val="none"/>
                      <w:lang w:val="en-US" w:eastAsia="zh-CN"/>
                    </w:rPr>
                  </w:pPr>
                  <w:r>
                    <w:rPr>
                      <w:rFonts w:hint="eastAsia"/>
                      <w:bCs/>
                      <w:color w:val="auto"/>
                      <w:sz w:val="21"/>
                      <w:szCs w:val="21"/>
                      <w:highlight w:val="none"/>
                      <w:lang w:val="en-US" w:eastAsia="zh-CN"/>
                    </w:rPr>
                    <w:t>2.02</w:t>
                  </w:r>
                </w:p>
              </w:tc>
            </w:tr>
            <w:tr w14:paraId="63BF578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Align w:val="center"/>
                </w:tcPr>
                <w:p w14:paraId="0A4ED9AF">
                  <w:pPr>
                    <w:snapToGrid w:val="0"/>
                    <w:spacing w:line="240" w:lineRule="auto"/>
                    <w:jc w:val="center"/>
                    <w:rPr>
                      <w:rFonts w:hint="eastAsia" w:eastAsia="宋体"/>
                      <w:bCs/>
                      <w:color w:val="auto"/>
                      <w:sz w:val="21"/>
                      <w:szCs w:val="21"/>
                      <w:lang w:eastAsia="zh-CN"/>
                    </w:rPr>
                  </w:pPr>
                  <w:r>
                    <w:rPr>
                      <w:rFonts w:hint="eastAsia"/>
                      <w:bCs/>
                      <w:color w:val="auto"/>
                      <w:sz w:val="21"/>
                      <w:szCs w:val="21"/>
                      <w:lang w:eastAsia="zh-CN"/>
                    </w:rPr>
                    <w:t>废水</w:t>
                  </w:r>
                </w:p>
              </w:tc>
              <w:tc>
                <w:tcPr>
                  <w:tcW w:w="3477" w:type="dxa"/>
                  <w:gridSpan w:val="2"/>
                  <w:vAlign w:val="center"/>
                </w:tcPr>
                <w:p w14:paraId="39763DBF">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rFonts w:hint="eastAsia"/>
                      <w:bCs/>
                      <w:color w:val="auto"/>
                      <w:sz w:val="21"/>
                      <w:szCs w:val="21"/>
                      <w:lang w:eastAsia="zh-CN"/>
                    </w:rPr>
                    <w:t>生活污水</w:t>
                  </w:r>
                </w:p>
              </w:tc>
              <w:tc>
                <w:tcPr>
                  <w:tcW w:w="3091" w:type="dxa"/>
                  <w:vAlign w:val="center"/>
                </w:tcPr>
                <w:p w14:paraId="5BEC290D">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none"/>
                      <w:lang w:val="en-US" w:eastAsia="zh-CN"/>
                    </w:rPr>
                  </w:pPr>
                  <w:r>
                    <w:rPr>
                      <w:rFonts w:hint="eastAsia"/>
                      <w:color w:val="auto"/>
                      <w:sz w:val="21"/>
                      <w:szCs w:val="21"/>
                      <w:highlight w:val="none"/>
                      <w:lang w:val="en-US" w:eastAsia="zh-CN"/>
                    </w:rPr>
                    <w:t>58.24m</w:t>
                  </w:r>
                  <w:r>
                    <w:rPr>
                      <w:rFonts w:hint="eastAsia"/>
                      <w:color w:val="auto"/>
                      <w:sz w:val="21"/>
                      <w:szCs w:val="21"/>
                      <w:highlight w:val="none"/>
                      <w:vertAlign w:val="superscript"/>
                      <w:lang w:val="en-US" w:eastAsia="zh-CN"/>
                    </w:rPr>
                    <w:t>3</w:t>
                  </w:r>
                  <w:r>
                    <w:rPr>
                      <w:rFonts w:hint="eastAsia"/>
                      <w:color w:val="auto"/>
                      <w:sz w:val="21"/>
                      <w:szCs w:val="21"/>
                      <w:highlight w:val="none"/>
                      <w:lang w:val="en-US" w:eastAsia="zh-CN"/>
                    </w:rPr>
                    <w:t>/d</w:t>
                  </w:r>
                </w:p>
              </w:tc>
            </w:tr>
            <w:tr w14:paraId="2AC26A3D">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restart"/>
                  <w:vAlign w:val="center"/>
                </w:tcPr>
                <w:p w14:paraId="3D37A4D2">
                  <w:pPr>
                    <w:snapToGrid w:val="0"/>
                    <w:spacing w:line="240" w:lineRule="auto"/>
                    <w:jc w:val="center"/>
                    <w:rPr>
                      <w:rFonts w:hint="eastAsia" w:eastAsia="宋体"/>
                      <w:bCs/>
                      <w:color w:val="auto"/>
                      <w:sz w:val="21"/>
                      <w:szCs w:val="21"/>
                      <w:lang w:eastAsia="zh-CN"/>
                    </w:rPr>
                  </w:pPr>
                  <w:r>
                    <w:rPr>
                      <w:rFonts w:hint="eastAsia"/>
                      <w:bCs/>
                      <w:color w:val="auto"/>
                      <w:sz w:val="21"/>
                      <w:szCs w:val="21"/>
                      <w:lang w:eastAsia="zh-CN"/>
                    </w:rPr>
                    <w:t>固废</w:t>
                  </w:r>
                </w:p>
              </w:tc>
              <w:tc>
                <w:tcPr>
                  <w:tcW w:w="1238" w:type="dxa"/>
                  <w:vAlign w:val="center"/>
                </w:tcPr>
                <w:p w14:paraId="6B70D9B6">
                  <w:pPr>
                    <w:snapToGrid w:val="0"/>
                    <w:spacing w:line="240" w:lineRule="auto"/>
                    <w:jc w:val="center"/>
                    <w:rPr>
                      <w:rFonts w:hint="eastAsia" w:eastAsia="宋体"/>
                      <w:bCs/>
                      <w:color w:val="auto"/>
                      <w:sz w:val="21"/>
                      <w:szCs w:val="21"/>
                      <w:lang w:eastAsia="zh-CN"/>
                    </w:rPr>
                  </w:pPr>
                  <w:r>
                    <w:rPr>
                      <w:rFonts w:hint="eastAsia"/>
                      <w:bCs/>
                      <w:color w:val="auto"/>
                      <w:sz w:val="21"/>
                      <w:szCs w:val="21"/>
                      <w:lang w:eastAsia="zh-CN"/>
                    </w:rPr>
                    <w:t>职工生活</w:t>
                  </w:r>
                </w:p>
              </w:tc>
              <w:tc>
                <w:tcPr>
                  <w:tcW w:w="2239" w:type="dxa"/>
                  <w:vAlign w:val="center"/>
                </w:tcPr>
                <w:p w14:paraId="099E16AE">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eastAsia="zh-CN"/>
                    </w:rPr>
                  </w:pPr>
                  <w:r>
                    <w:rPr>
                      <w:rFonts w:hint="eastAsia"/>
                      <w:color w:val="auto"/>
                      <w:sz w:val="21"/>
                      <w:szCs w:val="21"/>
                      <w:highlight w:val="none"/>
                      <w:lang w:eastAsia="zh-CN"/>
                    </w:rPr>
                    <w:t>生活垃圾</w:t>
                  </w:r>
                </w:p>
              </w:tc>
              <w:tc>
                <w:tcPr>
                  <w:tcW w:w="3091" w:type="dxa"/>
                  <w:vAlign w:val="center"/>
                </w:tcPr>
                <w:p w14:paraId="60C11B22">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none"/>
                      <w:lang w:val="en-US" w:eastAsia="zh-CN"/>
                    </w:rPr>
                  </w:pPr>
                  <w:r>
                    <w:rPr>
                      <w:rFonts w:hint="eastAsia"/>
                      <w:color w:val="auto"/>
                      <w:sz w:val="21"/>
                      <w:szCs w:val="21"/>
                      <w:highlight w:val="none"/>
                      <w:lang w:val="en-US" w:eastAsia="zh-CN"/>
                    </w:rPr>
                    <w:t>42</w:t>
                  </w:r>
                </w:p>
              </w:tc>
            </w:tr>
            <w:tr w14:paraId="791BA83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096C2E7B">
                  <w:pPr>
                    <w:snapToGrid w:val="0"/>
                    <w:spacing w:line="240" w:lineRule="auto"/>
                    <w:jc w:val="center"/>
                    <w:rPr>
                      <w:rFonts w:hint="eastAsia"/>
                      <w:bCs/>
                      <w:color w:val="auto"/>
                      <w:sz w:val="21"/>
                      <w:szCs w:val="21"/>
                      <w:lang w:eastAsia="zh-CN"/>
                    </w:rPr>
                  </w:pPr>
                </w:p>
              </w:tc>
              <w:tc>
                <w:tcPr>
                  <w:tcW w:w="1238" w:type="dxa"/>
                  <w:vAlign w:val="center"/>
                </w:tcPr>
                <w:p w14:paraId="49512379">
                  <w:pPr>
                    <w:snapToGrid w:val="0"/>
                    <w:spacing w:line="240" w:lineRule="auto"/>
                    <w:jc w:val="center"/>
                    <w:rPr>
                      <w:bCs/>
                      <w:color w:val="auto"/>
                      <w:sz w:val="21"/>
                      <w:szCs w:val="21"/>
                    </w:rPr>
                  </w:pPr>
                  <w:r>
                    <w:rPr>
                      <w:rFonts w:hint="default"/>
                      <w:bCs/>
                      <w:color w:val="auto"/>
                      <w:sz w:val="21"/>
                      <w:szCs w:val="21"/>
                      <w:lang w:val="en-US" w:eastAsia="zh-CN"/>
                    </w:rPr>
                    <w:t>掘进矸石</w:t>
                  </w:r>
                </w:p>
              </w:tc>
              <w:tc>
                <w:tcPr>
                  <w:tcW w:w="2239" w:type="dxa"/>
                  <w:vAlign w:val="center"/>
                </w:tcPr>
                <w:p w14:paraId="262322D7">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rFonts w:hint="default"/>
                      <w:bCs/>
                      <w:color w:val="auto"/>
                      <w:sz w:val="21"/>
                      <w:szCs w:val="21"/>
                      <w:highlight w:val="none"/>
                      <w:lang w:val="en-US" w:eastAsia="zh-CN"/>
                    </w:rPr>
                    <w:t>矸石</w:t>
                  </w:r>
                </w:p>
              </w:tc>
              <w:tc>
                <w:tcPr>
                  <w:tcW w:w="3091" w:type="dxa"/>
                  <w:vAlign w:val="center"/>
                </w:tcPr>
                <w:p w14:paraId="45EEA495">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none"/>
                      <w:lang w:val="en-US" w:eastAsia="zh-CN"/>
                    </w:rPr>
                  </w:pPr>
                  <w:r>
                    <w:rPr>
                      <w:rFonts w:hint="eastAsia"/>
                      <w:color w:val="auto"/>
                      <w:sz w:val="21"/>
                      <w:szCs w:val="21"/>
                      <w:highlight w:val="none"/>
                      <w:lang w:val="en-US" w:eastAsia="zh-CN"/>
                    </w:rPr>
                    <w:t>15000</w:t>
                  </w:r>
                </w:p>
              </w:tc>
            </w:tr>
            <w:tr w14:paraId="19C4CB85">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vAlign w:val="center"/>
                </w:tcPr>
                <w:p w14:paraId="77C6E723">
                  <w:pPr>
                    <w:snapToGrid w:val="0"/>
                    <w:spacing w:line="240" w:lineRule="auto"/>
                    <w:jc w:val="center"/>
                    <w:rPr>
                      <w:rFonts w:hint="eastAsia"/>
                      <w:bCs/>
                      <w:color w:val="auto"/>
                      <w:sz w:val="21"/>
                      <w:szCs w:val="21"/>
                      <w:lang w:eastAsia="zh-CN"/>
                    </w:rPr>
                  </w:pPr>
                </w:p>
              </w:tc>
              <w:tc>
                <w:tcPr>
                  <w:tcW w:w="1238" w:type="dxa"/>
                  <w:vAlign w:val="center"/>
                </w:tcPr>
                <w:p w14:paraId="6E0B5A57">
                  <w:pPr>
                    <w:snapToGrid w:val="0"/>
                    <w:spacing w:line="240" w:lineRule="auto"/>
                    <w:jc w:val="center"/>
                    <w:rPr>
                      <w:bCs/>
                      <w:color w:val="auto"/>
                      <w:sz w:val="21"/>
                      <w:szCs w:val="21"/>
                    </w:rPr>
                  </w:pPr>
                  <w:r>
                    <w:rPr>
                      <w:rFonts w:hint="default"/>
                      <w:bCs/>
                      <w:color w:val="auto"/>
                      <w:sz w:val="21"/>
                      <w:szCs w:val="21"/>
                      <w:lang w:val="en-US" w:eastAsia="zh-CN"/>
                    </w:rPr>
                    <w:t>污水处理</w:t>
                  </w:r>
                </w:p>
              </w:tc>
              <w:tc>
                <w:tcPr>
                  <w:tcW w:w="2239" w:type="dxa"/>
                  <w:vAlign w:val="center"/>
                </w:tcPr>
                <w:p w14:paraId="013E2078">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rFonts w:hint="default"/>
                      <w:color w:val="auto"/>
                      <w:sz w:val="21"/>
                      <w:szCs w:val="21"/>
                      <w:highlight w:val="none"/>
                      <w:lang w:val="en-US" w:eastAsia="zh-CN"/>
                    </w:rPr>
                    <w:t>污泥</w:t>
                  </w:r>
                </w:p>
              </w:tc>
              <w:tc>
                <w:tcPr>
                  <w:tcW w:w="3091" w:type="dxa"/>
                  <w:vAlign w:val="center"/>
                </w:tcPr>
                <w:p w14:paraId="6E9349D8">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none"/>
                      <w:lang w:val="en-US" w:eastAsia="zh-CN"/>
                    </w:rPr>
                  </w:pPr>
                  <w:r>
                    <w:rPr>
                      <w:rFonts w:hint="eastAsia"/>
                      <w:color w:val="auto"/>
                      <w:sz w:val="21"/>
                      <w:szCs w:val="21"/>
                      <w:highlight w:val="none"/>
                      <w:lang w:val="en-US" w:eastAsia="zh-CN"/>
                    </w:rPr>
                    <w:t>0.5</w:t>
                  </w:r>
                </w:p>
              </w:tc>
            </w:tr>
            <w:tr w14:paraId="247F6A60">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1330" w:type="dxa"/>
                  <w:vMerge w:val="continue"/>
                  <w:tcBorders>
                    <w:bottom w:val="single" w:color="auto" w:sz="12" w:space="0"/>
                  </w:tcBorders>
                  <w:vAlign w:val="center"/>
                </w:tcPr>
                <w:p w14:paraId="7BE327EB">
                  <w:pPr>
                    <w:snapToGrid w:val="0"/>
                    <w:spacing w:line="240" w:lineRule="auto"/>
                    <w:jc w:val="center"/>
                    <w:rPr>
                      <w:rFonts w:hint="eastAsia"/>
                      <w:bCs/>
                      <w:color w:val="auto"/>
                      <w:sz w:val="21"/>
                      <w:szCs w:val="21"/>
                      <w:lang w:eastAsia="zh-CN"/>
                    </w:rPr>
                  </w:pPr>
                </w:p>
              </w:tc>
              <w:tc>
                <w:tcPr>
                  <w:tcW w:w="1238" w:type="dxa"/>
                  <w:tcBorders>
                    <w:bottom w:val="single" w:color="auto" w:sz="12" w:space="0"/>
                  </w:tcBorders>
                  <w:vAlign w:val="center"/>
                </w:tcPr>
                <w:p w14:paraId="55AE1F07">
                  <w:pPr>
                    <w:snapToGrid w:val="0"/>
                    <w:spacing w:line="240" w:lineRule="auto"/>
                    <w:jc w:val="center"/>
                    <w:rPr>
                      <w:rFonts w:hint="default"/>
                      <w:bCs/>
                      <w:color w:val="auto"/>
                      <w:sz w:val="21"/>
                      <w:szCs w:val="21"/>
                      <w:lang w:val="en-US" w:eastAsia="zh-CN"/>
                    </w:rPr>
                  </w:pPr>
                  <w:r>
                    <w:rPr>
                      <w:rFonts w:hint="eastAsia"/>
                      <w:bCs/>
                      <w:color w:val="auto"/>
                      <w:sz w:val="21"/>
                      <w:szCs w:val="21"/>
                      <w:lang w:val="en-US" w:eastAsia="zh-CN"/>
                    </w:rPr>
                    <w:t>锅炉</w:t>
                  </w:r>
                </w:p>
              </w:tc>
              <w:tc>
                <w:tcPr>
                  <w:tcW w:w="2239" w:type="dxa"/>
                  <w:tcBorders>
                    <w:bottom w:val="single" w:color="auto" w:sz="12" w:space="0"/>
                  </w:tcBorders>
                  <w:vAlign w:val="center"/>
                </w:tcPr>
                <w:p w14:paraId="768AAD87">
                  <w:pPr>
                    <w:snapToGrid w:val="0"/>
                    <w:spacing w:line="240" w:lineRule="auto"/>
                    <w:jc w:val="center"/>
                    <w:rPr>
                      <w:rFonts w:hint="default"/>
                      <w:color w:val="auto"/>
                      <w:sz w:val="21"/>
                      <w:szCs w:val="21"/>
                      <w:highlight w:val="none"/>
                      <w:lang w:val="en-US" w:eastAsia="zh-CN"/>
                    </w:rPr>
                  </w:pPr>
                  <w:r>
                    <w:rPr>
                      <w:rFonts w:hint="eastAsia"/>
                      <w:bCs/>
                      <w:color w:val="auto"/>
                      <w:sz w:val="21"/>
                      <w:szCs w:val="21"/>
                      <w:highlight w:val="none"/>
                      <w:lang w:val="en-US" w:eastAsia="zh-CN"/>
                    </w:rPr>
                    <w:t>灰渣</w:t>
                  </w:r>
                </w:p>
              </w:tc>
              <w:tc>
                <w:tcPr>
                  <w:tcW w:w="3091" w:type="dxa"/>
                  <w:tcBorders>
                    <w:bottom w:val="single" w:color="auto" w:sz="12" w:space="0"/>
                  </w:tcBorders>
                  <w:vAlign w:val="center"/>
                </w:tcPr>
                <w:p w14:paraId="3C4A5314">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none"/>
                      <w:lang w:val="en-US" w:eastAsia="zh-CN"/>
                    </w:rPr>
                  </w:pPr>
                  <w:r>
                    <w:rPr>
                      <w:rFonts w:hint="eastAsia"/>
                      <w:color w:val="auto"/>
                      <w:sz w:val="21"/>
                      <w:szCs w:val="21"/>
                      <w:highlight w:val="none"/>
                      <w:lang w:val="en-US" w:eastAsia="zh-CN"/>
                    </w:rPr>
                    <w:t>108</w:t>
                  </w:r>
                </w:p>
              </w:tc>
            </w:tr>
          </w:tbl>
          <w:p w14:paraId="4C3B5022">
            <w:pPr>
              <w:pStyle w:val="24"/>
              <w:numPr>
                <w:ilvl w:val="0"/>
                <w:numId w:val="0"/>
              </w:numPr>
              <w:spacing w:line="360" w:lineRule="auto"/>
              <w:ind w:left="0" w:leftChars="0" w:firstLine="480" w:firstLineChars="200"/>
              <w:rPr>
                <w:rFonts w:hint="eastAsia" w:cs="Times New Roman"/>
                <w:color w:val="auto"/>
                <w:sz w:val="24"/>
                <w:szCs w:val="24"/>
                <w:highlight w:val="none"/>
                <w:lang w:val="en-US" w:eastAsia="zh-CN"/>
              </w:rPr>
            </w:pPr>
            <w:r>
              <w:rPr>
                <w:rFonts w:hint="eastAsia" w:cs="Times New Roman"/>
                <w:color w:val="auto"/>
                <w:kern w:val="2"/>
                <w:sz w:val="24"/>
                <w:szCs w:val="24"/>
                <w:lang w:val="en-US" w:eastAsia="zh-CN" w:bidi="ar-SA"/>
              </w:rPr>
              <w:t>四</w:t>
            </w:r>
            <w:r>
              <w:rPr>
                <w:rFonts w:hint="eastAsia" w:ascii="Times New Roman" w:hAnsi="Times New Roman" w:eastAsia="宋体" w:cs="Times New Roman"/>
                <w:color w:val="auto"/>
                <w:kern w:val="2"/>
                <w:sz w:val="24"/>
                <w:szCs w:val="24"/>
                <w:lang w:val="en-US" w:eastAsia="zh-CN" w:bidi="ar-SA"/>
              </w:rPr>
              <w:t>、</w:t>
            </w:r>
            <w:r>
              <w:rPr>
                <w:rFonts w:hint="eastAsia" w:cs="Times New Roman"/>
                <w:color w:val="auto"/>
                <w:sz w:val="24"/>
                <w:szCs w:val="24"/>
                <w:highlight w:val="none"/>
                <w:lang w:val="en-US" w:eastAsia="zh-CN"/>
              </w:rPr>
              <w:t>原有环境问题及整改措施</w:t>
            </w:r>
          </w:p>
          <w:p w14:paraId="7D690071">
            <w:pPr>
              <w:pStyle w:val="24"/>
              <w:numPr>
                <w:ilvl w:val="0"/>
                <w:numId w:val="0"/>
              </w:numPr>
              <w:spacing w:line="360" w:lineRule="auto"/>
              <w:ind w:firstLine="480" w:firstLineChars="200"/>
              <w:rPr>
                <w:rFonts w:hint="eastAsia" w:cs="Times New Roman"/>
                <w:color w:val="auto"/>
                <w:kern w:val="0"/>
                <w:sz w:val="24"/>
                <w:szCs w:val="24"/>
                <w:lang w:val="en-US" w:eastAsia="zh-CN" w:bidi="ar-SA"/>
              </w:rPr>
            </w:pPr>
            <w:r>
              <w:rPr>
                <w:rFonts w:hint="eastAsia" w:ascii="宋体" w:hAnsi="宋体" w:eastAsia="宋体" w:cs="宋体"/>
                <w:color w:val="auto"/>
                <w:sz w:val="24"/>
                <w:szCs w:val="24"/>
                <w:lang w:val="en-US" w:eastAsia="zh-CN"/>
              </w:rPr>
              <w:t>根据《鸡西市人民政府办公室印发鸡西市淘汰城市建成区内10蒸吨/小时及以下燃煤（含型煤）锅炉实施方案的通知》（鸡政办发〔2016〕76号）中“2017年年底</w:t>
            </w:r>
            <w:r>
              <w:rPr>
                <w:rFonts w:hint="eastAsia" w:cs="Times New Roman"/>
                <w:color w:val="auto"/>
                <w:sz w:val="24"/>
                <w:szCs w:val="24"/>
                <w:lang w:val="en-US" w:eastAsia="zh-CN"/>
              </w:rPr>
              <w:t>前全部淘汰城市建成区内10蒸吨/小时及以下燃煤小锅炉”要求，本项目拆除原有的井下供暖一台1.05MW燃煤热风炉、冬季供暖和洗浴CHH0.7A 节能锅炉各一台</w:t>
            </w:r>
            <w:r>
              <w:rPr>
                <w:rFonts w:hint="eastAsia" w:cs="Times New Roman"/>
                <w:color w:val="auto"/>
                <w:kern w:val="0"/>
                <w:sz w:val="24"/>
                <w:szCs w:val="24"/>
                <w:lang w:val="en-US" w:eastAsia="zh-CN" w:bidi="ar-SA"/>
              </w:rPr>
              <w:t>。现已将燃煤锅炉及相关配套环保设施拆除。</w:t>
            </w:r>
          </w:p>
          <w:p w14:paraId="0B913D81">
            <w:pPr>
              <w:spacing w:line="360" w:lineRule="auto"/>
              <w:ind w:firstLine="420" w:firstLineChars="200"/>
              <w:rPr>
                <w:rFonts w:hint="eastAsia" w:ascii="宋体" w:hAnsi="宋体" w:eastAsia="宋体" w:cs="宋体"/>
                <w:color w:val="auto"/>
                <w:kern w:val="2"/>
                <w:sz w:val="24"/>
                <w:szCs w:val="24"/>
                <w:highlight w:val="none"/>
                <w:lang w:val="en-US" w:eastAsia="zh-CN" w:bidi="ar-SA"/>
              </w:rPr>
            </w:pPr>
            <w:r>
              <w:rPr>
                <w:rFonts w:hint="eastAsia"/>
                <w:color w:val="auto"/>
                <w:highlight w:val="none"/>
                <w:lang w:val="en-US" w:eastAsia="zh-CN"/>
              </w:rPr>
              <w:t>1</w:t>
            </w:r>
            <w:r>
              <w:rPr>
                <w:rFonts w:hint="eastAsia" w:ascii="宋体" w:hAnsi="宋体" w:eastAsia="宋体" w:cs="宋体"/>
                <w:color w:val="auto"/>
                <w:kern w:val="2"/>
                <w:sz w:val="24"/>
                <w:szCs w:val="24"/>
                <w:highlight w:val="none"/>
                <w:lang w:val="en-US" w:eastAsia="zh-CN" w:bidi="ar-SA"/>
              </w:rPr>
              <w:t>、原有问题：</w:t>
            </w:r>
          </w:p>
          <w:p w14:paraId="7A10C1BE">
            <w:pPr>
              <w:keepLines w:val="0"/>
              <w:pageBreakBefore w:val="0"/>
              <w:widowControl w:val="0"/>
              <w:kinsoku/>
              <w:wordWrap/>
              <w:topLinePunct w:val="0"/>
              <w:bidi w:val="0"/>
              <w:spacing w:line="360" w:lineRule="auto"/>
              <w:ind w:firstLine="480" w:firstLineChars="200"/>
              <w:rPr>
                <w:rFonts w:hint="default"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（1）根据《产业结构调整指导目录(2024年本)》，燃煤锅炉属于淘汰类落后产品。</w:t>
            </w:r>
          </w:p>
          <w:p w14:paraId="39746678">
            <w:pPr>
              <w:keepLines w:val="0"/>
              <w:pageBreakBefore w:val="0"/>
              <w:widowControl w:val="0"/>
              <w:kinsoku/>
              <w:wordWrap/>
              <w:topLinePunct w:val="0"/>
              <w:bidi w:val="0"/>
              <w:spacing w:line="360" w:lineRule="auto"/>
              <w:ind w:firstLine="480" w:firstLineChars="2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（2）原有锅炉产生灰渣直接用于铺路，增加粉尘污染。</w:t>
            </w:r>
          </w:p>
          <w:p w14:paraId="64EAA00D">
            <w:pPr>
              <w:pStyle w:val="2"/>
              <w:keepLines w:val="0"/>
              <w:pageBreakBefore w:val="0"/>
              <w:widowControl w:val="0"/>
              <w:kinsoku/>
              <w:wordWrap/>
              <w:topLinePunct w:val="0"/>
              <w:bidi w:val="0"/>
              <w:spacing w:line="360" w:lineRule="auto"/>
              <w:ind w:left="0" w:leftChars="0" w:firstLine="480" w:firstLineChars="2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（3）原有锅炉布袋除尘器效率为97%。</w:t>
            </w:r>
          </w:p>
          <w:p w14:paraId="51C951EE">
            <w:pPr>
              <w:ind w:firstLine="480" w:firstLineChars="200"/>
              <w:rPr>
                <w:rFonts w:hint="eastAsia"/>
                <w:highlight w:val="none"/>
                <w:lang w:val="en-US" w:eastAsia="zh-CN"/>
              </w:rPr>
            </w:pPr>
            <w:r>
              <w:rPr>
                <w:rFonts w:hint="eastAsia" w:ascii="宋体" w:hAnsi="宋体" w:cs="宋体"/>
                <w:b w:val="0"/>
                <w:bCs w:val="0"/>
                <w:color w:val="auto"/>
                <w:kern w:val="2"/>
                <w:sz w:val="24"/>
                <w:szCs w:val="24"/>
                <w:highlight w:val="none"/>
                <w:lang w:val="en-US" w:eastAsia="zh-CN" w:bidi="ar-SA"/>
              </w:rPr>
              <w:t>（4）原有工程未设置危险废物暂存间。</w:t>
            </w:r>
          </w:p>
          <w:p w14:paraId="587F126C">
            <w:pPr>
              <w:pStyle w:val="2"/>
              <w:keepLines w:val="0"/>
              <w:pageBreakBefore w:val="0"/>
              <w:widowControl w:val="0"/>
              <w:kinsoku/>
              <w:wordWrap/>
              <w:topLinePunct w:val="0"/>
              <w:bidi w:val="0"/>
              <w:spacing w:line="360" w:lineRule="auto"/>
              <w:ind w:left="0" w:leftChars="0" w:firstLine="480" w:firstLineChars="200"/>
              <w:rPr>
                <w:rFonts w:hint="eastAsia" w:hAnsi="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w:t>
            </w:r>
            <w:r>
              <w:rPr>
                <w:rFonts w:hint="eastAsia" w:hAnsi="宋体" w:cs="宋体"/>
                <w:b w:val="0"/>
                <w:bCs w:val="0"/>
                <w:color w:val="auto"/>
                <w:kern w:val="2"/>
                <w:sz w:val="24"/>
                <w:szCs w:val="24"/>
                <w:highlight w:val="none"/>
                <w:lang w:val="en-US" w:eastAsia="zh-CN" w:bidi="ar-SA"/>
              </w:rPr>
              <w:t>以新带老</w:t>
            </w:r>
          </w:p>
          <w:p w14:paraId="60353666">
            <w:pPr>
              <w:pStyle w:val="2"/>
              <w:keepLines w:val="0"/>
              <w:pageBreakBefore w:val="0"/>
              <w:widowControl w:val="0"/>
              <w:kinsoku/>
              <w:wordWrap/>
              <w:topLinePunct w:val="0"/>
              <w:bidi w:val="0"/>
              <w:spacing w:line="360" w:lineRule="auto"/>
              <w:ind w:left="0" w:leftChars="0" w:firstLine="480" w:firstLineChars="2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（1）拆除原有3台燃煤锅炉，新建一台5t/h生物质锅炉。</w:t>
            </w:r>
          </w:p>
          <w:p w14:paraId="7FB665C4">
            <w:pPr>
              <w:keepLines w:val="0"/>
              <w:pageBreakBefore w:val="0"/>
              <w:widowControl w:val="0"/>
              <w:kinsoku/>
              <w:wordWrap/>
              <w:topLinePunct w:val="0"/>
              <w:bidi w:val="0"/>
              <w:spacing w:line="360" w:lineRule="auto"/>
              <w:ind w:firstLine="480" w:firstLineChars="200"/>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（2）灰渣暂存于灰渣间，定期外售。</w:t>
            </w:r>
          </w:p>
          <w:p w14:paraId="308BDD0B">
            <w:pPr>
              <w:pStyle w:val="4"/>
              <w:keepLines w:val="0"/>
              <w:pageBreakBefore w:val="0"/>
              <w:widowControl w:val="0"/>
              <w:kinsoku/>
              <w:wordWrap/>
              <w:topLinePunct w:val="0"/>
              <w:bidi w:val="0"/>
              <w:spacing w:line="360" w:lineRule="auto"/>
              <w:ind w:left="433" w:leftChars="202" w:hanging="9" w:hangingChars="4"/>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（3）5t/h生物质热风炉配套布袋除尘效率为99%。</w:t>
            </w:r>
          </w:p>
          <w:p w14:paraId="16282898">
            <w:pPr>
              <w:pStyle w:val="4"/>
              <w:keepLines w:val="0"/>
              <w:pageBreakBefore w:val="0"/>
              <w:widowControl w:val="0"/>
              <w:kinsoku/>
              <w:wordWrap/>
              <w:topLinePunct w:val="0"/>
              <w:bidi w:val="0"/>
              <w:spacing w:line="360" w:lineRule="auto"/>
              <w:ind w:left="433" w:leftChars="202" w:hanging="9" w:hangingChars="4"/>
              <w:rPr>
                <w:rFonts w:hint="eastAsia" w:ascii="宋体" w:hAnsi="宋体" w:eastAsia="宋体" w:cs="宋体"/>
                <w:b w:val="0"/>
                <w:bCs w:val="0"/>
                <w:color w:val="auto"/>
                <w:kern w:val="2"/>
                <w:sz w:val="24"/>
                <w:szCs w:val="24"/>
                <w:highlight w:val="none"/>
                <w:lang w:val="en-US" w:eastAsia="zh-CN" w:bidi="ar-SA"/>
              </w:rPr>
            </w:pPr>
            <w:r>
              <w:rPr>
                <w:rFonts w:hint="eastAsia" w:ascii="宋体" w:hAnsi="宋体" w:eastAsia="宋体" w:cs="宋体"/>
                <w:b w:val="0"/>
                <w:bCs w:val="0"/>
                <w:color w:val="auto"/>
                <w:kern w:val="2"/>
                <w:sz w:val="24"/>
                <w:szCs w:val="24"/>
                <w:highlight w:val="none"/>
                <w:lang w:val="en-US" w:eastAsia="zh-CN" w:bidi="ar-SA"/>
              </w:rPr>
              <w:t>（4）设置危险废物暂存间。</w:t>
            </w:r>
          </w:p>
          <w:p w14:paraId="68FE40C3">
            <w:pPr>
              <w:rPr>
                <w:rFonts w:hint="eastAsia" w:ascii="宋体" w:hAnsi="宋体" w:eastAsia="宋体" w:cs="宋体"/>
                <w:b w:val="0"/>
                <w:bCs w:val="0"/>
                <w:color w:val="auto"/>
                <w:kern w:val="2"/>
                <w:sz w:val="24"/>
                <w:szCs w:val="24"/>
                <w:highlight w:val="green"/>
                <w:lang w:val="en-US" w:eastAsia="zh-CN" w:bidi="ar-SA"/>
              </w:rPr>
            </w:pPr>
          </w:p>
          <w:p w14:paraId="49901D8F">
            <w:pPr>
              <w:pStyle w:val="18"/>
              <w:rPr>
                <w:rFonts w:hint="eastAsia" w:ascii="宋体" w:hAnsi="宋体" w:eastAsia="宋体" w:cs="宋体"/>
                <w:b w:val="0"/>
                <w:bCs w:val="0"/>
                <w:color w:val="auto"/>
                <w:kern w:val="2"/>
                <w:sz w:val="24"/>
                <w:szCs w:val="24"/>
                <w:highlight w:val="green"/>
                <w:lang w:val="en-US" w:eastAsia="zh-CN" w:bidi="ar-SA"/>
              </w:rPr>
            </w:pPr>
          </w:p>
          <w:p w14:paraId="4F7184B1">
            <w:pPr>
              <w:rPr>
                <w:rFonts w:hint="eastAsia" w:ascii="宋体" w:hAnsi="宋体" w:eastAsia="宋体" w:cs="宋体"/>
                <w:b w:val="0"/>
                <w:bCs w:val="0"/>
                <w:color w:val="auto"/>
                <w:kern w:val="2"/>
                <w:sz w:val="24"/>
                <w:szCs w:val="24"/>
                <w:highlight w:val="green"/>
                <w:lang w:val="en-US" w:eastAsia="zh-CN" w:bidi="ar-SA"/>
              </w:rPr>
            </w:pPr>
          </w:p>
          <w:p w14:paraId="414BC536">
            <w:pPr>
              <w:pStyle w:val="18"/>
              <w:rPr>
                <w:rFonts w:hint="eastAsia" w:ascii="宋体" w:hAnsi="宋体" w:eastAsia="宋体" w:cs="宋体"/>
                <w:b w:val="0"/>
                <w:bCs w:val="0"/>
                <w:color w:val="auto"/>
                <w:kern w:val="2"/>
                <w:sz w:val="24"/>
                <w:szCs w:val="24"/>
                <w:lang w:val="en-US" w:eastAsia="zh-CN" w:bidi="ar-SA"/>
              </w:rPr>
            </w:pPr>
          </w:p>
          <w:p w14:paraId="4F429B59">
            <w:pPr>
              <w:rPr>
                <w:rFonts w:hint="eastAsia" w:ascii="宋体" w:hAnsi="宋体" w:eastAsia="宋体" w:cs="宋体"/>
                <w:b w:val="0"/>
                <w:bCs w:val="0"/>
                <w:color w:val="auto"/>
                <w:kern w:val="2"/>
                <w:sz w:val="24"/>
                <w:szCs w:val="24"/>
                <w:lang w:val="en-US" w:eastAsia="zh-CN" w:bidi="ar-SA"/>
              </w:rPr>
            </w:pPr>
          </w:p>
          <w:p w14:paraId="2F47DEB1">
            <w:pPr>
              <w:pStyle w:val="18"/>
              <w:rPr>
                <w:rFonts w:hint="eastAsia" w:ascii="宋体" w:hAnsi="宋体" w:eastAsia="宋体" w:cs="宋体"/>
                <w:b w:val="0"/>
                <w:bCs w:val="0"/>
                <w:color w:val="auto"/>
                <w:kern w:val="2"/>
                <w:sz w:val="24"/>
                <w:szCs w:val="24"/>
                <w:lang w:val="en-US" w:eastAsia="zh-CN" w:bidi="ar-SA"/>
              </w:rPr>
            </w:pPr>
          </w:p>
          <w:p w14:paraId="6585A021">
            <w:pPr>
              <w:rPr>
                <w:rFonts w:hint="eastAsia" w:ascii="宋体" w:hAnsi="宋体" w:eastAsia="宋体" w:cs="宋体"/>
                <w:b w:val="0"/>
                <w:bCs w:val="0"/>
                <w:color w:val="auto"/>
                <w:kern w:val="2"/>
                <w:sz w:val="24"/>
                <w:szCs w:val="24"/>
                <w:lang w:val="en-US" w:eastAsia="zh-CN" w:bidi="ar-SA"/>
              </w:rPr>
            </w:pPr>
          </w:p>
          <w:p w14:paraId="33B55E56">
            <w:pPr>
              <w:pStyle w:val="18"/>
              <w:rPr>
                <w:rFonts w:hint="eastAsia" w:ascii="宋体" w:hAnsi="宋体" w:eastAsia="宋体" w:cs="宋体"/>
                <w:b w:val="0"/>
                <w:bCs w:val="0"/>
                <w:color w:val="auto"/>
                <w:kern w:val="2"/>
                <w:sz w:val="24"/>
                <w:szCs w:val="24"/>
                <w:lang w:val="en-US" w:eastAsia="zh-CN" w:bidi="ar-SA"/>
              </w:rPr>
            </w:pPr>
          </w:p>
          <w:p w14:paraId="42C288FB">
            <w:pPr>
              <w:rPr>
                <w:rFonts w:hint="eastAsia" w:ascii="宋体" w:hAnsi="宋体" w:eastAsia="宋体" w:cs="宋体"/>
                <w:b w:val="0"/>
                <w:bCs w:val="0"/>
                <w:color w:val="auto"/>
                <w:kern w:val="2"/>
                <w:sz w:val="24"/>
                <w:szCs w:val="24"/>
                <w:lang w:val="en-US" w:eastAsia="zh-CN" w:bidi="ar-SA"/>
              </w:rPr>
            </w:pPr>
          </w:p>
          <w:p w14:paraId="72090153">
            <w:pPr>
              <w:pStyle w:val="18"/>
              <w:rPr>
                <w:rFonts w:hint="eastAsia" w:ascii="宋体" w:hAnsi="宋体" w:eastAsia="宋体" w:cs="宋体"/>
                <w:b w:val="0"/>
                <w:bCs w:val="0"/>
                <w:color w:val="auto"/>
                <w:kern w:val="2"/>
                <w:sz w:val="24"/>
                <w:szCs w:val="24"/>
                <w:lang w:val="en-US" w:eastAsia="zh-CN" w:bidi="ar-SA"/>
              </w:rPr>
            </w:pPr>
          </w:p>
          <w:p w14:paraId="68ED8EA1">
            <w:pPr>
              <w:rPr>
                <w:rFonts w:hint="eastAsia" w:ascii="宋体" w:hAnsi="宋体" w:eastAsia="宋体" w:cs="宋体"/>
                <w:b w:val="0"/>
                <w:bCs w:val="0"/>
                <w:color w:val="auto"/>
                <w:kern w:val="2"/>
                <w:sz w:val="24"/>
                <w:szCs w:val="24"/>
                <w:lang w:val="en-US" w:eastAsia="zh-CN" w:bidi="ar-SA"/>
              </w:rPr>
            </w:pPr>
          </w:p>
          <w:p w14:paraId="547033D6">
            <w:pPr>
              <w:pStyle w:val="18"/>
              <w:rPr>
                <w:rFonts w:hint="eastAsia" w:ascii="宋体" w:hAnsi="宋体" w:eastAsia="宋体" w:cs="宋体"/>
                <w:b w:val="0"/>
                <w:bCs w:val="0"/>
                <w:color w:val="auto"/>
                <w:kern w:val="2"/>
                <w:sz w:val="24"/>
                <w:szCs w:val="24"/>
                <w:lang w:val="en-US" w:eastAsia="zh-CN" w:bidi="ar-SA"/>
              </w:rPr>
            </w:pPr>
          </w:p>
          <w:p w14:paraId="7E5E29EB">
            <w:pPr>
              <w:rPr>
                <w:rFonts w:hint="eastAsia" w:ascii="宋体" w:hAnsi="宋体" w:eastAsia="宋体" w:cs="宋体"/>
                <w:b w:val="0"/>
                <w:bCs w:val="0"/>
                <w:color w:val="auto"/>
                <w:kern w:val="2"/>
                <w:sz w:val="24"/>
                <w:szCs w:val="24"/>
                <w:lang w:val="en-US" w:eastAsia="zh-CN" w:bidi="ar-SA"/>
              </w:rPr>
            </w:pPr>
          </w:p>
          <w:p w14:paraId="57F0AF54">
            <w:pPr>
              <w:pStyle w:val="18"/>
              <w:rPr>
                <w:rFonts w:hint="eastAsia" w:ascii="宋体" w:hAnsi="宋体" w:eastAsia="宋体" w:cs="宋体"/>
                <w:b w:val="0"/>
                <w:bCs w:val="0"/>
                <w:color w:val="auto"/>
                <w:kern w:val="2"/>
                <w:sz w:val="24"/>
                <w:szCs w:val="24"/>
                <w:lang w:val="en-US" w:eastAsia="zh-CN" w:bidi="ar-SA"/>
              </w:rPr>
            </w:pPr>
          </w:p>
          <w:p w14:paraId="40417741">
            <w:pPr>
              <w:rPr>
                <w:rFonts w:hint="eastAsia" w:ascii="宋体" w:hAnsi="宋体" w:eastAsia="宋体" w:cs="宋体"/>
                <w:b w:val="0"/>
                <w:bCs w:val="0"/>
                <w:color w:val="auto"/>
                <w:kern w:val="2"/>
                <w:sz w:val="24"/>
                <w:szCs w:val="24"/>
                <w:lang w:val="en-US" w:eastAsia="zh-CN" w:bidi="ar-SA"/>
              </w:rPr>
            </w:pPr>
          </w:p>
          <w:p w14:paraId="7FD79795">
            <w:pPr>
              <w:pStyle w:val="18"/>
              <w:rPr>
                <w:rFonts w:hint="eastAsia" w:ascii="宋体" w:hAnsi="宋体" w:eastAsia="宋体" w:cs="宋体"/>
                <w:b w:val="0"/>
                <w:bCs w:val="0"/>
                <w:color w:val="auto"/>
                <w:kern w:val="2"/>
                <w:sz w:val="24"/>
                <w:szCs w:val="24"/>
                <w:lang w:val="en-US" w:eastAsia="zh-CN" w:bidi="ar-SA"/>
              </w:rPr>
            </w:pPr>
          </w:p>
          <w:p w14:paraId="55A6A177">
            <w:pPr>
              <w:rPr>
                <w:rFonts w:hint="eastAsia" w:ascii="宋体" w:hAnsi="宋体" w:eastAsia="宋体" w:cs="宋体"/>
                <w:b w:val="0"/>
                <w:bCs w:val="0"/>
                <w:color w:val="auto"/>
                <w:kern w:val="2"/>
                <w:sz w:val="24"/>
                <w:szCs w:val="24"/>
                <w:lang w:val="en-US" w:eastAsia="zh-CN" w:bidi="ar-SA"/>
              </w:rPr>
            </w:pPr>
          </w:p>
          <w:p w14:paraId="59810BDC">
            <w:pPr>
              <w:pStyle w:val="18"/>
              <w:rPr>
                <w:rFonts w:hint="eastAsia" w:ascii="宋体" w:hAnsi="宋体" w:eastAsia="宋体" w:cs="宋体"/>
                <w:b w:val="0"/>
                <w:bCs w:val="0"/>
                <w:color w:val="auto"/>
                <w:kern w:val="2"/>
                <w:sz w:val="24"/>
                <w:szCs w:val="24"/>
                <w:lang w:val="en-US" w:eastAsia="zh-CN" w:bidi="ar-SA"/>
              </w:rPr>
            </w:pPr>
          </w:p>
          <w:p w14:paraId="420B2477">
            <w:pPr>
              <w:rPr>
                <w:rFonts w:hint="eastAsia" w:ascii="宋体" w:hAnsi="宋体" w:eastAsia="宋体" w:cs="宋体"/>
                <w:b w:val="0"/>
                <w:bCs w:val="0"/>
                <w:color w:val="auto"/>
                <w:kern w:val="2"/>
                <w:sz w:val="24"/>
                <w:szCs w:val="24"/>
                <w:lang w:val="en-US" w:eastAsia="zh-CN" w:bidi="ar-SA"/>
              </w:rPr>
            </w:pPr>
          </w:p>
          <w:p w14:paraId="14ACE5AB">
            <w:pPr>
              <w:pStyle w:val="18"/>
              <w:rPr>
                <w:rFonts w:hint="eastAsia" w:ascii="宋体" w:hAnsi="宋体" w:eastAsia="宋体" w:cs="宋体"/>
                <w:b w:val="0"/>
                <w:bCs w:val="0"/>
                <w:color w:val="auto"/>
                <w:kern w:val="2"/>
                <w:sz w:val="24"/>
                <w:szCs w:val="24"/>
                <w:lang w:val="en-US" w:eastAsia="zh-CN" w:bidi="ar-SA"/>
              </w:rPr>
            </w:pPr>
          </w:p>
          <w:p w14:paraId="7AE6746E">
            <w:pPr>
              <w:rPr>
                <w:rFonts w:hint="eastAsia" w:ascii="宋体" w:hAnsi="宋体" w:eastAsia="宋体" w:cs="宋体"/>
                <w:b w:val="0"/>
                <w:bCs w:val="0"/>
                <w:color w:val="auto"/>
                <w:kern w:val="2"/>
                <w:sz w:val="24"/>
                <w:szCs w:val="24"/>
                <w:lang w:val="en-US" w:eastAsia="zh-CN" w:bidi="ar-SA"/>
              </w:rPr>
            </w:pPr>
          </w:p>
          <w:p w14:paraId="4D869FE8">
            <w:pPr>
              <w:pStyle w:val="18"/>
              <w:rPr>
                <w:rFonts w:hint="eastAsia" w:ascii="宋体" w:hAnsi="宋体" w:eastAsia="宋体" w:cs="宋体"/>
                <w:b w:val="0"/>
                <w:bCs w:val="0"/>
                <w:color w:val="auto"/>
                <w:kern w:val="2"/>
                <w:sz w:val="24"/>
                <w:szCs w:val="24"/>
                <w:lang w:val="en-US" w:eastAsia="zh-CN" w:bidi="ar-SA"/>
              </w:rPr>
            </w:pPr>
          </w:p>
          <w:p w14:paraId="3644F43A">
            <w:pPr>
              <w:rPr>
                <w:rFonts w:hint="eastAsia" w:ascii="宋体" w:hAnsi="宋体" w:eastAsia="宋体" w:cs="宋体"/>
                <w:b w:val="0"/>
                <w:bCs w:val="0"/>
                <w:color w:val="auto"/>
                <w:kern w:val="2"/>
                <w:sz w:val="24"/>
                <w:szCs w:val="24"/>
                <w:lang w:val="en-US" w:eastAsia="zh-CN" w:bidi="ar-SA"/>
              </w:rPr>
            </w:pPr>
          </w:p>
          <w:p w14:paraId="45A6B6B9">
            <w:pPr>
              <w:pStyle w:val="18"/>
              <w:rPr>
                <w:rFonts w:hint="eastAsia" w:ascii="宋体" w:hAnsi="宋体" w:eastAsia="宋体" w:cs="宋体"/>
                <w:b w:val="0"/>
                <w:bCs w:val="0"/>
                <w:color w:val="auto"/>
                <w:kern w:val="2"/>
                <w:sz w:val="24"/>
                <w:szCs w:val="24"/>
                <w:lang w:val="en-US" w:eastAsia="zh-CN" w:bidi="ar-SA"/>
              </w:rPr>
            </w:pPr>
          </w:p>
          <w:p w14:paraId="2430DAF3">
            <w:pPr>
              <w:rPr>
                <w:rFonts w:hint="eastAsia"/>
                <w:lang w:val="en-US" w:eastAsia="zh-CN"/>
              </w:rPr>
            </w:pPr>
          </w:p>
          <w:p w14:paraId="2FF34814">
            <w:pPr>
              <w:rPr>
                <w:rFonts w:hint="default"/>
                <w:lang w:val="en-US" w:eastAsia="zh-CN"/>
              </w:rPr>
            </w:pPr>
          </w:p>
        </w:tc>
      </w:tr>
    </w:tbl>
    <w:p w14:paraId="6D488C3F">
      <w:pPr>
        <w:pStyle w:val="26"/>
        <w:jc w:val="center"/>
        <w:rPr>
          <w:rFonts w:hint="default" w:ascii="Times New Roman" w:hAnsi="Times New Roman" w:eastAsia="黑体" w:cs="Times New Roman"/>
          <w:snapToGrid w:val="0"/>
          <w:color w:val="auto"/>
          <w:sz w:val="36"/>
          <w:szCs w:val="36"/>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124FDD65">
      <w:pPr>
        <w:pStyle w:val="26"/>
        <w:jc w:val="center"/>
        <w:outlineLvl w:val="0"/>
        <w:rPr>
          <w:rFonts w:hint="default" w:ascii="Times New Roman" w:hAnsi="Times New Roman" w:eastAsia="黑体" w:cs="Times New Roman"/>
          <w:snapToGrid w:val="0"/>
          <w:color w:val="auto"/>
          <w:sz w:val="30"/>
          <w:szCs w:val="30"/>
          <w:highlight w:val="none"/>
        </w:rPr>
      </w:pPr>
      <w:bookmarkStart w:id="3" w:name="_Toc20614"/>
      <w:r>
        <w:rPr>
          <w:rFonts w:hint="default" w:ascii="Times New Roman" w:hAnsi="Times New Roman" w:eastAsia="黑体" w:cs="Times New Roman"/>
          <w:snapToGrid w:val="0"/>
          <w:color w:val="auto"/>
          <w:sz w:val="30"/>
          <w:szCs w:val="30"/>
          <w:highlight w:val="none"/>
        </w:rPr>
        <w:t>三、区域环境质量现状、环境保护目标及评价标准</w:t>
      </w:r>
      <w:bookmarkEnd w:id="3"/>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14:paraId="6BF232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1CF5D7B9">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区域</w:t>
            </w:r>
          </w:p>
          <w:p w14:paraId="61E3E791">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环境</w:t>
            </w:r>
          </w:p>
          <w:p w14:paraId="29AE2E40">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质量</w:t>
            </w:r>
          </w:p>
          <w:p w14:paraId="512170C5">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szCs w:val="24"/>
              </w:rPr>
              <w:t>现状</w:t>
            </w:r>
          </w:p>
        </w:tc>
        <w:tc>
          <w:tcPr>
            <w:tcW w:w="8190" w:type="dxa"/>
            <w:noWrap w:val="0"/>
            <w:vAlign w:val="center"/>
          </w:tcPr>
          <w:p w14:paraId="24B3FAEF">
            <w:pPr>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auto"/>
                <w:kern w:val="0"/>
                <w:sz w:val="24"/>
                <w:szCs w:val="24"/>
                <w:lang w:eastAsia="zh-CN"/>
              </w:rPr>
            </w:pPr>
            <w:r>
              <w:rPr>
                <w:rFonts w:hint="eastAsia" w:cs="Times New Roman"/>
                <w:b/>
                <w:bCs/>
                <w:color w:val="auto"/>
                <w:kern w:val="0"/>
                <w:sz w:val="24"/>
                <w:szCs w:val="24"/>
                <w:lang w:val="en-US" w:eastAsia="zh-CN"/>
              </w:rPr>
              <w:t>一</w:t>
            </w:r>
            <w:r>
              <w:rPr>
                <w:rFonts w:hint="default" w:ascii="Times New Roman" w:hAnsi="Times New Roman" w:eastAsia="宋体" w:cs="Times New Roman"/>
                <w:b/>
                <w:bCs/>
                <w:color w:val="auto"/>
                <w:kern w:val="0"/>
                <w:sz w:val="24"/>
                <w:szCs w:val="24"/>
                <w:lang w:val="en-US" w:eastAsia="zh-CN"/>
              </w:rPr>
              <w:t>、</w:t>
            </w:r>
            <w:r>
              <w:rPr>
                <w:rFonts w:hint="default" w:ascii="Times New Roman" w:hAnsi="Times New Roman" w:eastAsia="宋体" w:cs="Times New Roman"/>
                <w:b/>
                <w:bCs/>
                <w:color w:val="auto"/>
                <w:kern w:val="0"/>
                <w:sz w:val="24"/>
                <w:szCs w:val="24"/>
                <w:lang w:eastAsia="zh-CN"/>
              </w:rPr>
              <w:t>大气环境</w:t>
            </w:r>
          </w:p>
          <w:p w14:paraId="3FB6052E">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lang w:eastAsia="zh-CN"/>
              </w:rPr>
            </w:pPr>
            <w:r>
              <w:rPr>
                <w:rFonts w:hint="eastAsia" w:cs="Times New Roman"/>
                <w:color w:val="auto"/>
                <w:kern w:val="0"/>
                <w:sz w:val="24"/>
                <w:szCs w:val="24"/>
                <w:lang w:val="en-US" w:eastAsia="zh-CN"/>
              </w:rPr>
              <w:t>1、基本</w:t>
            </w:r>
            <w:r>
              <w:rPr>
                <w:rFonts w:hint="eastAsia" w:ascii="Times New Roman" w:hAnsi="Times New Roman" w:eastAsia="宋体" w:cs="Times New Roman"/>
                <w:color w:val="auto"/>
                <w:kern w:val="0"/>
                <w:sz w:val="24"/>
                <w:szCs w:val="24"/>
                <w:lang w:eastAsia="zh-CN"/>
              </w:rPr>
              <w:t>污染物</w:t>
            </w:r>
          </w:p>
          <w:p w14:paraId="7858A351">
            <w:pPr>
              <w:keepNext w:val="0"/>
              <w:keepLines w:val="0"/>
              <w:pageBreakBefore w:val="0"/>
              <w:widowControl w:val="0"/>
              <w:suppressLineNumbers w:val="0"/>
              <w:kinsoku/>
              <w:wordWrap/>
              <w:overflowPunct/>
              <w:topLinePunct w:val="0"/>
              <w:autoSpaceDE w:val="0"/>
              <w:autoSpaceDN/>
              <w:bidi w:val="0"/>
              <w:spacing w:before="0" w:beforeAutospacing="0" w:after="0" w:afterAutospacing="0" w:line="360" w:lineRule="auto"/>
              <w:ind w:left="0" w:right="0" w:firstLine="480" w:firstLineChars="200"/>
              <w:jc w:val="both"/>
              <w:textAlignment w:val="auto"/>
              <w:rPr>
                <w:rFonts w:hint="default" w:ascii="Times New Roman" w:hAnsi="Times New Roman" w:eastAsia="宋体" w:cs="Times New Roman"/>
                <w:color w:val="auto"/>
                <w:sz w:val="24"/>
                <w:szCs w:val="24"/>
                <w:highlight w:val="none"/>
              </w:rPr>
            </w:pPr>
            <w:r>
              <w:rPr>
                <w:rFonts w:hint="eastAsia" w:ascii="Times New Roman" w:hAnsi="Times New Roman" w:eastAsia="宋体" w:cs="Times New Roman"/>
                <w:color w:val="auto"/>
                <w:kern w:val="0"/>
                <w:sz w:val="24"/>
                <w:szCs w:val="24"/>
                <w:highlight w:val="none"/>
                <w:lang w:val="en-US" w:eastAsia="zh-CN" w:bidi="ar"/>
              </w:rPr>
              <w:t>根据《202</w:t>
            </w:r>
            <w:r>
              <w:rPr>
                <w:rFonts w:hint="eastAsia" w:cs="Times New Roman"/>
                <w:color w:val="auto"/>
                <w:kern w:val="0"/>
                <w:sz w:val="24"/>
                <w:szCs w:val="24"/>
                <w:highlight w:val="none"/>
                <w:lang w:val="en-US" w:eastAsia="zh-CN" w:bidi="ar"/>
              </w:rPr>
              <w:t>5</w:t>
            </w:r>
            <w:r>
              <w:rPr>
                <w:rFonts w:hint="eastAsia" w:ascii="Times New Roman" w:hAnsi="Times New Roman" w:eastAsia="宋体" w:cs="Times New Roman"/>
                <w:color w:val="auto"/>
                <w:kern w:val="0"/>
                <w:sz w:val="24"/>
                <w:szCs w:val="24"/>
                <w:highlight w:val="none"/>
                <w:lang w:val="en-US" w:eastAsia="zh-CN" w:bidi="ar"/>
              </w:rPr>
              <w:t>年黑龙江省生态环境质量状况》，</w:t>
            </w:r>
            <w:r>
              <w:rPr>
                <w:rFonts w:hint="default" w:ascii="Times New Roman" w:hAnsi="Times New Roman" w:eastAsia="宋体" w:cs="Times New Roman"/>
                <w:color w:val="auto"/>
                <w:kern w:val="0"/>
                <w:sz w:val="24"/>
                <w:szCs w:val="24"/>
                <w:highlight w:val="none"/>
                <w:lang w:val="en-US" w:eastAsia="zh-CN" w:bidi="ar"/>
              </w:rPr>
              <w:t>鸡西市</w:t>
            </w:r>
            <w:r>
              <w:rPr>
                <w:rFonts w:hint="eastAsia" w:cs="Times New Roman"/>
                <w:color w:val="auto"/>
                <w:kern w:val="0"/>
                <w:sz w:val="24"/>
                <w:szCs w:val="24"/>
                <w:highlight w:val="none"/>
                <w:lang w:val="en-US" w:eastAsia="zh-CN" w:bidi="ar"/>
              </w:rPr>
              <w:t>2025</w:t>
            </w:r>
            <w:r>
              <w:rPr>
                <w:rFonts w:hint="default" w:ascii="Times New Roman" w:hAnsi="Times New Roman" w:eastAsia="宋体" w:cs="Times New Roman"/>
                <w:color w:val="auto"/>
                <w:kern w:val="0"/>
                <w:sz w:val="24"/>
                <w:szCs w:val="24"/>
                <w:highlight w:val="none"/>
                <w:lang w:val="en-US" w:eastAsia="zh-CN" w:bidi="ar"/>
              </w:rPr>
              <w:t>年SO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10</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2.5</w:t>
            </w:r>
            <w:r>
              <w:rPr>
                <w:rFonts w:hint="default" w:ascii="Times New Roman" w:hAnsi="Times New Roman" w:eastAsia="宋体" w:cs="Times New Roman"/>
                <w:color w:val="auto"/>
                <w:kern w:val="0"/>
                <w:sz w:val="24"/>
                <w:szCs w:val="24"/>
                <w:highlight w:val="none"/>
                <w:lang w:val="en-US" w:eastAsia="zh-CN" w:bidi="ar"/>
              </w:rPr>
              <w:t>年均浓度分别为</w:t>
            </w:r>
            <w:r>
              <w:rPr>
                <w:rFonts w:hint="eastAsia" w:cs="Times New Roman"/>
                <w:color w:val="auto"/>
                <w:kern w:val="0"/>
                <w:sz w:val="24"/>
                <w:szCs w:val="24"/>
                <w:highlight w:val="none"/>
                <w:lang w:val="en-US" w:eastAsia="zh-CN" w:bidi="ar"/>
              </w:rPr>
              <w:t>8</w:t>
            </w:r>
            <w:r>
              <w:rPr>
                <w:rFonts w:hint="default" w:ascii="Times New Roman" w:hAnsi="Times New Roman" w:eastAsia="黑体" w:cs="Times New Roman"/>
                <w:snapToGrid w:val="0"/>
                <w:color w:val="auto"/>
                <w:sz w:val="24"/>
                <w:szCs w:val="24"/>
                <w:lang w:val="en-US" w:eastAsia="zh-CN"/>
              </w:rPr>
              <w:t>μ</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17</w:t>
            </w:r>
            <w:r>
              <w:rPr>
                <w:rFonts w:hint="default" w:ascii="Times New Roman" w:hAnsi="Times New Roman" w:eastAsia="黑体" w:cs="Times New Roman"/>
                <w:snapToGrid w:val="0"/>
                <w:color w:val="auto"/>
                <w:sz w:val="24"/>
                <w:szCs w:val="24"/>
                <w:lang w:val="en-US" w:eastAsia="zh-CN"/>
              </w:rPr>
              <w:t>μ</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43</w:t>
            </w:r>
            <w:r>
              <w:rPr>
                <w:rFonts w:hint="default" w:ascii="Times New Roman" w:hAnsi="Times New Roman" w:eastAsia="黑体" w:cs="Times New Roman"/>
                <w:snapToGrid w:val="0"/>
                <w:color w:val="auto"/>
                <w:sz w:val="24"/>
                <w:szCs w:val="24"/>
                <w:lang w:val="en-US" w:eastAsia="zh-CN"/>
              </w:rPr>
              <w:t>μ</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26</w:t>
            </w:r>
            <w:r>
              <w:rPr>
                <w:rFonts w:hint="default" w:ascii="Times New Roman" w:hAnsi="Times New Roman" w:eastAsia="黑体" w:cs="Times New Roman"/>
                <w:snapToGrid w:val="0"/>
                <w:color w:val="auto"/>
                <w:sz w:val="24"/>
                <w:szCs w:val="24"/>
                <w:lang w:val="en-US" w:eastAsia="zh-CN"/>
              </w:rPr>
              <w:t>μ</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；CO24小时平均第95百分位数为</w:t>
            </w:r>
            <w:r>
              <w:rPr>
                <w:rFonts w:hint="eastAsia" w:cs="Times New Roman"/>
                <w:color w:val="auto"/>
                <w:kern w:val="0"/>
                <w:sz w:val="24"/>
                <w:szCs w:val="24"/>
                <w:highlight w:val="none"/>
                <w:lang w:val="en-US" w:eastAsia="zh-CN" w:bidi="ar"/>
              </w:rPr>
              <w:t>0.9</w:t>
            </w:r>
            <w:r>
              <w:rPr>
                <w:rFonts w:hint="eastAsia" w:ascii="Times New Roman" w:hAnsi="Times New Roman" w:eastAsia="黑体" w:cs="Times New Roman"/>
                <w:snapToGrid w:val="0"/>
                <w:color w:val="auto"/>
                <w:sz w:val="24"/>
                <w:szCs w:val="24"/>
                <w:lang w:val="en-US" w:eastAsia="zh-CN"/>
              </w:rPr>
              <w:t>m</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，O</w:t>
            </w:r>
            <w:r>
              <w:rPr>
                <w:rFonts w:hint="default" w:ascii="Times New Roman" w:hAnsi="Times New Roman" w:eastAsia="宋体" w:cs="Times New Roman"/>
                <w:color w:val="auto"/>
                <w:kern w:val="0"/>
                <w:sz w:val="24"/>
                <w:szCs w:val="24"/>
                <w:highlight w:val="none"/>
                <w:vertAlign w:val="sub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日最大8小时平均第90百分位数为</w:t>
            </w:r>
            <w:r>
              <w:rPr>
                <w:rFonts w:hint="eastAsia" w:cs="Times New Roman"/>
                <w:color w:val="auto"/>
                <w:kern w:val="0"/>
                <w:sz w:val="24"/>
                <w:szCs w:val="24"/>
                <w:highlight w:val="none"/>
                <w:lang w:val="en-US" w:eastAsia="zh-CN" w:bidi="ar"/>
              </w:rPr>
              <w:t>115</w:t>
            </w:r>
            <w:r>
              <w:rPr>
                <w:rFonts w:hint="default" w:ascii="Times New Roman" w:hAnsi="Times New Roman" w:eastAsia="黑体" w:cs="Times New Roman"/>
                <w:snapToGrid w:val="0"/>
                <w:color w:val="auto"/>
                <w:sz w:val="24"/>
                <w:szCs w:val="24"/>
                <w:lang w:val="en-US" w:eastAsia="zh-CN"/>
              </w:rPr>
              <w:t>μ</w:t>
            </w:r>
            <w:r>
              <w:rPr>
                <w:rFonts w:hint="default" w:ascii="Times New Roman" w:hAnsi="Times New Roman" w:eastAsia="宋体" w:cs="Times New Roman"/>
                <w:color w:val="auto"/>
                <w:kern w:val="0"/>
                <w:sz w:val="24"/>
                <w:szCs w:val="24"/>
                <w:highlight w:val="none"/>
                <w:lang w:val="en-US" w:eastAsia="zh-CN" w:bidi="ar"/>
              </w:rPr>
              <w:t>g/m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eastAsia" w:ascii="Times New Roman" w:hAnsi="Times New Roman" w:eastAsia="宋体" w:cs="Times New Roman"/>
                <w:color w:val="auto"/>
                <w:kern w:val="0"/>
                <w:sz w:val="24"/>
                <w:szCs w:val="24"/>
                <w:highlight w:val="none"/>
                <w:vertAlign w:val="baseline"/>
                <w:lang w:val="en-US" w:eastAsia="zh-CN" w:bidi="ar"/>
              </w:rPr>
              <w:t>，</w:t>
            </w:r>
            <w:r>
              <w:rPr>
                <w:rFonts w:hint="default" w:ascii="Times New Roman" w:hAnsi="Times New Roman" w:eastAsia="宋体" w:cs="Times New Roman"/>
                <w:color w:val="auto"/>
                <w:kern w:val="0"/>
                <w:sz w:val="24"/>
                <w:szCs w:val="24"/>
                <w:highlight w:val="none"/>
                <w:lang w:val="en-US" w:eastAsia="zh-CN" w:bidi="ar"/>
              </w:rPr>
              <w:t>各污染物平均浓度均优于《环境空气质量标准》</w:t>
            </w:r>
            <w:r>
              <w:rPr>
                <w:rFonts w:hint="default" w:ascii="Times New Roman" w:hAnsi="Times New Roman" w:eastAsia="宋体" w:cs="Times New Roman"/>
                <w:color w:val="auto"/>
                <w:kern w:val="21"/>
                <w:sz w:val="24"/>
                <w:szCs w:val="24"/>
                <w:highlight w:val="none"/>
              </w:rPr>
              <w:t>（GB3095-20</w:t>
            </w:r>
            <w:r>
              <w:rPr>
                <w:rFonts w:hint="eastAsia" w:cs="Times New Roman"/>
                <w:color w:val="auto"/>
                <w:kern w:val="21"/>
                <w:sz w:val="24"/>
                <w:szCs w:val="24"/>
                <w:highlight w:val="none"/>
                <w:lang w:val="en-US" w:eastAsia="zh-CN"/>
              </w:rPr>
              <w:t>26</w:t>
            </w:r>
            <w:r>
              <w:rPr>
                <w:rFonts w:hint="default" w:ascii="Times New Roman" w:hAnsi="Times New Roman" w:eastAsia="宋体" w:cs="Times New Roman"/>
                <w:color w:val="auto"/>
                <w:kern w:val="21"/>
                <w:sz w:val="24"/>
                <w:szCs w:val="24"/>
                <w:highlight w:val="none"/>
              </w:rPr>
              <w:t>）中的</w:t>
            </w:r>
            <w:r>
              <w:rPr>
                <w:rFonts w:hint="eastAsia" w:cs="Times New Roman"/>
                <w:color w:val="auto"/>
                <w:kern w:val="21"/>
                <w:sz w:val="24"/>
                <w:szCs w:val="24"/>
                <w:highlight w:val="none"/>
                <w:lang w:eastAsia="zh-CN"/>
              </w:rPr>
              <w:t>过渡阶段浓度限值</w:t>
            </w:r>
            <w:r>
              <w:rPr>
                <w:rFonts w:hint="default" w:ascii="Times New Roman" w:hAnsi="Times New Roman" w:eastAsia="宋体" w:cs="Times New Roman"/>
                <w:color w:val="auto"/>
                <w:kern w:val="21"/>
                <w:sz w:val="24"/>
                <w:szCs w:val="24"/>
                <w:highlight w:val="none"/>
              </w:rPr>
              <w:t>二级标准</w:t>
            </w:r>
            <w:r>
              <w:rPr>
                <w:rFonts w:hint="eastAsia" w:ascii="Times New Roman" w:hAnsi="Times New Roman" w:eastAsia="宋体" w:cs="Times New Roman"/>
                <w:color w:val="auto"/>
                <w:kern w:val="0"/>
                <w:sz w:val="24"/>
                <w:szCs w:val="24"/>
                <w:highlight w:val="none"/>
                <w:lang w:val="en-US" w:eastAsia="zh-CN" w:bidi="ar"/>
              </w:rPr>
              <w:t>。</w:t>
            </w:r>
          </w:p>
          <w:p w14:paraId="7D518B0A">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snapToGrid w:val="0"/>
                <w:color w:val="auto"/>
                <w:sz w:val="21"/>
                <w:szCs w:val="21"/>
                <w:lang w:val="en-US" w:eastAsia="zh-CN"/>
              </w:rPr>
            </w:pPr>
            <w:r>
              <w:rPr>
                <w:rFonts w:hint="default" w:ascii="Times New Roman" w:hAnsi="Times New Roman" w:eastAsia="宋体" w:cs="Times New Roman"/>
                <w:b/>
                <w:bCs/>
                <w:snapToGrid w:val="0"/>
                <w:color w:val="auto"/>
                <w:sz w:val="21"/>
                <w:szCs w:val="21"/>
                <w:lang w:val="en-US" w:eastAsia="zh-CN"/>
              </w:rPr>
              <w:t>表3-1  鸡西市202</w:t>
            </w:r>
            <w:r>
              <w:rPr>
                <w:rFonts w:hint="eastAsia" w:cs="Times New Roman"/>
                <w:b/>
                <w:bCs/>
                <w:snapToGrid w:val="0"/>
                <w:color w:val="auto"/>
                <w:sz w:val="21"/>
                <w:szCs w:val="21"/>
                <w:lang w:val="en-US" w:eastAsia="zh-CN"/>
              </w:rPr>
              <w:t>5</w:t>
            </w:r>
            <w:r>
              <w:rPr>
                <w:rFonts w:hint="default" w:ascii="Times New Roman" w:hAnsi="Times New Roman" w:eastAsia="宋体" w:cs="Times New Roman"/>
                <w:b/>
                <w:bCs/>
                <w:snapToGrid w:val="0"/>
                <w:color w:val="auto"/>
                <w:sz w:val="21"/>
                <w:szCs w:val="21"/>
                <w:lang w:val="en-US" w:eastAsia="zh-CN"/>
              </w:rPr>
              <w:t>年生态环境状况公报统计表   单位：μg/m</w:t>
            </w:r>
            <w:r>
              <w:rPr>
                <w:rFonts w:hint="default" w:ascii="Times New Roman" w:hAnsi="Times New Roman" w:eastAsia="宋体" w:cs="Times New Roman"/>
                <w:b/>
                <w:bCs/>
                <w:snapToGrid w:val="0"/>
                <w:color w:val="auto"/>
                <w:sz w:val="21"/>
                <w:szCs w:val="21"/>
                <w:vertAlign w:val="superscript"/>
                <w:lang w:val="en-US" w:eastAsia="zh-CN"/>
              </w:rPr>
              <w:t>3</w:t>
            </w:r>
          </w:p>
          <w:tbl>
            <w:tblPr>
              <w:tblStyle w:val="31"/>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2"/>
              <w:gridCol w:w="893"/>
              <w:gridCol w:w="1550"/>
              <w:gridCol w:w="1900"/>
              <w:gridCol w:w="1150"/>
              <w:gridCol w:w="1231"/>
              <w:gridCol w:w="753"/>
            </w:tblGrid>
            <w:tr w14:paraId="3EE62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649F62C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eastAsia="zh-CN"/>
                    </w:rPr>
                  </w:pPr>
                  <w:r>
                    <w:rPr>
                      <w:rFonts w:hint="default" w:ascii="Times New Roman" w:hAnsi="Times New Roman" w:eastAsia="宋体" w:cs="Times New Roman"/>
                      <w:b/>
                      <w:bCs/>
                      <w:color w:val="auto"/>
                      <w:kern w:val="2"/>
                      <w:sz w:val="21"/>
                      <w:szCs w:val="21"/>
                      <w:highlight w:val="none"/>
                      <w:vertAlign w:val="baseline"/>
                      <w:lang w:eastAsia="zh-CN"/>
                    </w:rPr>
                    <w:t>序号</w:t>
                  </w:r>
                </w:p>
              </w:tc>
              <w:tc>
                <w:tcPr>
                  <w:tcW w:w="560" w:type="pct"/>
                  <w:tcBorders>
                    <w:tl2br w:val="nil"/>
                    <w:tr2bl w:val="nil"/>
                  </w:tcBorders>
                  <w:noWrap w:val="0"/>
                  <w:vAlign w:val="center"/>
                </w:tcPr>
                <w:p w14:paraId="11EE62A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eastAsia="zh-CN"/>
                    </w:rPr>
                  </w:pPr>
                  <w:r>
                    <w:rPr>
                      <w:rFonts w:hint="default" w:ascii="Times New Roman" w:hAnsi="Times New Roman" w:eastAsia="宋体" w:cs="Times New Roman"/>
                      <w:b/>
                      <w:bCs/>
                      <w:color w:val="auto"/>
                      <w:kern w:val="2"/>
                      <w:sz w:val="21"/>
                      <w:szCs w:val="21"/>
                      <w:highlight w:val="none"/>
                      <w:vertAlign w:val="baseline"/>
                      <w:lang w:eastAsia="zh-CN"/>
                    </w:rPr>
                    <w:t>污染</w:t>
                  </w:r>
                </w:p>
                <w:p w14:paraId="22009CC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eastAsia="zh-CN"/>
                    </w:rPr>
                  </w:pPr>
                  <w:r>
                    <w:rPr>
                      <w:rFonts w:hint="default" w:ascii="Times New Roman" w:hAnsi="Times New Roman" w:eastAsia="宋体" w:cs="Times New Roman"/>
                      <w:b/>
                      <w:bCs/>
                      <w:color w:val="auto"/>
                      <w:kern w:val="2"/>
                      <w:sz w:val="21"/>
                      <w:szCs w:val="21"/>
                      <w:highlight w:val="none"/>
                      <w:vertAlign w:val="baseline"/>
                      <w:lang w:eastAsia="zh-CN"/>
                    </w:rPr>
                    <w:t>因子</w:t>
                  </w:r>
                </w:p>
              </w:tc>
              <w:tc>
                <w:tcPr>
                  <w:tcW w:w="972" w:type="pct"/>
                  <w:tcBorders>
                    <w:tl2br w:val="nil"/>
                    <w:tr2bl w:val="nil"/>
                  </w:tcBorders>
                  <w:noWrap w:val="0"/>
                  <w:vAlign w:val="center"/>
                </w:tcPr>
                <w:p w14:paraId="00E6647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eastAsia="zh-CN"/>
                    </w:rPr>
                    <w:t>数值</w:t>
                  </w:r>
                </w:p>
              </w:tc>
              <w:tc>
                <w:tcPr>
                  <w:tcW w:w="1192" w:type="pct"/>
                  <w:tcBorders>
                    <w:tl2br w:val="nil"/>
                    <w:tr2bl w:val="nil"/>
                  </w:tcBorders>
                  <w:noWrap w:val="0"/>
                  <w:vAlign w:val="center"/>
                </w:tcPr>
                <w:p w14:paraId="06F9A98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eastAsia="zh-CN"/>
                    </w:rPr>
                  </w:pPr>
                  <w:r>
                    <w:rPr>
                      <w:rFonts w:hint="default" w:ascii="Times New Roman" w:hAnsi="Times New Roman" w:eastAsia="宋体" w:cs="Times New Roman"/>
                      <w:b/>
                      <w:bCs/>
                      <w:color w:val="auto"/>
                      <w:kern w:val="2"/>
                      <w:sz w:val="21"/>
                      <w:szCs w:val="21"/>
                      <w:highlight w:val="none"/>
                      <w:vertAlign w:val="baseline"/>
                      <w:lang w:val="en-US" w:eastAsia="zh-CN"/>
                    </w:rPr>
                    <w:t>20</w:t>
                  </w:r>
                  <w:r>
                    <w:rPr>
                      <w:rFonts w:hint="eastAsia" w:ascii="Times New Roman" w:hAnsi="Times New Roman" w:eastAsia="宋体" w:cs="Times New Roman"/>
                      <w:b/>
                      <w:bCs/>
                      <w:color w:val="auto"/>
                      <w:kern w:val="2"/>
                      <w:sz w:val="21"/>
                      <w:szCs w:val="21"/>
                      <w:highlight w:val="none"/>
                      <w:vertAlign w:val="baseline"/>
                      <w:lang w:val="en-US" w:eastAsia="zh-CN"/>
                    </w:rPr>
                    <w:t>2</w:t>
                  </w:r>
                  <w:r>
                    <w:rPr>
                      <w:rFonts w:hint="eastAsia" w:cs="Times New Roman"/>
                      <w:b/>
                      <w:bCs/>
                      <w:color w:val="auto"/>
                      <w:kern w:val="2"/>
                      <w:sz w:val="21"/>
                      <w:szCs w:val="21"/>
                      <w:highlight w:val="none"/>
                      <w:vertAlign w:val="baseline"/>
                      <w:lang w:val="en-US" w:eastAsia="zh-CN"/>
                    </w:rPr>
                    <w:t>5</w:t>
                  </w:r>
                  <w:r>
                    <w:rPr>
                      <w:rFonts w:hint="default" w:ascii="Times New Roman" w:hAnsi="Times New Roman" w:eastAsia="宋体" w:cs="Times New Roman"/>
                      <w:b/>
                      <w:bCs/>
                      <w:color w:val="auto"/>
                      <w:kern w:val="2"/>
                      <w:sz w:val="21"/>
                      <w:szCs w:val="21"/>
                      <w:highlight w:val="none"/>
                      <w:vertAlign w:val="baseline"/>
                      <w:lang w:val="en-US" w:eastAsia="zh-CN"/>
                    </w:rPr>
                    <w:t>年</w:t>
                  </w:r>
                </w:p>
              </w:tc>
              <w:tc>
                <w:tcPr>
                  <w:tcW w:w="721" w:type="pct"/>
                  <w:tcBorders>
                    <w:tl2br w:val="nil"/>
                    <w:tr2bl w:val="nil"/>
                  </w:tcBorders>
                  <w:noWrap w:val="0"/>
                  <w:vAlign w:val="center"/>
                </w:tcPr>
                <w:p w14:paraId="1FE43EB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标准值</w:t>
                  </w:r>
                </w:p>
              </w:tc>
              <w:tc>
                <w:tcPr>
                  <w:tcW w:w="772" w:type="pct"/>
                  <w:tcBorders>
                    <w:tl2br w:val="nil"/>
                    <w:tr2bl w:val="nil"/>
                  </w:tcBorders>
                  <w:noWrap w:val="0"/>
                  <w:vAlign w:val="center"/>
                </w:tcPr>
                <w:p w14:paraId="14E649A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占标率%</w:t>
                  </w:r>
                </w:p>
              </w:tc>
              <w:tc>
                <w:tcPr>
                  <w:tcW w:w="472" w:type="pct"/>
                  <w:tcBorders>
                    <w:tl2br w:val="nil"/>
                    <w:tr2bl w:val="nil"/>
                  </w:tcBorders>
                  <w:noWrap w:val="0"/>
                  <w:vAlign w:val="center"/>
                </w:tcPr>
                <w:p w14:paraId="703FE36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b/>
                      <w:bCs/>
                      <w:color w:val="auto"/>
                      <w:kern w:val="2"/>
                      <w:sz w:val="21"/>
                      <w:szCs w:val="21"/>
                      <w:highlight w:val="none"/>
                      <w:vertAlign w:val="baseline"/>
                      <w:lang w:val="en-US" w:eastAsia="zh-CN"/>
                    </w:rPr>
                  </w:pPr>
                  <w:r>
                    <w:rPr>
                      <w:rFonts w:hint="default" w:ascii="Times New Roman" w:hAnsi="Times New Roman" w:eastAsia="宋体" w:cs="Times New Roman"/>
                      <w:b/>
                      <w:bCs/>
                      <w:color w:val="auto"/>
                      <w:kern w:val="2"/>
                      <w:sz w:val="21"/>
                      <w:szCs w:val="21"/>
                      <w:highlight w:val="none"/>
                      <w:vertAlign w:val="baseline"/>
                      <w:lang w:val="en-US" w:eastAsia="zh-CN"/>
                    </w:rPr>
                    <w:t>达标情况</w:t>
                  </w:r>
                </w:p>
              </w:tc>
            </w:tr>
            <w:tr w14:paraId="4FE945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00C093E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1</w:t>
                  </w:r>
                </w:p>
              </w:tc>
              <w:tc>
                <w:tcPr>
                  <w:tcW w:w="560" w:type="pct"/>
                  <w:tcBorders>
                    <w:tl2br w:val="nil"/>
                    <w:tr2bl w:val="nil"/>
                  </w:tcBorders>
                  <w:noWrap w:val="0"/>
                  <w:vAlign w:val="center"/>
                </w:tcPr>
                <w:p w14:paraId="496F580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spacing w:val="-4"/>
                      <w:sz w:val="21"/>
                      <w:szCs w:val="21"/>
                      <w:highlight w:val="none"/>
                    </w:rPr>
                    <w:t>SO</w:t>
                  </w:r>
                  <w:r>
                    <w:rPr>
                      <w:rFonts w:hint="default" w:ascii="Times New Roman" w:hAnsi="Times New Roman" w:eastAsia="宋体" w:cs="Times New Roman"/>
                      <w:color w:val="auto"/>
                      <w:spacing w:val="-4"/>
                      <w:sz w:val="21"/>
                      <w:szCs w:val="21"/>
                      <w:highlight w:val="none"/>
                      <w:vertAlign w:val="subscript"/>
                    </w:rPr>
                    <w:t>2</w:t>
                  </w:r>
                </w:p>
              </w:tc>
              <w:tc>
                <w:tcPr>
                  <w:tcW w:w="972" w:type="pct"/>
                  <w:tcBorders>
                    <w:tl2br w:val="nil"/>
                    <w:tr2bl w:val="nil"/>
                  </w:tcBorders>
                  <w:noWrap w:val="0"/>
                  <w:vAlign w:val="center"/>
                </w:tcPr>
                <w:p w14:paraId="78E8DC14">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年均值</w:t>
                  </w:r>
                </w:p>
              </w:tc>
              <w:tc>
                <w:tcPr>
                  <w:tcW w:w="1192" w:type="pct"/>
                  <w:tcBorders>
                    <w:tl2br w:val="nil"/>
                    <w:tr2bl w:val="nil"/>
                  </w:tcBorders>
                  <w:noWrap w:val="0"/>
                  <w:vAlign w:val="center"/>
                </w:tcPr>
                <w:p w14:paraId="345196D7">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8</w:t>
                  </w:r>
                </w:p>
              </w:tc>
              <w:tc>
                <w:tcPr>
                  <w:tcW w:w="721" w:type="pct"/>
                  <w:tcBorders>
                    <w:tl2br w:val="nil"/>
                    <w:tr2bl w:val="nil"/>
                  </w:tcBorders>
                  <w:noWrap w:val="0"/>
                  <w:vAlign w:val="center"/>
                </w:tcPr>
                <w:p w14:paraId="3D00B62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60</w:t>
                  </w:r>
                </w:p>
              </w:tc>
              <w:tc>
                <w:tcPr>
                  <w:tcW w:w="772" w:type="pct"/>
                  <w:tcBorders>
                    <w:tl2br w:val="nil"/>
                    <w:tr2bl w:val="nil"/>
                  </w:tcBorders>
                  <w:noWrap w:val="0"/>
                  <w:vAlign w:val="center"/>
                </w:tcPr>
                <w:p w14:paraId="3D5D16D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vertAlign w:val="baseline"/>
                      <w:lang w:val="en-US" w:eastAsia="zh-CN"/>
                    </w:rPr>
                    <w:t>13.3</w:t>
                  </w:r>
                </w:p>
              </w:tc>
              <w:tc>
                <w:tcPr>
                  <w:tcW w:w="472" w:type="pct"/>
                  <w:vMerge w:val="restart"/>
                  <w:tcBorders>
                    <w:tl2br w:val="nil"/>
                    <w:tr2bl w:val="nil"/>
                  </w:tcBorders>
                  <w:noWrap w:val="0"/>
                  <w:vAlign w:val="center"/>
                </w:tcPr>
                <w:p w14:paraId="337ED20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达标</w:t>
                  </w:r>
                </w:p>
              </w:tc>
            </w:tr>
            <w:tr w14:paraId="061841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012C3EB0">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pacing w:val="-4"/>
                      <w:sz w:val="21"/>
                      <w:szCs w:val="21"/>
                      <w:highlight w:val="none"/>
                      <w:lang w:val="en-US" w:eastAsia="zh-CN"/>
                    </w:rPr>
                  </w:pPr>
                  <w:r>
                    <w:rPr>
                      <w:rFonts w:hint="default" w:ascii="Times New Roman" w:hAnsi="Times New Roman" w:eastAsia="宋体" w:cs="Times New Roman"/>
                      <w:color w:val="auto"/>
                      <w:spacing w:val="-4"/>
                      <w:sz w:val="21"/>
                      <w:szCs w:val="21"/>
                      <w:highlight w:val="none"/>
                      <w:lang w:val="en-US" w:eastAsia="zh-CN"/>
                    </w:rPr>
                    <w:t>2</w:t>
                  </w:r>
                </w:p>
              </w:tc>
              <w:tc>
                <w:tcPr>
                  <w:tcW w:w="560" w:type="pct"/>
                  <w:tcBorders>
                    <w:tl2br w:val="nil"/>
                    <w:tr2bl w:val="nil"/>
                  </w:tcBorders>
                  <w:noWrap w:val="0"/>
                  <w:vAlign w:val="center"/>
                </w:tcPr>
                <w:p w14:paraId="200E2A6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spacing w:val="-4"/>
                      <w:sz w:val="21"/>
                      <w:szCs w:val="21"/>
                      <w:highlight w:val="none"/>
                    </w:rPr>
                    <w:t>NO</w:t>
                  </w:r>
                  <w:r>
                    <w:rPr>
                      <w:rFonts w:hint="default" w:ascii="Times New Roman" w:hAnsi="Times New Roman" w:eastAsia="宋体" w:cs="Times New Roman"/>
                      <w:color w:val="auto"/>
                      <w:spacing w:val="-4"/>
                      <w:sz w:val="21"/>
                      <w:szCs w:val="21"/>
                      <w:highlight w:val="none"/>
                      <w:vertAlign w:val="subscript"/>
                    </w:rPr>
                    <w:t>2</w:t>
                  </w:r>
                </w:p>
              </w:tc>
              <w:tc>
                <w:tcPr>
                  <w:tcW w:w="972" w:type="pct"/>
                  <w:tcBorders>
                    <w:tl2br w:val="nil"/>
                    <w:tr2bl w:val="nil"/>
                  </w:tcBorders>
                  <w:noWrap w:val="0"/>
                  <w:vAlign w:val="center"/>
                </w:tcPr>
                <w:p w14:paraId="7165BBF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年均值</w:t>
                  </w:r>
                </w:p>
              </w:tc>
              <w:tc>
                <w:tcPr>
                  <w:tcW w:w="1192" w:type="pct"/>
                  <w:tcBorders>
                    <w:tl2br w:val="nil"/>
                    <w:tr2bl w:val="nil"/>
                  </w:tcBorders>
                  <w:noWrap w:val="0"/>
                  <w:vAlign w:val="center"/>
                </w:tcPr>
                <w:p w14:paraId="7663970A">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17</w:t>
                  </w:r>
                </w:p>
              </w:tc>
              <w:tc>
                <w:tcPr>
                  <w:tcW w:w="721" w:type="pct"/>
                  <w:tcBorders>
                    <w:tl2br w:val="nil"/>
                    <w:tr2bl w:val="nil"/>
                  </w:tcBorders>
                  <w:noWrap w:val="0"/>
                  <w:vAlign w:val="center"/>
                </w:tcPr>
                <w:p w14:paraId="0048971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40</w:t>
                  </w:r>
                </w:p>
              </w:tc>
              <w:tc>
                <w:tcPr>
                  <w:tcW w:w="772" w:type="pct"/>
                  <w:tcBorders>
                    <w:tl2br w:val="nil"/>
                    <w:tr2bl w:val="nil"/>
                  </w:tcBorders>
                  <w:noWrap w:val="0"/>
                  <w:vAlign w:val="center"/>
                </w:tcPr>
                <w:p w14:paraId="4EFA025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ascii="Times New Roman" w:hAnsi="Times New Roman" w:eastAsia="宋体" w:cs="Times New Roman"/>
                      <w:color w:val="auto"/>
                      <w:kern w:val="2"/>
                      <w:sz w:val="21"/>
                      <w:szCs w:val="21"/>
                      <w:highlight w:val="none"/>
                      <w:vertAlign w:val="baseline"/>
                      <w:lang w:val="en-US" w:eastAsia="zh-CN"/>
                    </w:rPr>
                    <w:t>42.5</w:t>
                  </w:r>
                </w:p>
              </w:tc>
              <w:tc>
                <w:tcPr>
                  <w:tcW w:w="472" w:type="pct"/>
                  <w:vMerge w:val="continue"/>
                  <w:tcBorders>
                    <w:tl2br w:val="nil"/>
                    <w:tr2bl w:val="nil"/>
                  </w:tcBorders>
                  <w:noWrap w:val="0"/>
                  <w:vAlign w:val="center"/>
                </w:tcPr>
                <w:p w14:paraId="00A4FA1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79FEF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0EB59CA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w:t>
                  </w:r>
                </w:p>
              </w:tc>
              <w:tc>
                <w:tcPr>
                  <w:tcW w:w="560" w:type="pct"/>
                  <w:tcBorders>
                    <w:tl2br w:val="nil"/>
                    <w:tr2bl w:val="nil"/>
                  </w:tcBorders>
                  <w:noWrap w:val="0"/>
                  <w:vAlign w:val="center"/>
                </w:tcPr>
                <w:p w14:paraId="572DE41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10</w:t>
                  </w:r>
                </w:p>
              </w:tc>
              <w:tc>
                <w:tcPr>
                  <w:tcW w:w="972" w:type="pct"/>
                  <w:tcBorders>
                    <w:tl2br w:val="nil"/>
                    <w:tr2bl w:val="nil"/>
                  </w:tcBorders>
                  <w:noWrap w:val="0"/>
                  <w:vAlign w:val="center"/>
                </w:tcPr>
                <w:p w14:paraId="47563B1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年均值</w:t>
                  </w:r>
                </w:p>
              </w:tc>
              <w:tc>
                <w:tcPr>
                  <w:tcW w:w="1192" w:type="pct"/>
                  <w:tcBorders>
                    <w:tl2br w:val="nil"/>
                    <w:tr2bl w:val="nil"/>
                  </w:tcBorders>
                  <w:noWrap w:val="0"/>
                  <w:vAlign w:val="center"/>
                </w:tcPr>
                <w:p w14:paraId="646FBED5">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43</w:t>
                  </w:r>
                </w:p>
              </w:tc>
              <w:tc>
                <w:tcPr>
                  <w:tcW w:w="721" w:type="pct"/>
                  <w:tcBorders>
                    <w:tl2br w:val="nil"/>
                    <w:tr2bl w:val="nil"/>
                  </w:tcBorders>
                  <w:noWrap w:val="0"/>
                  <w:vAlign w:val="center"/>
                </w:tcPr>
                <w:p w14:paraId="4C52292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60</w:t>
                  </w:r>
                </w:p>
              </w:tc>
              <w:tc>
                <w:tcPr>
                  <w:tcW w:w="772" w:type="pct"/>
                  <w:tcBorders>
                    <w:tl2br w:val="nil"/>
                    <w:tr2bl w:val="nil"/>
                  </w:tcBorders>
                  <w:noWrap w:val="0"/>
                  <w:vAlign w:val="center"/>
                </w:tcPr>
                <w:p w14:paraId="730ED909">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71.7</w:t>
                  </w:r>
                </w:p>
              </w:tc>
              <w:tc>
                <w:tcPr>
                  <w:tcW w:w="472" w:type="pct"/>
                  <w:vMerge w:val="continue"/>
                  <w:tcBorders>
                    <w:tl2br w:val="nil"/>
                    <w:tr2bl w:val="nil"/>
                  </w:tcBorders>
                  <w:noWrap w:val="0"/>
                  <w:vAlign w:val="center"/>
                </w:tcPr>
                <w:p w14:paraId="3FD5DD3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7F8E21C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488AE88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4</w:t>
                  </w:r>
                </w:p>
              </w:tc>
              <w:tc>
                <w:tcPr>
                  <w:tcW w:w="560" w:type="pct"/>
                  <w:tcBorders>
                    <w:tl2br w:val="nil"/>
                    <w:tr2bl w:val="nil"/>
                  </w:tcBorders>
                  <w:noWrap w:val="0"/>
                  <w:vAlign w:val="center"/>
                </w:tcPr>
                <w:p w14:paraId="6A46C4F2">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sz w:val="21"/>
                      <w:szCs w:val="21"/>
                      <w:highlight w:val="none"/>
                      <w:lang w:val="en-US" w:eastAsia="zh-CN"/>
                    </w:rPr>
                    <w:t>PM</w:t>
                  </w:r>
                  <w:r>
                    <w:rPr>
                      <w:rFonts w:hint="default" w:ascii="Times New Roman" w:hAnsi="Times New Roman" w:eastAsia="宋体" w:cs="Times New Roman"/>
                      <w:color w:val="auto"/>
                      <w:sz w:val="21"/>
                      <w:szCs w:val="21"/>
                      <w:highlight w:val="none"/>
                      <w:vertAlign w:val="subscript"/>
                      <w:lang w:val="en-US" w:eastAsia="zh-CN"/>
                    </w:rPr>
                    <w:t>2.5</w:t>
                  </w:r>
                </w:p>
              </w:tc>
              <w:tc>
                <w:tcPr>
                  <w:tcW w:w="972" w:type="pct"/>
                  <w:tcBorders>
                    <w:tl2br w:val="nil"/>
                    <w:tr2bl w:val="nil"/>
                  </w:tcBorders>
                  <w:noWrap w:val="0"/>
                  <w:vAlign w:val="center"/>
                </w:tcPr>
                <w:p w14:paraId="168AE12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eastAsia="zh-CN"/>
                    </w:rPr>
                  </w:pPr>
                  <w:r>
                    <w:rPr>
                      <w:rFonts w:hint="default" w:ascii="Times New Roman" w:hAnsi="Times New Roman" w:eastAsia="宋体" w:cs="Times New Roman"/>
                      <w:color w:val="auto"/>
                      <w:kern w:val="2"/>
                      <w:sz w:val="21"/>
                      <w:szCs w:val="21"/>
                      <w:highlight w:val="none"/>
                      <w:vertAlign w:val="baseline"/>
                      <w:lang w:eastAsia="zh-CN"/>
                    </w:rPr>
                    <w:t>年均值</w:t>
                  </w:r>
                </w:p>
              </w:tc>
              <w:tc>
                <w:tcPr>
                  <w:tcW w:w="1192" w:type="pct"/>
                  <w:tcBorders>
                    <w:tl2br w:val="nil"/>
                    <w:tr2bl w:val="nil"/>
                  </w:tcBorders>
                  <w:noWrap w:val="0"/>
                  <w:vAlign w:val="center"/>
                </w:tcPr>
                <w:p w14:paraId="167A171F">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26</w:t>
                  </w:r>
                </w:p>
              </w:tc>
              <w:tc>
                <w:tcPr>
                  <w:tcW w:w="721" w:type="pct"/>
                  <w:tcBorders>
                    <w:tl2br w:val="nil"/>
                    <w:tr2bl w:val="nil"/>
                  </w:tcBorders>
                  <w:noWrap w:val="0"/>
                  <w:vAlign w:val="center"/>
                </w:tcPr>
                <w:p w14:paraId="254F950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30</w:t>
                  </w:r>
                </w:p>
              </w:tc>
              <w:tc>
                <w:tcPr>
                  <w:tcW w:w="772" w:type="pct"/>
                  <w:tcBorders>
                    <w:tl2br w:val="nil"/>
                    <w:tr2bl w:val="nil"/>
                  </w:tcBorders>
                  <w:noWrap w:val="0"/>
                  <w:vAlign w:val="center"/>
                </w:tcPr>
                <w:p w14:paraId="3F02414F">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86.7</w:t>
                  </w:r>
                </w:p>
              </w:tc>
              <w:tc>
                <w:tcPr>
                  <w:tcW w:w="472" w:type="pct"/>
                  <w:vMerge w:val="continue"/>
                  <w:tcBorders>
                    <w:tl2br w:val="nil"/>
                    <w:tr2bl w:val="nil"/>
                  </w:tcBorders>
                  <w:noWrap w:val="0"/>
                  <w:vAlign w:val="center"/>
                </w:tcPr>
                <w:p w14:paraId="1E0C62B6">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52D378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34F8AE6D">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5</w:t>
                  </w:r>
                </w:p>
              </w:tc>
              <w:tc>
                <w:tcPr>
                  <w:tcW w:w="560" w:type="pct"/>
                  <w:tcBorders>
                    <w:tl2br w:val="nil"/>
                    <w:tr2bl w:val="nil"/>
                  </w:tcBorders>
                  <w:noWrap w:val="0"/>
                  <w:vAlign w:val="center"/>
                </w:tcPr>
                <w:p w14:paraId="1378837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CO</w:t>
                  </w:r>
                </w:p>
              </w:tc>
              <w:tc>
                <w:tcPr>
                  <w:tcW w:w="972" w:type="pct"/>
                  <w:tcBorders>
                    <w:tl2br w:val="nil"/>
                    <w:tr2bl w:val="nil"/>
                  </w:tcBorders>
                  <w:noWrap w:val="0"/>
                  <w:vAlign w:val="center"/>
                </w:tcPr>
                <w:p w14:paraId="2472F611">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24小时平均</w:t>
                  </w:r>
                </w:p>
              </w:tc>
              <w:tc>
                <w:tcPr>
                  <w:tcW w:w="1192" w:type="pct"/>
                  <w:tcBorders>
                    <w:tl2br w:val="nil"/>
                    <w:tr2bl w:val="nil"/>
                  </w:tcBorders>
                  <w:noWrap w:val="0"/>
                  <w:vAlign w:val="center"/>
                </w:tcPr>
                <w:p w14:paraId="04DB723A">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
                    </w:rPr>
                    <w:t>第95百分位数为</w:t>
                  </w:r>
                  <w:r>
                    <w:rPr>
                      <w:rFonts w:hint="eastAsia" w:cs="Times New Roman"/>
                      <w:color w:val="auto"/>
                      <w:kern w:val="2"/>
                      <w:sz w:val="21"/>
                      <w:szCs w:val="21"/>
                      <w:highlight w:val="none"/>
                      <w:lang w:val="en-US" w:eastAsia="zh-CN" w:bidi="ar"/>
                    </w:rPr>
                    <w:t>0.9</w:t>
                  </w:r>
                  <w:r>
                    <w:rPr>
                      <w:rFonts w:hint="default" w:ascii="Times New Roman" w:hAnsi="Times New Roman" w:eastAsia="宋体" w:cs="Times New Roman"/>
                      <w:color w:val="auto"/>
                      <w:kern w:val="2"/>
                      <w:sz w:val="21"/>
                      <w:szCs w:val="21"/>
                      <w:highlight w:val="none"/>
                      <w:vertAlign w:val="baseline"/>
                      <w:lang w:val="en-US" w:eastAsia="zh-CN"/>
                    </w:rPr>
                    <w:t>mg/m</w:t>
                  </w:r>
                  <w:r>
                    <w:rPr>
                      <w:rFonts w:hint="default" w:ascii="Times New Roman" w:hAnsi="Times New Roman" w:eastAsia="宋体" w:cs="Times New Roman"/>
                      <w:color w:val="auto"/>
                      <w:kern w:val="2"/>
                      <w:sz w:val="21"/>
                      <w:szCs w:val="21"/>
                      <w:highlight w:val="none"/>
                      <w:vertAlign w:val="superscript"/>
                      <w:lang w:val="en-US" w:eastAsia="zh-CN"/>
                    </w:rPr>
                    <w:t>3</w:t>
                  </w:r>
                </w:p>
              </w:tc>
              <w:tc>
                <w:tcPr>
                  <w:tcW w:w="721" w:type="pct"/>
                  <w:tcBorders>
                    <w:tl2br w:val="nil"/>
                    <w:tr2bl w:val="nil"/>
                  </w:tcBorders>
                  <w:noWrap w:val="0"/>
                  <w:vAlign w:val="center"/>
                </w:tcPr>
                <w:p w14:paraId="5FF1A09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4mg/m</w:t>
                  </w:r>
                  <w:r>
                    <w:rPr>
                      <w:rFonts w:hint="default" w:ascii="Times New Roman" w:hAnsi="Times New Roman" w:eastAsia="宋体" w:cs="Times New Roman"/>
                      <w:color w:val="auto"/>
                      <w:kern w:val="2"/>
                      <w:sz w:val="21"/>
                      <w:szCs w:val="21"/>
                      <w:highlight w:val="none"/>
                      <w:vertAlign w:val="superscript"/>
                      <w:lang w:val="en-US" w:eastAsia="zh-CN"/>
                    </w:rPr>
                    <w:t>3</w:t>
                  </w:r>
                </w:p>
              </w:tc>
              <w:tc>
                <w:tcPr>
                  <w:tcW w:w="772" w:type="pct"/>
                  <w:tcBorders>
                    <w:tl2br w:val="nil"/>
                    <w:tr2bl w:val="nil"/>
                  </w:tcBorders>
                  <w:noWrap w:val="0"/>
                  <w:vAlign w:val="center"/>
                </w:tcPr>
                <w:p w14:paraId="1CFC9B5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22.5</w:t>
                  </w:r>
                </w:p>
              </w:tc>
              <w:tc>
                <w:tcPr>
                  <w:tcW w:w="472" w:type="pct"/>
                  <w:vMerge w:val="continue"/>
                  <w:tcBorders>
                    <w:tl2br w:val="nil"/>
                    <w:tr2bl w:val="nil"/>
                  </w:tcBorders>
                  <w:noWrap w:val="0"/>
                  <w:vAlign w:val="center"/>
                </w:tcPr>
                <w:p w14:paraId="5BE10065">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r w14:paraId="33227E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308" w:type="pct"/>
                  <w:tcBorders>
                    <w:tl2br w:val="nil"/>
                    <w:tr2bl w:val="nil"/>
                  </w:tcBorders>
                  <w:noWrap w:val="0"/>
                  <w:vAlign w:val="center"/>
                </w:tcPr>
                <w:p w14:paraId="0581D1CB">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6</w:t>
                  </w:r>
                </w:p>
              </w:tc>
              <w:tc>
                <w:tcPr>
                  <w:tcW w:w="560" w:type="pct"/>
                  <w:tcBorders>
                    <w:tl2br w:val="nil"/>
                    <w:tr2bl w:val="nil"/>
                  </w:tcBorders>
                  <w:noWrap w:val="0"/>
                  <w:vAlign w:val="center"/>
                </w:tcPr>
                <w:p w14:paraId="0E176C18">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O</w:t>
                  </w:r>
                  <w:r>
                    <w:rPr>
                      <w:rFonts w:hint="default" w:ascii="Times New Roman" w:hAnsi="Times New Roman" w:eastAsia="宋体" w:cs="Times New Roman"/>
                      <w:color w:val="auto"/>
                      <w:kern w:val="2"/>
                      <w:sz w:val="21"/>
                      <w:szCs w:val="21"/>
                      <w:highlight w:val="none"/>
                      <w:vertAlign w:val="subscript"/>
                      <w:lang w:val="en-US" w:eastAsia="zh-CN"/>
                    </w:rPr>
                    <w:t>3</w:t>
                  </w:r>
                </w:p>
              </w:tc>
              <w:tc>
                <w:tcPr>
                  <w:tcW w:w="972" w:type="pct"/>
                  <w:tcBorders>
                    <w:tl2br w:val="nil"/>
                    <w:tr2bl w:val="nil"/>
                  </w:tcBorders>
                  <w:noWrap w:val="0"/>
                  <w:vAlign w:val="center"/>
                </w:tcPr>
                <w:p w14:paraId="18137953">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eastAsia="zh-CN"/>
                    </w:rPr>
                    <w:t>日最大</w:t>
                  </w:r>
                  <w:r>
                    <w:rPr>
                      <w:rFonts w:hint="default" w:ascii="Times New Roman" w:hAnsi="Times New Roman" w:eastAsia="宋体" w:cs="Times New Roman"/>
                      <w:color w:val="auto"/>
                      <w:kern w:val="2"/>
                      <w:sz w:val="21"/>
                      <w:szCs w:val="21"/>
                      <w:highlight w:val="none"/>
                      <w:vertAlign w:val="baseline"/>
                      <w:lang w:val="en-US" w:eastAsia="zh-CN"/>
                    </w:rPr>
                    <w:t>8小时平均</w:t>
                  </w:r>
                </w:p>
              </w:tc>
              <w:tc>
                <w:tcPr>
                  <w:tcW w:w="1192" w:type="pct"/>
                  <w:tcBorders>
                    <w:tl2br w:val="nil"/>
                    <w:tr2bl w:val="nil"/>
                  </w:tcBorders>
                  <w:noWrap w:val="0"/>
                  <w:vAlign w:val="center"/>
                </w:tcPr>
                <w:p w14:paraId="20BCECC8">
                  <w:pPr>
                    <w:keepNext w:val="0"/>
                    <w:keepLines w:val="0"/>
                    <w:widowControl w:val="0"/>
                    <w:suppressLineNumbers w:val="0"/>
                    <w:autoSpaceDE w:val="0"/>
                    <w:autoSpaceDN/>
                    <w:snapToGrid w:val="0"/>
                    <w:spacing w:before="0" w:beforeAutospacing="0" w:after="0" w:afterAutospacing="0"/>
                    <w:ind w:left="0" w:leftChars="0" w:right="0" w:rightChars="0"/>
                    <w:jc w:val="center"/>
                    <w:rPr>
                      <w:rFonts w:hint="default" w:ascii="Times New Roman" w:hAnsi="Times New Roman" w:eastAsia="宋体" w:cs="Times New Roman"/>
                      <w:color w:val="auto"/>
                      <w:kern w:val="2"/>
                      <w:sz w:val="21"/>
                      <w:szCs w:val="21"/>
                      <w:highlight w:val="none"/>
                      <w:lang w:val="en-US" w:eastAsia="zh-CN" w:bidi="ar-SA"/>
                    </w:rPr>
                  </w:pPr>
                  <w:r>
                    <w:rPr>
                      <w:rFonts w:hint="default" w:ascii="Times New Roman" w:hAnsi="Times New Roman" w:eastAsia="宋体" w:cs="Times New Roman"/>
                      <w:color w:val="auto"/>
                      <w:kern w:val="2"/>
                      <w:sz w:val="21"/>
                      <w:szCs w:val="21"/>
                      <w:highlight w:val="none"/>
                      <w:lang w:val="en-US" w:eastAsia="zh-CN" w:bidi="ar"/>
                    </w:rPr>
                    <w:t>平均第90百分位数为</w:t>
                  </w:r>
                  <w:r>
                    <w:rPr>
                      <w:rFonts w:hint="eastAsia" w:cs="Times New Roman"/>
                      <w:color w:val="auto"/>
                      <w:kern w:val="2"/>
                      <w:sz w:val="21"/>
                      <w:szCs w:val="21"/>
                      <w:highlight w:val="none"/>
                      <w:lang w:val="en-US" w:eastAsia="zh-CN" w:bidi="ar"/>
                    </w:rPr>
                    <w:t>115</w:t>
                  </w:r>
                </w:p>
              </w:tc>
              <w:tc>
                <w:tcPr>
                  <w:tcW w:w="721" w:type="pct"/>
                  <w:tcBorders>
                    <w:tl2br w:val="nil"/>
                    <w:tr2bl w:val="nil"/>
                  </w:tcBorders>
                  <w:noWrap w:val="0"/>
                  <w:vAlign w:val="center"/>
                </w:tcPr>
                <w:p w14:paraId="6E882F2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default" w:ascii="Times New Roman" w:hAnsi="Times New Roman" w:eastAsia="宋体" w:cs="Times New Roman"/>
                      <w:color w:val="auto"/>
                      <w:kern w:val="2"/>
                      <w:sz w:val="21"/>
                      <w:szCs w:val="21"/>
                      <w:highlight w:val="none"/>
                      <w:vertAlign w:val="baseline"/>
                      <w:lang w:val="en-US" w:eastAsia="zh-CN"/>
                    </w:rPr>
                    <w:t>160</w:t>
                  </w:r>
                </w:p>
              </w:tc>
              <w:tc>
                <w:tcPr>
                  <w:tcW w:w="772" w:type="pct"/>
                  <w:tcBorders>
                    <w:tl2br w:val="nil"/>
                    <w:tr2bl w:val="nil"/>
                  </w:tcBorders>
                  <w:noWrap w:val="0"/>
                  <w:vAlign w:val="center"/>
                </w:tcPr>
                <w:p w14:paraId="3E923ACE">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r>
                    <w:rPr>
                      <w:rFonts w:hint="eastAsia" w:cs="Times New Roman"/>
                      <w:color w:val="auto"/>
                      <w:kern w:val="2"/>
                      <w:sz w:val="21"/>
                      <w:szCs w:val="21"/>
                      <w:highlight w:val="none"/>
                      <w:vertAlign w:val="baseline"/>
                      <w:lang w:val="en-US" w:eastAsia="zh-CN"/>
                    </w:rPr>
                    <w:t>71.9</w:t>
                  </w:r>
                </w:p>
              </w:tc>
              <w:tc>
                <w:tcPr>
                  <w:tcW w:w="472" w:type="pct"/>
                  <w:vMerge w:val="continue"/>
                  <w:tcBorders>
                    <w:tl2br w:val="nil"/>
                    <w:tr2bl w:val="nil"/>
                  </w:tcBorders>
                  <w:noWrap w:val="0"/>
                  <w:vAlign w:val="center"/>
                </w:tcPr>
                <w:p w14:paraId="18043907">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宋体" w:cs="Times New Roman"/>
                      <w:color w:val="auto"/>
                      <w:kern w:val="2"/>
                      <w:sz w:val="21"/>
                      <w:szCs w:val="21"/>
                      <w:highlight w:val="none"/>
                      <w:vertAlign w:val="baseline"/>
                      <w:lang w:val="en-US" w:eastAsia="zh-CN"/>
                    </w:rPr>
                  </w:pPr>
                </w:p>
              </w:tc>
            </w:tr>
          </w:tbl>
          <w:p w14:paraId="41C1927F">
            <w:pPr>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根据表3-1可知，20</w:t>
            </w:r>
            <w:r>
              <w:rPr>
                <w:rFonts w:hint="eastAsia" w:ascii="Times New Roman" w:hAnsi="Times New Roman" w:eastAsia="宋体" w:cs="Times New Roman"/>
                <w:color w:val="auto"/>
                <w:kern w:val="0"/>
                <w:sz w:val="24"/>
                <w:szCs w:val="24"/>
                <w:highlight w:val="none"/>
                <w:lang w:val="en-US" w:eastAsia="zh-CN" w:bidi="ar"/>
              </w:rPr>
              <w:t>2</w:t>
            </w:r>
            <w:r>
              <w:rPr>
                <w:rFonts w:hint="eastAsia" w:cs="Times New Roman"/>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年鸡西市区基本污染物PM</w:t>
            </w:r>
            <w:r>
              <w:rPr>
                <w:rFonts w:hint="default" w:ascii="Times New Roman" w:hAnsi="Times New Roman" w:eastAsia="宋体" w:cs="Times New Roman"/>
                <w:color w:val="auto"/>
                <w:kern w:val="0"/>
                <w:sz w:val="24"/>
                <w:szCs w:val="24"/>
                <w:highlight w:val="none"/>
                <w:vertAlign w:val="subscript"/>
                <w:lang w:val="en-US" w:eastAsia="zh-CN" w:bidi="ar"/>
              </w:rPr>
              <w:t>2.5</w:t>
            </w:r>
            <w:r>
              <w:rPr>
                <w:rFonts w:hint="default" w:ascii="Times New Roman" w:hAnsi="Times New Roman" w:eastAsia="宋体" w:cs="Times New Roman"/>
                <w:color w:val="auto"/>
                <w:kern w:val="0"/>
                <w:sz w:val="24"/>
                <w:szCs w:val="24"/>
                <w:highlight w:val="none"/>
                <w:lang w:val="en-US" w:eastAsia="zh-CN" w:bidi="ar"/>
              </w:rPr>
              <w:t>、PM</w:t>
            </w:r>
            <w:r>
              <w:rPr>
                <w:rFonts w:hint="default" w:ascii="Times New Roman" w:hAnsi="Times New Roman" w:eastAsia="宋体" w:cs="Times New Roman"/>
                <w:color w:val="auto"/>
                <w:kern w:val="0"/>
                <w:sz w:val="24"/>
                <w:szCs w:val="24"/>
                <w:highlight w:val="none"/>
                <w:vertAlign w:val="subscript"/>
                <w:lang w:val="en-US" w:eastAsia="zh-CN" w:bidi="ar"/>
              </w:rPr>
              <w:t>10</w:t>
            </w:r>
            <w:r>
              <w:rPr>
                <w:rFonts w:hint="default" w:ascii="Times New Roman" w:hAnsi="Times New Roman" w:eastAsia="宋体" w:cs="Times New Roman"/>
                <w:color w:val="auto"/>
                <w:kern w:val="0"/>
                <w:sz w:val="24"/>
                <w:szCs w:val="24"/>
                <w:highlight w:val="none"/>
                <w:lang w:val="en-US" w:eastAsia="zh-CN" w:bidi="ar"/>
              </w:rPr>
              <w:t>、SO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、NO</w:t>
            </w:r>
            <w:r>
              <w:rPr>
                <w:rFonts w:hint="default" w:ascii="Times New Roman" w:hAnsi="Times New Roman" w:eastAsia="宋体" w:cs="Times New Roman"/>
                <w:color w:val="auto"/>
                <w:kern w:val="0"/>
                <w:sz w:val="24"/>
                <w:szCs w:val="24"/>
                <w:highlight w:val="none"/>
                <w:vertAlign w:val="subscript"/>
                <w:lang w:val="en-US" w:eastAsia="zh-CN" w:bidi="ar"/>
              </w:rPr>
              <w:t>2</w:t>
            </w:r>
            <w:r>
              <w:rPr>
                <w:rFonts w:hint="default" w:ascii="Times New Roman" w:hAnsi="Times New Roman" w:eastAsia="宋体" w:cs="Times New Roman"/>
                <w:color w:val="auto"/>
                <w:kern w:val="0"/>
                <w:sz w:val="24"/>
                <w:szCs w:val="24"/>
                <w:highlight w:val="none"/>
                <w:lang w:val="en-US" w:eastAsia="zh-CN" w:bidi="ar"/>
              </w:rPr>
              <w:t>、CO、O</w:t>
            </w:r>
            <w:r>
              <w:rPr>
                <w:rFonts w:hint="default" w:ascii="Times New Roman" w:hAnsi="Times New Roman" w:eastAsia="宋体" w:cs="Times New Roman"/>
                <w:color w:val="auto"/>
                <w:kern w:val="0"/>
                <w:sz w:val="24"/>
                <w:szCs w:val="24"/>
                <w:highlight w:val="none"/>
                <w:vertAlign w:val="sub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监测项目均能满足《环境空气质量标准》（GB3095-2026）中的过渡阶段浓度限值二级标准，鸡西市属于达标区。</w:t>
            </w:r>
          </w:p>
          <w:p w14:paraId="7F741C0F">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0" w:leftChars="0" w:firstLine="480" w:firstLineChars="200"/>
              <w:jc w:val="both"/>
              <w:textAlignment w:val="auto"/>
              <w:rPr>
                <w:rFonts w:eastAsia="宋体"/>
                <w:color w:val="auto"/>
                <w:kern w:val="0"/>
                <w:sz w:val="24"/>
                <w:szCs w:val="24"/>
                <w:highlight w:val="none"/>
              </w:rPr>
            </w:pPr>
            <w:r>
              <w:rPr>
                <w:rFonts w:hint="eastAsia" w:cs="Times New Roman"/>
                <w:color w:val="auto"/>
                <w:kern w:val="0"/>
                <w:sz w:val="24"/>
                <w:szCs w:val="24"/>
                <w:lang w:val="en-US" w:eastAsia="zh-CN" w:bidi="ar-SA"/>
              </w:rPr>
              <w:t>2</w:t>
            </w:r>
            <w:r>
              <w:rPr>
                <w:rFonts w:ascii="Times New Roman" w:hAnsi="Times New Roman" w:eastAsia="宋体" w:cs="Times New Roman"/>
                <w:color w:val="auto"/>
                <w:kern w:val="0"/>
                <w:sz w:val="24"/>
                <w:szCs w:val="24"/>
                <w:lang w:val="en-US" w:eastAsia="zh-CN" w:bidi="ar-SA"/>
              </w:rPr>
              <w:t>、</w:t>
            </w:r>
            <w:r>
              <w:rPr>
                <w:rFonts w:hint="eastAsia"/>
                <w:color w:val="auto"/>
                <w:kern w:val="0"/>
                <w:sz w:val="24"/>
                <w:szCs w:val="24"/>
                <w:highlight w:val="none"/>
                <w:lang w:eastAsia="zh-CN"/>
              </w:rPr>
              <w:t>其他</w:t>
            </w:r>
            <w:r>
              <w:rPr>
                <w:rFonts w:hint="eastAsia" w:eastAsia="宋体"/>
                <w:color w:val="auto"/>
                <w:kern w:val="0"/>
                <w:sz w:val="24"/>
                <w:szCs w:val="24"/>
                <w:highlight w:val="none"/>
              </w:rPr>
              <w:t>污染物</w:t>
            </w:r>
          </w:p>
          <w:p w14:paraId="04EAD412">
            <w:pPr>
              <w:spacing w:line="360" w:lineRule="auto"/>
              <w:ind w:firstLine="480" w:firstLineChars="200"/>
              <w:rPr>
                <w:color w:val="auto"/>
                <w:sz w:val="24"/>
              </w:rPr>
            </w:pPr>
            <w:r>
              <w:rPr>
                <w:rFonts w:hint="eastAsia"/>
                <w:color w:val="auto"/>
                <w:sz w:val="24"/>
              </w:rPr>
              <w:t>据《建设项目环境影响报告表编制技术指南（污染影响类）（试行）》（环办环评[2020]33号），“排放国家、地方环境空气质量标准中有标准限值要求的特征污染物时，引用建设项目周边5千米范围内近3年的现有监测数据，无相关数据的选择当季主导风向下风向1个点位补充不少于3天的监测数据”。</w:t>
            </w:r>
          </w:p>
          <w:p w14:paraId="7E39CC88">
            <w:pPr>
              <w:spacing w:line="360" w:lineRule="auto"/>
              <w:ind w:firstLine="480" w:firstLineChars="200"/>
              <w:rPr>
                <w:rFonts w:hint="eastAsia" w:ascii="Times New Roman" w:hAnsi="Times New Roman" w:cs="Times New Roman"/>
                <w:color w:val="auto"/>
                <w:sz w:val="24"/>
                <w:szCs w:val="24"/>
                <w:highlight w:val="none"/>
                <w:lang w:eastAsia="zh-CN"/>
              </w:rPr>
            </w:pPr>
            <w:r>
              <w:rPr>
                <w:rFonts w:hint="eastAsia"/>
                <w:color w:val="auto"/>
                <w:sz w:val="24"/>
                <w:lang w:eastAsia="zh-CN"/>
              </w:rPr>
              <w:t>本项目特征污染物为</w:t>
            </w:r>
            <w:r>
              <w:rPr>
                <w:rFonts w:hint="eastAsia"/>
                <w:color w:val="auto"/>
                <w:sz w:val="24"/>
                <w:lang w:val="en-US" w:eastAsia="zh-CN"/>
              </w:rPr>
              <w:t>TSP，</w:t>
            </w:r>
            <w:r>
              <w:rPr>
                <w:rFonts w:hint="eastAsia"/>
                <w:color w:val="auto"/>
                <w:sz w:val="24"/>
              </w:rPr>
              <w:t>为了解工程所在区域环境空气中特征污染因子质量现状，</w:t>
            </w:r>
            <w:r>
              <w:rPr>
                <w:rFonts w:hint="eastAsia"/>
                <w:color w:val="auto"/>
                <w:sz w:val="24"/>
                <w:lang w:eastAsia="zh-CN"/>
              </w:rPr>
              <w:t>引用</w:t>
            </w:r>
            <w:r>
              <w:rPr>
                <w:rFonts w:hint="eastAsia" w:cs="Times New Roman"/>
                <w:color w:val="auto"/>
                <w:sz w:val="24"/>
                <w:szCs w:val="24"/>
                <w:highlight w:val="none"/>
                <w:lang w:eastAsia="zh-CN"/>
              </w:rPr>
              <w:t>鸡西市富金煤炭销售有限公司</w:t>
            </w:r>
            <w:r>
              <w:rPr>
                <w:rFonts w:hint="default" w:ascii="Times New Roman" w:hAnsi="Times New Roman" w:cs="Times New Roman"/>
                <w:color w:val="auto"/>
                <w:sz w:val="24"/>
                <w:szCs w:val="24"/>
                <w:highlight w:val="none"/>
                <w:lang w:eastAsia="zh-CN"/>
              </w:rPr>
              <w:t>建设项目</w:t>
            </w:r>
            <w:r>
              <w:rPr>
                <w:rFonts w:hint="eastAsia" w:ascii="Times New Roman" w:hAnsi="Times New Roman" w:cs="Times New Roman"/>
                <w:color w:val="auto"/>
                <w:sz w:val="24"/>
                <w:szCs w:val="24"/>
                <w:highlight w:val="none"/>
                <w:lang w:eastAsia="zh-CN"/>
              </w:rPr>
              <w:t>环境影响报告表</w:t>
            </w:r>
            <w:r>
              <w:rPr>
                <w:rFonts w:hint="eastAsia" w:cs="Times New Roman"/>
                <w:color w:val="auto"/>
                <w:sz w:val="24"/>
                <w:szCs w:val="24"/>
                <w:highlight w:val="none"/>
                <w:lang w:eastAsia="zh-CN"/>
              </w:rPr>
              <w:t>中监测内容</w:t>
            </w:r>
            <w:r>
              <w:rPr>
                <w:rFonts w:hint="default" w:ascii="Times New Roman" w:hAnsi="Times New Roman" w:eastAsia="宋体" w:cs="Times New Roman"/>
                <w:color w:val="auto"/>
                <w:kern w:val="0"/>
                <w:sz w:val="24"/>
                <w:highlight w:val="none"/>
                <w:lang w:bidi="ar"/>
              </w:rPr>
              <w:t>，具体监测内容如下：</w:t>
            </w:r>
          </w:p>
          <w:p w14:paraId="77B130B9">
            <w:pPr>
              <w:spacing w:line="360" w:lineRule="auto"/>
              <w:ind w:firstLine="480" w:firstLineChars="200"/>
              <w:rPr>
                <w:rFonts w:hint="eastAsia"/>
                <w:color w:val="auto"/>
                <w:sz w:val="24"/>
              </w:rPr>
            </w:pPr>
            <w:r>
              <w:rPr>
                <w:rFonts w:hint="eastAsia"/>
                <w:color w:val="auto"/>
                <w:sz w:val="24"/>
              </w:rPr>
              <w:t>①监测时间和频次</w:t>
            </w:r>
          </w:p>
          <w:p w14:paraId="7E7ABF74">
            <w:pPr>
              <w:adjustRightInd w:val="0"/>
              <w:snapToGrid w:val="0"/>
              <w:spacing w:line="360" w:lineRule="auto"/>
              <w:ind w:firstLine="480" w:firstLineChars="200"/>
              <w:rPr>
                <w:rFonts w:hint="eastAsia"/>
                <w:color w:val="auto"/>
                <w:sz w:val="24"/>
              </w:rPr>
            </w:pPr>
            <w:r>
              <w:rPr>
                <w:color w:val="auto"/>
                <w:sz w:val="24"/>
                <w:lang w:val="zh-CN"/>
              </w:rPr>
              <w:t>监测时间：</w:t>
            </w:r>
            <w:r>
              <w:rPr>
                <w:rFonts w:hint="default" w:ascii="Times New Roman" w:hAnsi="Times New Roman" w:eastAsia="宋体" w:cs="Times New Roman"/>
                <w:color w:val="auto"/>
                <w:sz w:val="24"/>
                <w:lang w:val="en-US" w:eastAsia="zh-CN"/>
              </w:rPr>
              <w:t>2025年</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月</w:t>
            </w:r>
            <w:r>
              <w:rPr>
                <w:rFonts w:hint="eastAsia" w:cs="Times New Roman"/>
                <w:color w:val="auto"/>
                <w:sz w:val="24"/>
                <w:lang w:val="en-US" w:eastAsia="zh-CN"/>
              </w:rPr>
              <w:t>10</w:t>
            </w:r>
            <w:r>
              <w:rPr>
                <w:rFonts w:hint="default" w:ascii="Times New Roman" w:hAnsi="Times New Roman" w:eastAsia="宋体" w:cs="Times New Roman"/>
                <w:color w:val="auto"/>
                <w:sz w:val="24"/>
                <w:lang w:val="en-US" w:eastAsia="zh-CN"/>
              </w:rPr>
              <w:t>日-</w:t>
            </w:r>
            <w:r>
              <w:rPr>
                <w:rFonts w:hint="eastAsia" w:cs="Times New Roman"/>
                <w:color w:val="auto"/>
                <w:sz w:val="24"/>
                <w:lang w:val="en-US" w:eastAsia="zh-CN"/>
              </w:rPr>
              <w:t>5</w:t>
            </w:r>
            <w:r>
              <w:rPr>
                <w:rFonts w:hint="default" w:ascii="Times New Roman" w:hAnsi="Times New Roman" w:eastAsia="宋体" w:cs="Times New Roman"/>
                <w:color w:val="auto"/>
                <w:sz w:val="24"/>
                <w:lang w:val="en-US" w:eastAsia="zh-CN"/>
              </w:rPr>
              <w:t>月</w:t>
            </w:r>
            <w:r>
              <w:rPr>
                <w:rFonts w:hint="eastAsia" w:cs="Times New Roman"/>
                <w:color w:val="auto"/>
                <w:sz w:val="24"/>
                <w:lang w:val="en-US" w:eastAsia="zh-CN"/>
              </w:rPr>
              <w:t>12</w:t>
            </w:r>
            <w:r>
              <w:rPr>
                <w:rFonts w:hint="default" w:ascii="Times New Roman" w:hAnsi="Times New Roman" w:eastAsia="宋体" w:cs="Times New Roman"/>
                <w:color w:val="auto"/>
                <w:sz w:val="24"/>
                <w:lang w:val="en-US" w:eastAsia="zh-CN"/>
              </w:rPr>
              <w:t>日</w:t>
            </w:r>
            <w:r>
              <w:rPr>
                <w:rFonts w:ascii="Times New Roman" w:hAnsi="Times New Roman" w:eastAsia="宋体" w:cs="Times New Roman"/>
                <w:color w:val="auto"/>
                <w:sz w:val="24"/>
                <w:lang w:val="zh-CN"/>
              </w:rPr>
              <w:t>，</w:t>
            </w:r>
            <w:r>
              <w:rPr>
                <w:color w:val="auto"/>
                <w:sz w:val="24"/>
                <w:lang w:val="zh-CN"/>
              </w:rPr>
              <w:t>连续监测</w:t>
            </w:r>
            <w:r>
              <w:rPr>
                <w:rFonts w:hint="eastAsia"/>
                <w:color w:val="auto"/>
                <w:sz w:val="24"/>
              </w:rPr>
              <w:t>3</w:t>
            </w:r>
            <w:r>
              <w:rPr>
                <w:color w:val="auto"/>
                <w:sz w:val="24"/>
                <w:lang w:val="zh-CN"/>
              </w:rPr>
              <w:t>天</w:t>
            </w:r>
            <w:r>
              <w:rPr>
                <w:rFonts w:hint="eastAsia"/>
                <w:color w:val="auto"/>
                <w:sz w:val="24"/>
                <w:lang w:val="zh-CN"/>
              </w:rPr>
              <w:t>，</w:t>
            </w:r>
            <w:r>
              <w:rPr>
                <w:color w:val="auto"/>
                <w:sz w:val="24"/>
                <w:lang w:val="zh-CN"/>
              </w:rPr>
              <w:t>每天取日均值。</w:t>
            </w:r>
          </w:p>
          <w:p w14:paraId="795435F4">
            <w:pPr>
              <w:spacing w:line="360" w:lineRule="auto"/>
              <w:ind w:firstLine="480" w:firstLineChars="200"/>
              <w:rPr>
                <w:rFonts w:hint="eastAsia"/>
                <w:color w:val="auto"/>
                <w:sz w:val="24"/>
              </w:rPr>
            </w:pPr>
            <w:r>
              <w:rPr>
                <w:rFonts w:hint="eastAsia"/>
                <w:color w:val="auto"/>
                <w:sz w:val="24"/>
              </w:rPr>
              <w:t>监测点位基本信息详见表3-2。</w:t>
            </w:r>
          </w:p>
          <w:p w14:paraId="368E5394">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snapToGrid w:val="0"/>
                <w:color w:val="auto"/>
                <w:sz w:val="24"/>
                <w:szCs w:val="24"/>
                <w:lang w:val="en-US" w:eastAsia="zh-CN"/>
              </w:rPr>
            </w:pPr>
            <w:r>
              <w:rPr>
                <w:rFonts w:hint="default" w:ascii="Times New Roman" w:hAnsi="Times New Roman" w:eastAsia="宋体" w:cs="Times New Roman"/>
                <w:b/>
                <w:bCs/>
                <w:snapToGrid w:val="0"/>
                <w:color w:val="auto"/>
                <w:sz w:val="24"/>
                <w:szCs w:val="24"/>
                <w:lang w:val="en-US" w:eastAsia="zh-CN"/>
              </w:rPr>
              <w:t>表3-2 其他污染物补充监测点为基本信息</w:t>
            </w:r>
          </w:p>
          <w:tbl>
            <w:tblPr>
              <w:tblStyle w:val="31"/>
              <w:tblW w:w="801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36"/>
              <w:gridCol w:w="878"/>
              <w:gridCol w:w="930"/>
              <w:gridCol w:w="1080"/>
              <w:gridCol w:w="1185"/>
              <w:gridCol w:w="1497"/>
              <w:gridCol w:w="1110"/>
            </w:tblGrid>
            <w:tr w14:paraId="223F52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6" w:type="dxa"/>
                  <w:vMerge w:val="restart"/>
                  <w:tcBorders>
                    <w:tl2br w:val="nil"/>
                    <w:tr2bl w:val="nil"/>
                  </w:tcBorders>
                  <w:vAlign w:val="center"/>
                </w:tcPr>
                <w:p w14:paraId="51E08585">
                  <w:pPr>
                    <w:jc w:val="center"/>
                    <w:rPr>
                      <w:b/>
                      <w:bCs/>
                      <w:color w:val="auto"/>
                      <w:sz w:val="21"/>
                      <w:szCs w:val="21"/>
                    </w:rPr>
                  </w:pPr>
                  <w:r>
                    <w:rPr>
                      <w:b/>
                      <w:bCs/>
                      <w:color w:val="auto"/>
                      <w:sz w:val="21"/>
                      <w:szCs w:val="21"/>
                    </w:rPr>
                    <w:t>监测点名称</w:t>
                  </w:r>
                </w:p>
              </w:tc>
              <w:tc>
                <w:tcPr>
                  <w:tcW w:w="1808" w:type="dxa"/>
                  <w:gridSpan w:val="2"/>
                  <w:tcBorders>
                    <w:tl2br w:val="nil"/>
                    <w:tr2bl w:val="nil"/>
                  </w:tcBorders>
                  <w:vAlign w:val="center"/>
                </w:tcPr>
                <w:p w14:paraId="749BA959">
                  <w:pPr>
                    <w:pStyle w:val="60"/>
                    <w:rPr>
                      <w:b/>
                      <w:bCs/>
                      <w:color w:val="auto"/>
                      <w:sz w:val="21"/>
                      <w:szCs w:val="21"/>
                    </w:rPr>
                  </w:pPr>
                  <w:r>
                    <w:rPr>
                      <w:b/>
                      <w:bCs/>
                      <w:color w:val="auto"/>
                      <w:sz w:val="21"/>
                      <w:szCs w:val="21"/>
                    </w:rPr>
                    <w:t>监测点坐标/m</w:t>
                  </w:r>
                </w:p>
              </w:tc>
              <w:tc>
                <w:tcPr>
                  <w:tcW w:w="1080" w:type="dxa"/>
                  <w:vMerge w:val="restart"/>
                  <w:tcBorders>
                    <w:tl2br w:val="nil"/>
                    <w:tr2bl w:val="nil"/>
                  </w:tcBorders>
                  <w:vAlign w:val="center"/>
                </w:tcPr>
                <w:p w14:paraId="2B576386">
                  <w:pPr>
                    <w:jc w:val="center"/>
                    <w:rPr>
                      <w:b/>
                      <w:bCs/>
                      <w:color w:val="auto"/>
                      <w:sz w:val="21"/>
                      <w:szCs w:val="21"/>
                      <w:highlight w:val="none"/>
                    </w:rPr>
                  </w:pPr>
                  <w:r>
                    <w:rPr>
                      <w:b/>
                      <w:bCs/>
                      <w:color w:val="auto"/>
                      <w:sz w:val="21"/>
                      <w:szCs w:val="21"/>
                      <w:highlight w:val="none"/>
                    </w:rPr>
                    <w:t>相对厂址方位</w:t>
                  </w:r>
                </w:p>
              </w:tc>
              <w:tc>
                <w:tcPr>
                  <w:tcW w:w="1185" w:type="dxa"/>
                  <w:vMerge w:val="restart"/>
                  <w:tcBorders>
                    <w:tl2br w:val="nil"/>
                    <w:tr2bl w:val="nil"/>
                  </w:tcBorders>
                  <w:vAlign w:val="center"/>
                </w:tcPr>
                <w:p w14:paraId="4880596C">
                  <w:pPr>
                    <w:jc w:val="center"/>
                    <w:rPr>
                      <w:b/>
                      <w:bCs/>
                      <w:color w:val="auto"/>
                      <w:sz w:val="21"/>
                      <w:szCs w:val="21"/>
                      <w:highlight w:val="none"/>
                    </w:rPr>
                  </w:pPr>
                  <w:r>
                    <w:rPr>
                      <w:b/>
                      <w:bCs/>
                      <w:color w:val="auto"/>
                      <w:sz w:val="21"/>
                      <w:szCs w:val="21"/>
                      <w:highlight w:val="none"/>
                    </w:rPr>
                    <w:t>相对厂界距离/m</w:t>
                  </w:r>
                </w:p>
              </w:tc>
              <w:tc>
                <w:tcPr>
                  <w:tcW w:w="1497" w:type="dxa"/>
                  <w:vMerge w:val="restart"/>
                  <w:tcBorders>
                    <w:tl2br w:val="nil"/>
                    <w:tr2bl w:val="nil"/>
                  </w:tcBorders>
                  <w:vAlign w:val="center"/>
                </w:tcPr>
                <w:p w14:paraId="52828B1A">
                  <w:pPr>
                    <w:jc w:val="center"/>
                    <w:rPr>
                      <w:b/>
                      <w:bCs/>
                      <w:color w:val="auto"/>
                      <w:sz w:val="21"/>
                      <w:szCs w:val="21"/>
                    </w:rPr>
                  </w:pPr>
                  <w:r>
                    <w:rPr>
                      <w:b/>
                      <w:bCs/>
                      <w:color w:val="auto"/>
                      <w:sz w:val="21"/>
                      <w:szCs w:val="21"/>
                    </w:rPr>
                    <w:t>监测时间</w:t>
                  </w:r>
                </w:p>
              </w:tc>
              <w:tc>
                <w:tcPr>
                  <w:tcW w:w="1110" w:type="dxa"/>
                  <w:vMerge w:val="restart"/>
                  <w:tcBorders>
                    <w:tl2br w:val="nil"/>
                    <w:tr2bl w:val="nil"/>
                  </w:tcBorders>
                  <w:vAlign w:val="center"/>
                </w:tcPr>
                <w:p w14:paraId="2DB0C693">
                  <w:pPr>
                    <w:jc w:val="center"/>
                    <w:rPr>
                      <w:b/>
                      <w:bCs/>
                      <w:color w:val="auto"/>
                      <w:sz w:val="21"/>
                      <w:szCs w:val="21"/>
                    </w:rPr>
                  </w:pPr>
                  <w:r>
                    <w:rPr>
                      <w:b/>
                      <w:bCs/>
                      <w:color w:val="auto"/>
                      <w:sz w:val="21"/>
                      <w:szCs w:val="21"/>
                    </w:rPr>
                    <w:t>监测因子</w:t>
                  </w:r>
                </w:p>
              </w:tc>
            </w:tr>
            <w:tr w14:paraId="462EBD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6" w:type="dxa"/>
                  <w:vMerge w:val="continue"/>
                  <w:tcBorders>
                    <w:tl2br w:val="nil"/>
                    <w:tr2bl w:val="nil"/>
                  </w:tcBorders>
                  <w:vAlign w:val="center"/>
                </w:tcPr>
                <w:p w14:paraId="6763D950">
                  <w:pPr>
                    <w:widowControl/>
                    <w:jc w:val="left"/>
                    <w:rPr>
                      <w:b/>
                      <w:bCs/>
                      <w:color w:val="auto"/>
                      <w:sz w:val="21"/>
                      <w:szCs w:val="21"/>
                    </w:rPr>
                  </w:pPr>
                </w:p>
              </w:tc>
              <w:tc>
                <w:tcPr>
                  <w:tcW w:w="878" w:type="dxa"/>
                  <w:tcBorders>
                    <w:tl2br w:val="nil"/>
                    <w:tr2bl w:val="nil"/>
                  </w:tcBorders>
                  <w:vAlign w:val="center"/>
                </w:tcPr>
                <w:p w14:paraId="516F01A9">
                  <w:pPr>
                    <w:pStyle w:val="60"/>
                    <w:rPr>
                      <w:b/>
                      <w:bCs/>
                      <w:color w:val="auto"/>
                      <w:sz w:val="21"/>
                      <w:szCs w:val="21"/>
                    </w:rPr>
                  </w:pPr>
                  <w:r>
                    <w:rPr>
                      <w:b/>
                      <w:bCs/>
                      <w:color w:val="auto"/>
                      <w:sz w:val="21"/>
                      <w:szCs w:val="21"/>
                    </w:rPr>
                    <w:t>X</w:t>
                  </w:r>
                </w:p>
              </w:tc>
              <w:tc>
                <w:tcPr>
                  <w:tcW w:w="930" w:type="dxa"/>
                  <w:tcBorders>
                    <w:tl2br w:val="nil"/>
                    <w:tr2bl w:val="nil"/>
                  </w:tcBorders>
                  <w:vAlign w:val="center"/>
                </w:tcPr>
                <w:p w14:paraId="33294632">
                  <w:pPr>
                    <w:pStyle w:val="60"/>
                    <w:rPr>
                      <w:b/>
                      <w:bCs/>
                      <w:color w:val="auto"/>
                      <w:sz w:val="21"/>
                      <w:szCs w:val="21"/>
                    </w:rPr>
                  </w:pPr>
                  <w:r>
                    <w:rPr>
                      <w:b/>
                      <w:bCs/>
                      <w:color w:val="auto"/>
                      <w:sz w:val="21"/>
                      <w:szCs w:val="21"/>
                    </w:rPr>
                    <w:t>Y</w:t>
                  </w:r>
                </w:p>
              </w:tc>
              <w:tc>
                <w:tcPr>
                  <w:tcW w:w="1080" w:type="dxa"/>
                  <w:vMerge w:val="continue"/>
                  <w:tcBorders>
                    <w:tl2br w:val="nil"/>
                    <w:tr2bl w:val="nil"/>
                  </w:tcBorders>
                  <w:vAlign w:val="center"/>
                </w:tcPr>
                <w:p w14:paraId="631C5164">
                  <w:pPr>
                    <w:widowControl/>
                    <w:jc w:val="left"/>
                    <w:rPr>
                      <w:b/>
                      <w:bCs/>
                      <w:color w:val="auto"/>
                      <w:sz w:val="21"/>
                      <w:szCs w:val="21"/>
                      <w:highlight w:val="none"/>
                    </w:rPr>
                  </w:pPr>
                </w:p>
              </w:tc>
              <w:tc>
                <w:tcPr>
                  <w:tcW w:w="1185" w:type="dxa"/>
                  <w:vMerge w:val="continue"/>
                  <w:tcBorders>
                    <w:tl2br w:val="nil"/>
                    <w:tr2bl w:val="nil"/>
                  </w:tcBorders>
                  <w:vAlign w:val="center"/>
                </w:tcPr>
                <w:p w14:paraId="46A6B5BE">
                  <w:pPr>
                    <w:widowControl/>
                    <w:jc w:val="left"/>
                    <w:rPr>
                      <w:b/>
                      <w:bCs/>
                      <w:color w:val="auto"/>
                      <w:sz w:val="21"/>
                      <w:szCs w:val="21"/>
                      <w:highlight w:val="none"/>
                    </w:rPr>
                  </w:pPr>
                </w:p>
              </w:tc>
              <w:tc>
                <w:tcPr>
                  <w:tcW w:w="1497" w:type="dxa"/>
                  <w:vMerge w:val="continue"/>
                  <w:tcBorders>
                    <w:tl2br w:val="nil"/>
                    <w:tr2bl w:val="nil"/>
                  </w:tcBorders>
                  <w:vAlign w:val="center"/>
                </w:tcPr>
                <w:p w14:paraId="1BE467DC">
                  <w:pPr>
                    <w:widowControl/>
                    <w:jc w:val="left"/>
                    <w:rPr>
                      <w:b/>
                      <w:bCs/>
                      <w:color w:val="auto"/>
                      <w:sz w:val="21"/>
                      <w:szCs w:val="21"/>
                    </w:rPr>
                  </w:pPr>
                </w:p>
              </w:tc>
              <w:tc>
                <w:tcPr>
                  <w:tcW w:w="1110" w:type="dxa"/>
                  <w:vMerge w:val="continue"/>
                  <w:tcBorders>
                    <w:tl2br w:val="nil"/>
                    <w:tr2bl w:val="nil"/>
                  </w:tcBorders>
                  <w:vAlign w:val="center"/>
                </w:tcPr>
                <w:p w14:paraId="455A9162">
                  <w:pPr>
                    <w:widowControl/>
                    <w:jc w:val="left"/>
                    <w:rPr>
                      <w:b/>
                      <w:bCs/>
                      <w:color w:val="auto"/>
                      <w:sz w:val="21"/>
                      <w:szCs w:val="21"/>
                    </w:rPr>
                  </w:pPr>
                </w:p>
              </w:tc>
            </w:tr>
            <w:tr w14:paraId="51FF35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336" w:type="dxa"/>
                  <w:tcBorders>
                    <w:tl2br w:val="nil"/>
                    <w:tr2bl w:val="nil"/>
                  </w:tcBorders>
                  <w:vAlign w:val="center"/>
                </w:tcPr>
                <w:p w14:paraId="49814653">
                  <w:pPr>
                    <w:autoSpaceDE w:val="0"/>
                    <w:autoSpaceDN w:val="0"/>
                    <w:adjustRightInd w:val="0"/>
                    <w:spacing w:line="240" w:lineRule="auto"/>
                    <w:jc w:val="center"/>
                    <w:rPr>
                      <w:rFonts w:hint="eastAsia"/>
                      <w:color w:val="auto"/>
                      <w:szCs w:val="21"/>
                      <w:lang w:eastAsia="zh-CN"/>
                    </w:rPr>
                  </w:pPr>
                  <w:r>
                    <w:rPr>
                      <w:rFonts w:hint="eastAsia"/>
                      <w:color w:val="auto"/>
                      <w:szCs w:val="21"/>
                      <w:lang w:eastAsia="zh-CN"/>
                    </w:rPr>
                    <w:t>大气监测</w:t>
                  </w:r>
                </w:p>
                <w:p w14:paraId="2BDB9930">
                  <w:pPr>
                    <w:autoSpaceDE w:val="0"/>
                    <w:autoSpaceDN w:val="0"/>
                    <w:adjustRightInd w:val="0"/>
                    <w:spacing w:line="240" w:lineRule="auto"/>
                    <w:jc w:val="center"/>
                    <w:rPr>
                      <w:rFonts w:hint="eastAsia" w:ascii="Times New Roman" w:eastAsia="宋体"/>
                      <w:color w:val="auto"/>
                      <w:sz w:val="21"/>
                      <w:szCs w:val="21"/>
                      <w:lang w:eastAsia="zh-CN"/>
                    </w:rPr>
                  </w:pPr>
                  <w:r>
                    <w:rPr>
                      <w:rFonts w:hint="eastAsia"/>
                      <w:color w:val="auto"/>
                      <w:szCs w:val="21"/>
                      <w:lang w:eastAsia="zh-CN"/>
                    </w:rPr>
                    <w:t>点位</w:t>
                  </w:r>
                </w:p>
              </w:tc>
              <w:tc>
                <w:tcPr>
                  <w:tcW w:w="878" w:type="dxa"/>
                  <w:tcBorders>
                    <w:tl2br w:val="nil"/>
                    <w:tr2bl w:val="nil"/>
                  </w:tcBorders>
                  <w:vAlign w:val="center"/>
                </w:tcPr>
                <w:p w14:paraId="70B07C76">
                  <w:pPr>
                    <w:pStyle w:val="89"/>
                    <w:spacing w:line="300" w:lineRule="exact"/>
                    <w:rPr>
                      <w:rFonts w:hint="default" w:eastAsia="宋体"/>
                      <w:color w:val="auto"/>
                      <w:sz w:val="21"/>
                      <w:szCs w:val="21"/>
                      <w:lang w:val="en-US" w:eastAsia="zh-CN"/>
                    </w:rPr>
                  </w:pPr>
                  <w:r>
                    <w:rPr>
                      <w:rFonts w:hint="default" w:ascii="Times New Roman" w:hAnsi="Times New Roman" w:eastAsiaTheme="minorEastAsia"/>
                      <w:b w:val="0"/>
                      <w:color w:val="auto"/>
                      <w:szCs w:val="21"/>
                      <w:lang w:val="en-US" w:eastAsia="zh-CN"/>
                    </w:rPr>
                    <w:t>131.07103</w:t>
                  </w:r>
                  <w:r>
                    <w:rPr>
                      <w:rFonts w:hint="eastAsia" w:ascii="Times New Roman" w:hAnsi="Times New Roman"/>
                      <w:b w:val="0"/>
                      <w:color w:val="auto"/>
                      <w:szCs w:val="21"/>
                      <w:lang w:val="en-US" w:eastAsia="zh-CN"/>
                    </w:rPr>
                    <w:t>4</w:t>
                  </w:r>
                </w:p>
              </w:tc>
              <w:tc>
                <w:tcPr>
                  <w:tcW w:w="930" w:type="dxa"/>
                  <w:tcBorders>
                    <w:tl2br w:val="nil"/>
                    <w:tr2bl w:val="nil"/>
                  </w:tcBorders>
                  <w:vAlign w:val="center"/>
                </w:tcPr>
                <w:p w14:paraId="7250ACDE">
                  <w:pPr>
                    <w:autoSpaceDE w:val="0"/>
                    <w:autoSpaceDN w:val="0"/>
                    <w:adjustRightInd w:val="0"/>
                    <w:spacing w:line="240" w:lineRule="auto"/>
                    <w:jc w:val="center"/>
                    <w:rPr>
                      <w:rFonts w:hint="default" w:eastAsia="宋体"/>
                      <w:color w:val="auto"/>
                      <w:sz w:val="21"/>
                      <w:szCs w:val="21"/>
                      <w:lang w:val="en-US" w:eastAsia="zh-CN"/>
                    </w:rPr>
                  </w:pPr>
                  <w:r>
                    <w:rPr>
                      <w:rFonts w:hint="default" w:ascii="Times New Roman" w:hAnsi="Times New Roman" w:eastAsiaTheme="minorEastAsia"/>
                      <w:b w:val="0"/>
                      <w:color w:val="auto"/>
                      <w:szCs w:val="21"/>
                      <w:lang w:val="en-US" w:eastAsia="zh-CN"/>
                    </w:rPr>
                    <w:t>45.35608</w:t>
                  </w:r>
                  <w:r>
                    <w:rPr>
                      <w:rFonts w:hint="eastAsia" w:ascii="Times New Roman" w:hAnsi="Times New Roman"/>
                      <w:b w:val="0"/>
                      <w:color w:val="auto"/>
                      <w:szCs w:val="21"/>
                      <w:lang w:val="en-US" w:eastAsia="zh-CN"/>
                    </w:rPr>
                    <w:t>8</w:t>
                  </w:r>
                </w:p>
              </w:tc>
              <w:tc>
                <w:tcPr>
                  <w:tcW w:w="1080" w:type="dxa"/>
                  <w:tcBorders>
                    <w:tl2br w:val="nil"/>
                    <w:tr2bl w:val="nil"/>
                  </w:tcBorders>
                  <w:vAlign w:val="center"/>
                </w:tcPr>
                <w:p w14:paraId="02B3B94D">
                  <w:pPr>
                    <w:pStyle w:val="38"/>
                    <w:spacing w:line="240" w:lineRule="auto"/>
                    <w:jc w:val="center"/>
                    <w:rPr>
                      <w:rFonts w:hint="eastAsia" w:ascii="宋体" w:hAnsi="宋体" w:eastAsia="宋体" w:cs="宋体"/>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SE</w:t>
                  </w:r>
                </w:p>
              </w:tc>
              <w:tc>
                <w:tcPr>
                  <w:tcW w:w="1185" w:type="dxa"/>
                  <w:tcBorders>
                    <w:tl2br w:val="nil"/>
                    <w:tr2bl w:val="nil"/>
                  </w:tcBorders>
                  <w:vAlign w:val="center"/>
                </w:tcPr>
                <w:p w14:paraId="77D1FB43">
                  <w:pPr>
                    <w:pStyle w:val="38"/>
                    <w:spacing w:line="240" w:lineRule="auto"/>
                    <w:jc w:val="center"/>
                    <w:rPr>
                      <w:rFonts w:hint="default" w:ascii="宋体" w:hAnsi="宋体" w:eastAsia="宋体" w:cs="宋体"/>
                      <w:color w:val="auto"/>
                      <w:sz w:val="21"/>
                      <w:szCs w:val="21"/>
                      <w:highlight w:val="none"/>
                      <w:lang w:val="en-US"/>
                    </w:rPr>
                  </w:pPr>
                  <w:r>
                    <w:rPr>
                      <w:rFonts w:hint="default" w:ascii="Times New Roman" w:hAnsi="Times New Roman" w:eastAsia="宋体" w:cs="Times New Roman"/>
                      <w:color w:val="auto"/>
                      <w:sz w:val="21"/>
                      <w:szCs w:val="21"/>
                      <w:highlight w:val="none"/>
                      <w:lang w:val="en-US" w:eastAsia="zh-CN"/>
                    </w:rPr>
                    <w:t>21</w:t>
                  </w:r>
                  <w:r>
                    <w:rPr>
                      <w:rFonts w:hint="eastAsia" w:ascii="Times New Roman" w:hAnsi="Times New Roman" w:cs="Times New Roman"/>
                      <w:color w:val="auto"/>
                      <w:sz w:val="21"/>
                      <w:szCs w:val="21"/>
                      <w:highlight w:val="none"/>
                      <w:lang w:val="en-US" w:eastAsia="zh-CN"/>
                    </w:rPr>
                    <w:t>01</w:t>
                  </w:r>
                </w:p>
              </w:tc>
              <w:tc>
                <w:tcPr>
                  <w:tcW w:w="1497" w:type="dxa"/>
                  <w:tcBorders>
                    <w:tl2br w:val="nil"/>
                    <w:tr2bl w:val="nil"/>
                  </w:tcBorders>
                  <w:vAlign w:val="center"/>
                </w:tcPr>
                <w:p w14:paraId="220D83C2">
                  <w:pPr>
                    <w:pStyle w:val="38"/>
                    <w:spacing w:line="240" w:lineRule="auto"/>
                    <w:jc w:val="center"/>
                    <w:rPr>
                      <w:color w:val="auto"/>
                      <w:sz w:val="21"/>
                      <w:szCs w:val="21"/>
                      <w:highlight w:val="none"/>
                    </w:rPr>
                  </w:pPr>
                  <w:r>
                    <w:rPr>
                      <w:rFonts w:hint="eastAsia" w:ascii="Times New Roman" w:hAnsi="Times New Roman" w:cs="Times New Roman"/>
                      <w:color w:val="auto"/>
                      <w:sz w:val="21"/>
                      <w:szCs w:val="21"/>
                    </w:rPr>
                    <w:t>202</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10</w:t>
                  </w:r>
                  <w:r>
                    <w:rPr>
                      <w:rFonts w:hint="eastAsia" w:ascii="Times New Roman" w:hAnsi="Times New Roman" w:cs="Times New Roman"/>
                      <w:color w:val="auto"/>
                      <w:sz w:val="21"/>
                      <w:szCs w:val="21"/>
                    </w:rPr>
                    <w:t>～202</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.0</w:t>
                  </w:r>
                  <w:r>
                    <w:rPr>
                      <w:rFonts w:hint="eastAsia" w:ascii="Times New Roman" w:hAnsi="Times New Roman" w:cs="Times New Roman"/>
                      <w:color w:val="auto"/>
                      <w:sz w:val="21"/>
                      <w:szCs w:val="21"/>
                      <w:lang w:val="en-US" w:eastAsia="zh-CN"/>
                    </w:rPr>
                    <w:t>5</w:t>
                  </w:r>
                  <w:r>
                    <w:rPr>
                      <w:rFonts w:hint="eastAsia" w:ascii="Times New Roman" w:hAnsi="Times New Roman" w:cs="Times New Roman"/>
                      <w:color w:val="auto"/>
                      <w:sz w:val="21"/>
                      <w:szCs w:val="21"/>
                    </w:rPr>
                    <w:t>.</w:t>
                  </w:r>
                  <w:r>
                    <w:rPr>
                      <w:rFonts w:hint="eastAsia" w:ascii="Times New Roman" w:hAnsi="Times New Roman" w:cs="Times New Roman"/>
                      <w:color w:val="auto"/>
                      <w:sz w:val="21"/>
                      <w:szCs w:val="21"/>
                      <w:lang w:val="en-US" w:eastAsia="zh-CN"/>
                    </w:rPr>
                    <w:t>12</w:t>
                  </w:r>
                </w:p>
              </w:tc>
              <w:tc>
                <w:tcPr>
                  <w:tcW w:w="1110" w:type="dxa"/>
                  <w:tcBorders>
                    <w:tl2br w:val="nil"/>
                    <w:tr2bl w:val="nil"/>
                  </w:tcBorders>
                  <w:vAlign w:val="center"/>
                </w:tcPr>
                <w:p w14:paraId="08CC276F">
                  <w:pPr>
                    <w:pStyle w:val="38"/>
                    <w:spacing w:line="240" w:lineRule="auto"/>
                    <w:jc w:val="center"/>
                    <w:rPr>
                      <w:rFonts w:hint="default" w:eastAsia="宋体"/>
                      <w:color w:val="auto"/>
                      <w:sz w:val="21"/>
                      <w:szCs w:val="21"/>
                      <w:highlight w:val="none"/>
                      <w:lang w:val="en-US" w:eastAsia="zh-CN"/>
                    </w:rPr>
                  </w:pPr>
                  <w:r>
                    <w:rPr>
                      <w:rFonts w:ascii="Times New Roman" w:hAnsi="Times New Roman" w:cs="Times New Roman"/>
                      <w:color w:val="auto"/>
                      <w:sz w:val="21"/>
                      <w:szCs w:val="21"/>
                    </w:rPr>
                    <w:t>总悬浮颗粒物</w:t>
                  </w:r>
                </w:p>
              </w:tc>
            </w:tr>
          </w:tbl>
          <w:p w14:paraId="19AD0CE7">
            <w:pPr>
              <w:spacing w:line="360" w:lineRule="auto"/>
              <w:ind w:firstLine="480" w:firstLineChars="200"/>
              <w:rPr>
                <w:color w:val="auto"/>
                <w:sz w:val="24"/>
              </w:rPr>
            </w:pPr>
            <w:r>
              <w:rPr>
                <w:rFonts w:hint="eastAsia"/>
                <w:color w:val="auto"/>
                <w:sz w:val="24"/>
              </w:rPr>
              <w:t>②补充监测结果</w:t>
            </w:r>
          </w:p>
          <w:p w14:paraId="6B4BADCC">
            <w:pPr>
              <w:spacing w:line="360" w:lineRule="auto"/>
              <w:ind w:firstLine="480" w:firstLineChars="200"/>
              <w:rPr>
                <w:rFonts w:hint="eastAsia"/>
                <w:color w:val="auto"/>
                <w:sz w:val="24"/>
              </w:rPr>
            </w:pPr>
            <w:r>
              <w:rPr>
                <w:rFonts w:hint="eastAsia"/>
                <w:color w:val="auto"/>
                <w:sz w:val="24"/>
              </w:rPr>
              <w:t>补充监测结果详见表3-3。</w:t>
            </w:r>
          </w:p>
          <w:p w14:paraId="19D03A13">
            <w:pPr>
              <w:keepNext w:val="0"/>
              <w:keepLines w:val="0"/>
              <w:pageBreakBefore w:val="0"/>
              <w:widowControl w:val="0"/>
              <w:kinsoku/>
              <w:wordWrap/>
              <w:overflowPunct/>
              <w:topLinePunct w:val="0"/>
              <w:autoSpaceDE/>
              <w:autoSpaceDN/>
              <w:bidi w:val="0"/>
              <w:adjustRightInd/>
              <w:snapToGrid/>
              <w:spacing w:before="157" w:beforeLines="50" w:line="240" w:lineRule="auto"/>
              <w:jc w:val="center"/>
              <w:textAlignment w:val="auto"/>
              <w:rPr>
                <w:rFonts w:hint="default" w:ascii="Times New Roman" w:hAnsi="Times New Roman" w:eastAsia="宋体" w:cs="Times New Roman"/>
                <w:b/>
                <w:bCs/>
                <w:snapToGrid w:val="0"/>
                <w:color w:val="auto"/>
                <w:sz w:val="24"/>
                <w:szCs w:val="24"/>
                <w:lang w:val="en-US" w:eastAsia="zh-CN"/>
              </w:rPr>
            </w:pPr>
            <w:r>
              <w:rPr>
                <w:rFonts w:hint="eastAsia" w:ascii="Times New Roman" w:hAnsi="Times New Roman" w:eastAsia="宋体" w:cs="Times New Roman"/>
                <w:b/>
                <w:bCs/>
                <w:snapToGrid w:val="0"/>
                <w:color w:val="auto"/>
                <w:sz w:val="24"/>
                <w:szCs w:val="24"/>
                <w:lang w:val="en-US" w:eastAsia="zh-CN"/>
              </w:rPr>
              <w:t>表3-3 其他污染物补充监测结果</w:t>
            </w:r>
          </w:p>
          <w:tbl>
            <w:tblPr>
              <w:tblStyle w:val="31"/>
              <w:tblW w:w="7976"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2"/>
              <w:gridCol w:w="974"/>
              <w:gridCol w:w="768"/>
              <w:gridCol w:w="1207"/>
              <w:gridCol w:w="1292"/>
              <w:gridCol w:w="1060"/>
              <w:gridCol w:w="968"/>
              <w:gridCol w:w="985"/>
            </w:tblGrid>
            <w:tr w14:paraId="08D94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2" w:type="dxa"/>
                  <w:tcBorders>
                    <w:tl2br w:val="nil"/>
                    <w:tr2bl w:val="nil"/>
                  </w:tcBorders>
                  <w:vAlign w:val="center"/>
                </w:tcPr>
                <w:p w14:paraId="4058CC6F">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序号</w:t>
                  </w:r>
                </w:p>
              </w:tc>
              <w:tc>
                <w:tcPr>
                  <w:tcW w:w="974" w:type="dxa"/>
                  <w:tcBorders>
                    <w:tl2br w:val="nil"/>
                    <w:tr2bl w:val="nil"/>
                  </w:tcBorders>
                  <w:vAlign w:val="center"/>
                </w:tcPr>
                <w:p w14:paraId="7C057712">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监测</w:t>
                  </w:r>
                </w:p>
                <w:p w14:paraId="765CFCAD">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点位</w:t>
                  </w:r>
                </w:p>
              </w:tc>
              <w:tc>
                <w:tcPr>
                  <w:tcW w:w="768" w:type="dxa"/>
                  <w:tcBorders>
                    <w:tl2br w:val="nil"/>
                    <w:tr2bl w:val="nil"/>
                  </w:tcBorders>
                  <w:vAlign w:val="center"/>
                </w:tcPr>
                <w:p w14:paraId="7A91AF8A">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监测</w:t>
                  </w:r>
                </w:p>
                <w:p w14:paraId="1F15513F">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因子</w:t>
                  </w:r>
                </w:p>
              </w:tc>
              <w:tc>
                <w:tcPr>
                  <w:tcW w:w="1207" w:type="dxa"/>
                  <w:tcBorders>
                    <w:tl2br w:val="nil"/>
                    <w:tr2bl w:val="nil"/>
                  </w:tcBorders>
                  <w:vAlign w:val="center"/>
                </w:tcPr>
                <w:p w14:paraId="61426325">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ascii="Times New Roman"/>
                      <w:b/>
                      <w:bCs/>
                      <w:color w:val="auto"/>
                      <w:sz w:val="21"/>
                      <w:szCs w:val="21"/>
                    </w:rPr>
                    <w:t>评价标</w:t>
                  </w:r>
                  <w:r>
                    <w:rPr>
                      <w:rFonts w:hint="eastAsia" w:ascii="Times New Roman"/>
                      <w:b/>
                      <w:bCs/>
                      <w:color w:val="auto"/>
                      <w:sz w:val="21"/>
                      <w:szCs w:val="21"/>
                    </w:rPr>
                    <w:t>准（</w:t>
                  </w:r>
                  <w:r>
                    <w:rPr>
                      <w:rFonts w:hint="default" w:ascii="Times New Roman" w:hAnsi="Times New Roman" w:eastAsia="宋体" w:cs="Times New Roman"/>
                      <w:b/>
                      <w:color w:val="auto"/>
                      <w:sz w:val="21"/>
                      <w:szCs w:val="21"/>
                      <w:highlight w:val="none"/>
                    </w:rPr>
                    <w:t>μg/m</w:t>
                  </w:r>
                  <w:r>
                    <w:rPr>
                      <w:rFonts w:hint="default" w:ascii="Times New Roman" w:hAnsi="Times New Roman" w:eastAsia="宋体" w:cs="Times New Roman"/>
                      <w:b/>
                      <w:color w:val="auto"/>
                      <w:sz w:val="21"/>
                      <w:szCs w:val="21"/>
                      <w:highlight w:val="none"/>
                      <w:vertAlign w:val="superscript"/>
                    </w:rPr>
                    <w:t>3</w:t>
                  </w:r>
                  <w:r>
                    <w:rPr>
                      <w:rFonts w:hint="eastAsia" w:ascii="Times New Roman"/>
                      <w:b/>
                      <w:bCs/>
                      <w:color w:val="auto"/>
                      <w:sz w:val="21"/>
                      <w:szCs w:val="21"/>
                    </w:rPr>
                    <w:t>）</w:t>
                  </w:r>
                </w:p>
              </w:tc>
              <w:tc>
                <w:tcPr>
                  <w:tcW w:w="1292" w:type="dxa"/>
                  <w:tcBorders>
                    <w:tl2br w:val="nil"/>
                    <w:tr2bl w:val="nil"/>
                  </w:tcBorders>
                  <w:vAlign w:val="center"/>
                </w:tcPr>
                <w:p w14:paraId="59035D39">
                  <w:pPr>
                    <w:autoSpaceDE w:val="0"/>
                    <w:autoSpaceDN w:val="0"/>
                    <w:adjustRightInd w:val="0"/>
                    <w:spacing w:line="240" w:lineRule="auto"/>
                    <w:jc w:val="center"/>
                    <w:rPr>
                      <w:b/>
                      <w:bCs/>
                      <w:color w:val="auto"/>
                      <w:szCs w:val="21"/>
                    </w:rPr>
                  </w:pPr>
                  <w:r>
                    <w:rPr>
                      <w:b/>
                      <w:bCs/>
                      <w:color w:val="auto"/>
                      <w:szCs w:val="21"/>
                    </w:rPr>
                    <w:t>监测浓度范围</w:t>
                  </w:r>
                </w:p>
                <w:p w14:paraId="272E299B">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b/>
                      <w:bCs/>
                      <w:color w:val="auto"/>
                      <w:szCs w:val="21"/>
                    </w:rPr>
                    <w:t>/(</w:t>
                  </w:r>
                  <w:r>
                    <w:rPr>
                      <w:b/>
                      <w:bCs/>
                      <w:color w:val="auto"/>
                    </w:rPr>
                    <w:t>μg/m</w:t>
                  </w:r>
                  <w:r>
                    <w:rPr>
                      <w:b/>
                      <w:bCs/>
                      <w:color w:val="auto"/>
                      <w:szCs w:val="21"/>
                      <w:vertAlign w:val="superscript"/>
                    </w:rPr>
                    <w:t>3</w:t>
                  </w:r>
                  <w:r>
                    <w:rPr>
                      <w:b/>
                      <w:bCs/>
                      <w:color w:val="auto"/>
                      <w:szCs w:val="21"/>
                    </w:rPr>
                    <w:t>)</w:t>
                  </w:r>
                </w:p>
              </w:tc>
              <w:tc>
                <w:tcPr>
                  <w:tcW w:w="1060" w:type="dxa"/>
                  <w:tcBorders>
                    <w:tl2br w:val="nil"/>
                    <w:tr2bl w:val="nil"/>
                  </w:tcBorders>
                  <w:vAlign w:val="center"/>
                </w:tcPr>
                <w:p w14:paraId="26EE45BA">
                  <w:pPr>
                    <w:autoSpaceDE w:val="0"/>
                    <w:autoSpaceDN w:val="0"/>
                    <w:adjustRightInd w:val="0"/>
                    <w:spacing w:line="240" w:lineRule="auto"/>
                    <w:jc w:val="center"/>
                    <w:rPr>
                      <w:rFonts w:hint="eastAsia" w:eastAsia="宋体"/>
                      <w:b/>
                      <w:bCs/>
                      <w:color w:val="auto"/>
                      <w:szCs w:val="21"/>
                      <w:lang w:eastAsia="zh-CN"/>
                    </w:rPr>
                  </w:pPr>
                  <w:r>
                    <w:rPr>
                      <w:rFonts w:hint="eastAsia"/>
                      <w:b/>
                      <w:bCs/>
                      <w:color w:val="auto"/>
                      <w:szCs w:val="21"/>
                      <w:lang w:eastAsia="zh-CN"/>
                    </w:rPr>
                    <w:t>最大浓度占标率</w:t>
                  </w:r>
                </w:p>
                <w:p w14:paraId="4D317919">
                  <w:pPr>
                    <w:pStyle w:val="80"/>
                    <w:tabs>
                      <w:tab w:val="left" w:pos="567"/>
                    </w:tabs>
                    <w:autoSpaceDE w:val="0"/>
                    <w:autoSpaceDN w:val="0"/>
                    <w:adjustRightInd/>
                    <w:spacing w:line="240" w:lineRule="auto"/>
                    <w:jc w:val="center"/>
                    <w:textAlignment w:val="bottom"/>
                    <w:rPr>
                      <w:rFonts w:hint="eastAsia" w:ascii="Times New Roman" w:eastAsia="宋体"/>
                      <w:b/>
                      <w:bCs/>
                      <w:color w:val="auto"/>
                      <w:sz w:val="21"/>
                      <w:szCs w:val="21"/>
                      <w:lang w:val="en-US" w:eastAsia="zh-CN"/>
                    </w:rPr>
                  </w:pPr>
                  <w:r>
                    <w:rPr>
                      <w:b/>
                      <w:bCs/>
                      <w:color w:val="auto"/>
                      <w:szCs w:val="21"/>
                    </w:rPr>
                    <w:t>/</w:t>
                  </w:r>
                  <w:r>
                    <w:rPr>
                      <w:rFonts w:hint="eastAsia"/>
                      <w:b/>
                      <w:bCs/>
                      <w:color w:val="auto"/>
                      <w:szCs w:val="21"/>
                      <w:lang w:val="en-US" w:eastAsia="zh-CN"/>
                    </w:rPr>
                    <w:t>%</w:t>
                  </w:r>
                </w:p>
              </w:tc>
              <w:tc>
                <w:tcPr>
                  <w:tcW w:w="968" w:type="dxa"/>
                  <w:tcBorders>
                    <w:tl2br w:val="nil"/>
                    <w:tr2bl w:val="nil"/>
                  </w:tcBorders>
                  <w:vAlign w:val="center"/>
                </w:tcPr>
                <w:p w14:paraId="6C4B5EE2">
                  <w:pPr>
                    <w:pStyle w:val="80"/>
                    <w:tabs>
                      <w:tab w:val="left" w:pos="567"/>
                    </w:tabs>
                    <w:autoSpaceDE w:val="0"/>
                    <w:autoSpaceDN w:val="0"/>
                    <w:adjustRightInd/>
                    <w:spacing w:line="240" w:lineRule="auto"/>
                    <w:jc w:val="center"/>
                    <w:textAlignment w:val="bottom"/>
                    <w:rPr>
                      <w:rFonts w:hint="default" w:eastAsia="宋体"/>
                      <w:b/>
                      <w:bCs/>
                      <w:color w:val="auto"/>
                      <w:szCs w:val="21"/>
                      <w:lang w:val="en-US" w:eastAsia="zh-CN"/>
                    </w:rPr>
                  </w:pPr>
                  <w:r>
                    <w:rPr>
                      <w:rFonts w:hint="eastAsia"/>
                      <w:b/>
                      <w:bCs/>
                      <w:color w:val="auto"/>
                      <w:sz w:val="21"/>
                      <w:szCs w:val="21"/>
                      <w:lang w:eastAsia="zh-CN"/>
                    </w:rPr>
                    <w:t>超标率</w:t>
                  </w:r>
                  <w:r>
                    <w:rPr>
                      <w:rFonts w:hint="eastAsia"/>
                      <w:b/>
                      <w:bCs/>
                      <w:color w:val="auto"/>
                      <w:sz w:val="21"/>
                      <w:szCs w:val="21"/>
                      <w:lang w:val="en-US" w:eastAsia="zh-CN"/>
                    </w:rPr>
                    <w:t>/%</w:t>
                  </w:r>
                </w:p>
              </w:tc>
              <w:tc>
                <w:tcPr>
                  <w:tcW w:w="985" w:type="dxa"/>
                  <w:tcBorders>
                    <w:tl2br w:val="nil"/>
                    <w:tr2bl w:val="nil"/>
                  </w:tcBorders>
                  <w:vAlign w:val="center"/>
                </w:tcPr>
                <w:p w14:paraId="5DF05E24">
                  <w:pPr>
                    <w:pStyle w:val="80"/>
                    <w:tabs>
                      <w:tab w:val="left" w:pos="567"/>
                    </w:tabs>
                    <w:autoSpaceDE w:val="0"/>
                    <w:autoSpaceDN w:val="0"/>
                    <w:adjustRightInd/>
                    <w:spacing w:line="240" w:lineRule="auto"/>
                    <w:jc w:val="center"/>
                    <w:textAlignment w:val="bottom"/>
                    <w:rPr>
                      <w:rFonts w:hint="eastAsia" w:ascii="Times New Roman"/>
                      <w:b/>
                      <w:bCs/>
                      <w:color w:val="auto"/>
                      <w:sz w:val="21"/>
                      <w:szCs w:val="21"/>
                    </w:rPr>
                  </w:pPr>
                  <w:r>
                    <w:rPr>
                      <w:rFonts w:hint="eastAsia" w:ascii="Times New Roman"/>
                      <w:b/>
                      <w:bCs/>
                      <w:color w:val="auto"/>
                      <w:sz w:val="21"/>
                      <w:szCs w:val="21"/>
                    </w:rPr>
                    <w:t>达标</w:t>
                  </w:r>
                </w:p>
                <w:p w14:paraId="1B735E0C">
                  <w:pPr>
                    <w:pStyle w:val="80"/>
                    <w:tabs>
                      <w:tab w:val="left" w:pos="567"/>
                    </w:tabs>
                    <w:autoSpaceDE w:val="0"/>
                    <w:autoSpaceDN w:val="0"/>
                    <w:adjustRightInd/>
                    <w:spacing w:line="240" w:lineRule="auto"/>
                    <w:jc w:val="center"/>
                    <w:textAlignment w:val="bottom"/>
                    <w:rPr>
                      <w:rFonts w:ascii="Times New Roman"/>
                      <w:b/>
                      <w:bCs/>
                      <w:color w:val="auto"/>
                      <w:sz w:val="21"/>
                      <w:szCs w:val="21"/>
                    </w:rPr>
                  </w:pPr>
                  <w:r>
                    <w:rPr>
                      <w:rFonts w:hint="eastAsia" w:ascii="Times New Roman"/>
                      <w:b/>
                      <w:bCs/>
                      <w:color w:val="auto"/>
                      <w:sz w:val="21"/>
                      <w:szCs w:val="21"/>
                    </w:rPr>
                    <w:t>情况</w:t>
                  </w:r>
                </w:p>
              </w:tc>
            </w:tr>
            <w:tr w14:paraId="5DA0F5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722" w:type="dxa"/>
                  <w:tcBorders>
                    <w:tl2br w:val="nil"/>
                    <w:tr2bl w:val="nil"/>
                  </w:tcBorders>
                  <w:vAlign w:val="center"/>
                </w:tcPr>
                <w:p w14:paraId="22406E72">
                  <w:pPr>
                    <w:pStyle w:val="80"/>
                    <w:tabs>
                      <w:tab w:val="left" w:pos="567"/>
                    </w:tabs>
                    <w:autoSpaceDE w:val="0"/>
                    <w:autoSpaceDN w:val="0"/>
                    <w:adjustRightInd/>
                    <w:spacing w:line="240" w:lineRule="auto"/>
                    <w:jc w:val="center"/>
                    <w:textAlignment w:val="bottom"/>
                    <w:rPr>
                      <w:rFonts w:ascii="Times New Roman"/>
                      <w:color w:val="auto"/>
                      <w:sz w:val="21"/>
                      <w:szCs w:val="21"/>
                    </w:rPr>
                  </w:pPr>
                  <w:r>
                    <w:rPr>
                      <w:rFonts w:hint="eastAsia" w:ascii="Times New Roman"/>
                      <w:color w:val="auto"/>
                      <w:sz w:val="21"/>
                      <w:szCs w:val="21"/>
                    </w:rPr>
                    <w:t>1</w:t>
                  </w:r>
                </w:p>
              </w:tc>
              <w:tc>
                <w:tcPr>
                  <w:tcW w:w="974" w:type="dxa"/>
                  <w:tcBorders>
                    <w:tl2br w:val="nil"/>
                    <w:tr2bl w:val="nil"/>
                  </w:tcBorders>
                  <w:vAlign w:val="center"/>
                </w:tcPr>
                <w:p w14:paraId="7271CE65">
                  <w:pPr>
                    <w:pStyle w:val="80"/>
                    <w:tabs>
                      <w:tab w:val="left" w:pos="567"/>
                    </w:tabs>
                    <w:autoSpaceDE w:val="0"/>
                    <w:autoSpaceDN w:val="0"/>
                    <w:adjustRightInd/>
                    <w:spacing w:line="240" w:lineRule="auto"/>
                    <w:jc w:val="center"/>
                    <w:textAlignment w:val="bottom"/>
                    <w:rPr>
                      <w:rFonts w:hint="eastAsia" w:ascii="Times New Roman" w:eastAsia="宋体"/>
                      <w:color w:val="auto"/>
                      <w:sz w:val="21"/>
                      <w:szCs w:val="21"/>
                      <w:lang w:eastAsia="zh-CN"/>
                    </w:rPr>
                  </w:pPr>
                  <w:r>
                    <w:rPr>
                      <w:rFonts w:hint="eastAsia" w:ascii="Times New Roman" w:eastAsia="宋体"/>
                      <w:color w:val="auto"/>
                      <w:sz w:val="21"/>
                      <w:szCs w:val="21"/>
                      <w:lang w:eastAsia="zh-CN"/>
                    </w:rPr>
                    <w:t>大气监测点位</w:t>
                  </w:r>
                </w:p>
              </w:tc>
              <w:tc>
                <w:tcPr>
                  <w:tcW w:w="768" w:type="dxa"/>
                  <w:tcBorders>
                    <w:tl2br w:val="nil"/>
                    <w:tr2bl w:val="nil"/>
                  </w:tcBorders>
                  <w:vAlign w:val="center"/>
                </w:tcPr>
                <w:p w14:paraId="23464E63">
                  <w:pPr>
                    <w:pStyle w:val="80"/>
                    <w:tabs>
                      <w:tab w:val="left" w:pos="567"/>
                    </w:tabs>
                    <w:autoSpaceDE w:val="0"/>
                    <w:autoSpaceDN w:val="0"/>
                    <w:adjustRightInd/>
                    <w:spacing w:line="240" w:lineRule="auto"/>
                    <w:jc w:val="center"/>
                    <w:textAlignment w:val="bottom"/>
                    <w:rPr>
                      <w:rFonts w:hint="eastAsia" w:ascii="Times New Roman" w:eastAsia="宋体"/>
                      <w:color w:val="auto"/>
                      <w:sz w:val="21"/>
                      <w:szCs w:val="21"/>
                      <w:lang w:eastAsia="zh-CN"/>
                    </w:rPr>
                  </w:pPr>
                  <w:r>
                    <w:rPr>
                      <w:rFonts w:hint="eastAsia" w:ascii="Times New Roman" w:eastAsia="宋体"/>
                      <w:color w:val="auto"/>
                      <w:sz w:val="21"/>
                      <w:szCs w:val="21"/>
                      <w:lang w:val="en-US" w:eastAsia="zh-CN"/>
                    </w:rPr>
                    <w:t>TSP</w:t>
                  </w:r>
                </w:p>
              </w:tc>
              <w:tc>
                <w:tcPr>
                  <w:tcW w:w="1207" w:type="dxa"/>
                  <w:tcBorders>
                    <w:tl2br w:val="nil"/>
                    <w:tr2bl w:val="nil"/>
                  </w:tcBorders>
                  <w:vAlign w:val="center"/>
                </w:tcPr>
                <w:p w14:paraId="66EDA9F7">
                  <w:pPr>
                    <w:pStyle w:val="80"/>
                    <w:tabs>
                      <w:tab w:val="left" w:pos="567"/>
                    </w:tabs>
                    <w:autoSpaceDE w:val="0"/>
                    <w:autoSpaceDN w:val="0"/>
                    <w:adjustRightInd/>
                    <w:spacing w:line="240" w:lineRule="auto"/>
                    <w:jc w:val="center"/>
                    <w:textAlignment w:val="bottom"/>
                    <w:rPr>
                      <w:rFonts w:hint="default" w:ascii="Times New Roman" w:eastAsia="宋体"/>
                      <w:color w:val="auto"/>
                      <w:sz w:val="21"/>
                      <w:szCs w:val="21"/>
                      <w:lang w:val="en-US" w:eastAsia="zh-CN"/>
                    </w:rPr>
                  </w:pPr>
                  <w:r>
                    <w:rPr>
                      <w:rFonts w:hint="eastAsia" w:ascii="Times New Roman"/>
                      <w:color w:val="auto"/>
                      <w:sz w:val="21"/>
                      <w:szCs w:val="21"/>
                      <w:highlight w:val="none"/>
                      <w:lang w:val="en-US" w:eastAsia="zh-CN"/>
                    </w:rPr>
                    <w:t>300</w:t>
                  </w:r>
                </w:p>
              </w:tc>
              <w:tc>
                <w:tcPr>
                  <w:tcW w:w="1292" w:type="dxa"/>
                  <w:tcBorders>
                    <w:tl2br w:val="nil"/>
                    <w:tr2bl w:val="nil"/>
                  </w:tcBorders>
                  <w:vAlign w:val="center"/>
                </w:tcPr>
                <w:p w14:paraId="6582509B">
                  <w:pPr>
                    <w:pStyle w:val="80"/>
                    <w:tabs>
                      <w:tab w:val="left" w:pos="567"/>
                    </w:tabs>
                    <w:autoSpaceDE w:val="0"/>
                    <w:autoSpaceDN w:val="0"/>
                    <w:adjustRightInd/>
                    <w:spacing w:line="240" w:lineRule="auto"/>
                    <w:jc w:val="center"/>
                    <w:textAlignment w:val="bottom"/>
                    <w:rPr>
                      <w:rFonts w:hint="default" w:ascii="Times New Roman" w:eastAsia="宋体"/>
                      <w:color w:val="auto"/>
                      <w:sz w:val="21"/>
                      <w:szCs w:val="21"/>
                      <w:lang w:val="en-US" w:eastAsia="zh-CN"/>
                    </w:rPr>
                  </w:pPr>
                  <w:r>
                    <w:rPr>
                      <w:rFonts w:hint="eastAsia" w:ascii="Times New Roman"/>
                      <w:color w:val="auto"/>
                      <w:sz w:val="21"/>
                      <w:szCs w:val="21"/>
                      <w:highlight w:val="none"/>
                      <w:lang w:val="en-US" w:eastAsia="zh-CN"/>
                    </w:rPr>
                    <w:t>84-91</w:t>
                  </w:r>
                </w:p>
              </w:tc>
              <w:tc>
                <w:tcPr>
                  <w:tcW w:w="1060" w:type="dxa"/>
                  <w:tcBorders>
                    <w:tl2br w:val="nil"/>
                    <w:tr2bl w:val="nil"/>
                  </w:tcBorders>
                  <w:vAlign w:val="center"/>
                </w:tcPr>
                <w:p w14:paraId="16496A33">
                  <w:pPr>
                    <w:pStyle w:val="80"/>
                    <w:tabs>
                      <w:tab w:val="left" w:pos="567"/>
                    </w:tabs>
                    <w:autoSpaceDE w:val="0"/>
                    <w:autoSpaceDN w:val="0"/>
                    <w:adjustRightInd/>
                    <w:spacing w:line="240" w:lineRule="auto"/>
                    <w:jc w:val="center"/>
                    <w:textAlignment w:val="bottom"/>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30.33</w:t>
                  </w:r>
                </w:p>
              </w:tc>
              <w:tc>
                <w:tcPr>
                  <w:tcW w:w="968" w:type="dxa"/>
                  <w:tcBorders>
                    <w:tl2br w:val="nil"/>
                    <w:tr2bl w:val="nil"/>
                  </w:tcBorders>
                  <w:vAlign w:val="center"/>
                </w:tcPr>
                <w:p w14:paraId="2F70D469">
                  <w:pPr>
                    <w:pStyle w:val="80"/>
                    <w:tabs>
                      <w:tab w:val="left" w:pos="567"/>
                    </w:tabs>
                    <w:autoSpaceDE w:val="0"/>
                    <w:autoSpaceDN w:val="0"/>
                    <w:adjustRightInd/>
                    <w:spacing w:line="240" w:lineRule="auto"/>
                    <w:jc w:val="center"/>
                    <w:textAlignment w:val="bottom"/>
                    <w:rPr>
                      <w:rFonts w:hint="default" w:ascii="Times New Roman"/>
                      <w:color w:val="auto"/>
                      <w:sz w:val="21"/>
                      <w:szCs w:val="21"/>
                      <w:highlight w:val="none"/>
                      <w:lang w:val="en-US" w:eastAsia="zh-CN"/>
                    </w:rPr>
                  </w:pPr>
                  <w:r>
                    <w:rPr>
                      <w:rFonts w:hint="eastAsia" w:ascii="Times New Roman"/>
                      <w:color w:val="auto"/>
                      <w:sz w:val="21"/>
                      <w:szCs w:val="21"/>
                      <w:highlight w:val="none"/>
                      <w:lang w:val="en-US" w:eastAsia="zh-CN"/>
                    </w:rPr>
                    <w:t>0</w:t>
                  </w:r>
                </w:p>
              </w:tc>
              <w:tc>
                <w:tcPr>
                  <w:tcW w:w="985" w:type="dxa"/>
                  <w:tcBorders>
                    <w:tl2br w:val="nil"/>
                    <w:tr2bl w:val="nil"/>
                  </w:tcBorders>
                  <w:vAlign w:val="center"/>
                </w:tcPr>
                <w:p w14:paraId="28CB14CE">
                  <w:pPr>
                    <w:pStyle w:val="80"/>
                    <w:tabs>
                      <w:tab w:val="left" w:pos="567"/>
                    </w:tabs>
                    <w:autoSpaceDE w:val="0"/>
                    <w:autoSpaceDN w:val="0"/>
                    <w:adjustRightInd/>
                    <w:spacing w:line="240" w:lineRule="auto"/>
                    <w:jc w:val="center"/>
                    <w:textAlignment w:val="bottom"/>
                    <w:rPr>
                      <w:rFonts w:ascii="Times New Roman"/>
                      <w:color w:val="auto"/>
                      <w:sz w:val="21"/>
                      <w:szCs w:val="21"/>
                    </w:rPr>
                  </w:pPr>
                  <w:r>
                    <w:rPr>
                      <w:rFonts w:hint="eastAsia" w:ascii="Times New Roman"/>
                      <w:color w:val="auto"/>
                      <w:sz w:val="21"/>
                      <w:szCs w:val="21"/>
                    </w:rPr>
                    <w:t>达标</w:t>
                  </w:r>
                </w:p>
              </w:tc>
            </w:tr>
          </w:tbl>
          <w:p w14:paraId="54262351">
            <w:pPr>
              <w:pStyle w:val="81"/>
              <w:spacing w:line="360" w:lineRule="auto"/>
              <w:ind w:firstLine="480"/>
              <w:rPr>
                <w:rFonts w:hint="eastAsia"/>
                <w:color w:val="auto"/>
                <w:lang w:val="en-US" w:eastAsia="zh-CN"/>
              </w:rPr>
            </w:pPr>
            <w:r>
              <w:rPr>
                <w:rFonts w:hint="eastAsia"/>
                <w:color w:val="auto"/>
                <w:lang w:val="en-US" w:eastAsia="zh-CN"/>
              </w:rPr>
              <w:t>综合以上监测结果分析可知，监测期间项目所在区域 TSP 满足《环境空气 质量标准》</w:t>
            </w:r>
            <w:r>
              <w:rPr>
                <w:rFonts w:hint="default" w:ascii="Times New Roman" w:hAnsi="Times New Roman" w:eastAsia="宋体" w:cs="Times New Roman"/>
                <w:color w:val="auto"/>
                <w:kern w:val="21"/>
                <w:sz w:val="24"/>
                <w:szCs w:val="24"/>
                <w:highlight w:val="none"/>
              </w:rPr>
              <w:t>（GB3095-20</w:t>
            </w:r>
            <w:r>
              <w:rPr>
                <w:rFonts w:hint="eastAsia" w:cs="Times New Roman"/>
                <w:color w:val="auto"/>
                <w:kern w:val="21"/>
                <w:sz w:val="24"/>
                <w:szCs w:val="24"/>
                <w:highlight w:val="none"/>
                <w:lang w:val="en-US" w:eastAsia="zh-CN"/>
              </w:rPr>
              <w:t>26</w:t>
            </w:r>
            <w:r>
              <w:rPr>
                <w:rFonts w:hint="default" w:ascii="Times New Roman" w:hAnsi="Times New Roman" w:eastAsia="宋体" w:cs="Times New Roman"/>
                <w:color w:val="auto"/>
                <w:kern w:val="21"/>
                <w:sz w:val="24"/>
                <w:szCs w:val="24"/>
                <w:highlight w:val="none"/>
              </w:rPr>
              <w:t>）中二级标准</w:t>
            </w:r>
            <w:r>
              <w:rPr>
                <w:rFonts w:hint="eastAsia"/>
                <w:color w:val="auto"/>
                <w:lang w:val="en-US" w:eastAsia="zh-CN"/>
              </w:rPr>
              <w:t>要求，区域大气环境质量较好。</w:t>
            </w:r>
          </w:p>
          <w:p w14:paraId="0B1EE7C0">
            <w:pPr>
              <w:pStyle w:val="81"/>
              <w:spacing w:line="360" w:lineRule="auto"/>
              <w:jc w:val="both"/>
              <w:rPr>
                <w:rFonts w:hint="eastAsia"/>
                <w:color w:val="auto"/>
                <w:lang w:val="en-US" w:eastAsia="zh-CN"/>
              </w:rPr>
            </w:pPr>
            <w:r>
              <w:rPr>
                <w:sz w:val="24"/>
              </w:rPr>
              <mc:AlternateContent>
                <mc:Choice Requires="wps">
                  <w:drawing>
                    <wp:anchor distT="0" distB="0" distL="114300" distR="114300" simplePos="0" relativeHeight="251687936" behindDoc="0" locked="0" layoutInCell="1" allowOverlap="1">
                      <wp:simplePos x="0" y="0"/>
                      <wp:positionH relativeFrom="column">
                        <wp:posOffset>297180</wp:posOffset>
                      </wp:positionH>
                      <wp:positionV relativeFrom="paragraph">
                        <wp:posOffset>624840</wp:posOffset>
                      </wp:positionV>
                      <wp:extent cx="571500" cy="275590"/>
                      <wp:effectExtent l="0" t="0" r="0" b="0"/>
                      <wp:wrapNone/>
                      <wp:docPr id="88" name="文本框 88"/>
                      <wp:cNvGraphicFramePr/>
                      <a:graphic xmlns:a="http://schemas.openxmlformats.org/drawingml/2006/main">
                        <a:graphicData uri="http://schemas.microsoft.com/office/word/2010/wordprocessingShape">
                          <wps:wsp>
                            <wps:cNvSpPr txBox="1"/>
                            <wps:spPr>
                              <a:xfrm>
                                <a:off x="1961515" y="6494780"/>
                                <a:ext cx="571500" cy="27559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7B9D3D8">
                                  <w:pPr>
                                    <w:rPr>
                                      <w:rFonts w:hint="eastAsia" w:eastAsia="宋体"/>
                                      <w:lang w:eastAsia="zh-CN"/>
                                    </w:rPr>
                                  </w:pPr>
                                  <w:r>
                                    <w:rPr>
                                      <w:rFonts w:hint="eastAsia"/>
                                      <w:lang w:eastAsia="zh-CN"/>
                                    </w:rPr>
                                    <w:t>风向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3.4pt;margin-top:49.2pt;height:21.7pt;width:45pt;z-index:251687936;mso-width-relative:page;mso-height-relative:page;" filled="f" stroked="f" coordsize="21600,21600" o:gfxdata="UEsDBAoAAAAAAIdO4kAAAAAAAAAAAAAAAAAEAAAAZHJzL1BLAwQUAAAACACHTuJAt6R/rdoAAAAJ&#10;AQAADwAAAGRycy9kb3ducmV2LnhtbE2PzU7DMBCE70i8g7VI3KiTEqqQxqlQpAoJwaGlF26beJtE&#10;jdchdn/g6XFO5bazs5r5Nl9dTC9ONLrOsoJ4FoEgrq3uuFGw+1w/pCCcR9bYWyYFP+RgVdze5Jhp&#10;e+YNnba+ESGEXYYKWu+HTEpXt2TQzexAHLy9HQ36IMdG6hHPIdz0ch5FC2mw49DQ4kBlS/VhezQK&#10;3sr1B26quUl/+/L1ff8yfO++npS6v4ujJQhPF389hgk/oEMRmCp7ZO1EryBZBHKv4DlNQEz+47So&#10;wpDEKcgil/8/KP4AUEsDBBQAAAAIAIdO4kAX10J9SAIAAHMEAAAOAAAAZHJzL2Uyb0RvYy54bWyt&#10;VM1u1DAQviPxDpbvNJtl0/1Rs9XSqgipopUK4ux1nCaS/7C9TcoDwBv0xIU7z9Xn4LOTbavCoQcu&#10;znhmPDPfNzM5Ou6VJDfC+dbokuYHE0qE5qZq9XVJP386e7OgxAemKyaNFiW9FZ4er1+/OursSkxN&#10;Y2QlHEEQ7VedLWkTgl1lmeeNUMwfGCs0jLVxigVc3XVWOdYhupLZdDI5zDrjKusMF95DezoY6RjR&#10;vSSgqeuWi1PDd0roMER1QrIASL5prafrVG1dCx4u6tqLQGRJgTSkE0kgb+OZrY/Y6tox27R8LIG9&#10;pIRnmBRrNZI+hDplgZGda/8KpVrujDd1OOBGZQOQxAhQ5JNn3Fw1zIqEBVR7+0C6/39h+cebS0fa&#10;qqQL9F0zhY7f3/24//n7/td3Ah0I6qxfwe/KwjP070yPsdnrPZQRd187Fb9ARKJ9eZgXeUHJbUkP&#10;Z8vZfDFSLfpAOByKeV5M0AQOh+m8KJbJnj0Gss6H98IoEoWSOnQyEcxuzn1AUXDdu8S82py1UqZu&#10;Sk06ZH1bTNKDBwteSI2HEc5QdpRCv+1HjFtT3QKiM8OUeMvPWiQ/Zz5cMoexQL1YnHCBo5YGScwo&#10;UdIY9+1f+uiPbsFKSYcxK6n/umNOUCI/aPRxmc9mcS7TZVbMp7i4p5btU4veqRODSc6xopYnMfoH&#10;uRdrZ9QX7NcmZoWJaY7cJQ178SQMw4/95GKzSU6YRMvCub6yPIYe6NzsgqnbxHSkaeBmZA+zmBow&#10;7k0c9qf35PX4r1j/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Lekf63aAAAACQEAAA8AAAAAAAAA&#10;AQAgAAAAIgAAAGRycy9kb3ducmV2LnhtbFBLAQIUABQAAAAIAIdO4kAX10J9SAIAAHMEAAAOAAAA&#10;AAAAAAEAIAAAACkBAABkcnMvZTJvRG9jLnhtbFBLBQYAAAAABgAGAFkBAADjBQAAAAA=&#10;">
                      <v:fill on="f" focussize="0,0"/>
                      <v:stroke on="f" weight="0.5pt"/>
                      <v:imagedata o:title=""/>
                      <o:lock v:ext="edit" aspectratio="f"/>
                      <v:textbox>
                        <w:txbxContent>
                          <w:p w14:paraId="37B9D3D8">
                            <w:pPr>
                              <w:rPr>
                                <w:rFonts w:hint="eastAsia" w:eastAsia="宋体"/>
                                <w:lang w:eastAsia="zh-CN"/>
                              </w:rPr>
                            </w:pPr>
                            <w:r>
                              <w:rPr>
                                <w:rFonts w:hint="eastAsia"/>
                                <w:lang w:eastAsia="zh-CN"/>
                              </w:rPr>
                              <w:t>风向</w:t>
                            </w:r>
                          </w:p>
                        </w:txbxContent>
                      </v:textbox>
                    </v:shape>
                  </w:pict>
                </mc:Fallback>
              </mc:AlternateContent>
            </w:r>
            <w:r>
              <w:rPr>
                <w:sz w:val="24"/>
              </w:rPr>
              <mc:AlternateContent>
                <mc:Choice Requires="wps">
                  <w:drawing>
                    <wp:anchor distT="0" distB="0" distL="114300" distR="114300" simplePos="0" relativeHeight="251686912" behindDoc="0" locked="0" layoutInCell="1" allowOverlap="1">
                      <wp:simplePos x="0" y="0"/>
                      <wp:positionH relativeFrom="column">
                        <wp:posOffset>316230</wp:posOffset>
                      </wp:positionH>
                      <wp:positionV relativeFrom="paragraph">
                        <wp:posOffset>862965</wp:posOffset>
                      </wp:positionV>
                      <wp:extent cx="447675" cy="0"/>
                      <wp:effectExtent l="0" t="57150" r="9525" b="57150"/>
                      <wp:wrapNone/>
                      <wp:docPr id="87" name="直接箭头连接符 87"/>
                      <wp:cNvGraphicFramePr/>
                      <a:graphic xmlns:a="http://schemas.openxmlformats.org/drawingml/2006/main">
                        <a:graphicData uri="http://schemas.microsoft.com/office/word/2010/wordprocessingShape">
                          <wps:wsp>
                            <wps:cNvCnPr/>
                            <wps:spPr>
                              <a:xfrm>
                                <a:off x="1809115" y="6704330"/>
                                <a:ext cx="447675" cy="0"/>
                              </a:xfrm>
                              <a:prstGeom prst="straightConnector1">
                                <a:avLst/>
                              </a:prstGeom>
                              <a:ln>
                                <a:solidFill>
                                  <a:srgbClr val="FFFF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24.9pt;margin-top:67.95pt;height:0pt;width:35.25pt;z-index:251686912;mso-width-relative:page;mso-height-relative:page;" filled="f" stroked="t" coordsize="21600,21600" o:gfxdata="UEsDBAoAAAAAAIdO4kAAAAAAAAAAAAAAAAAEAAAAZHJzL1BLAwQUAAAACACHTuJAX5Qo99YAAAAK&#10;AQAADwAAAGRycy9kb3ducmV2LnhtbE2Py2rDMBBF94X+g5hCNyWRErchdixnkZJlKU1LIbuJNbFM&#10;rJGxlEf/vgoUmuV9cOdMuby4TpxoCK1nDZOxAkFce9Nyo+Hrcz2agwgR2WDnmTT8UIBldX9XYmH8&#10;mT/otImNSCMcCtRgY+wLKUNtyWEY+544ZXs/OIxJDo00A57TuOvkVKmZdNhyumCxp5Wl+rA5Og3b&#10;dVT4vbXydRWeZoc87N/m2bvWjw8TtQAR6RL/y3DFT+hQJaadP7IJotPwnCfymPzsJQdxLUxVBmL3&#10;58iqlLcvVL9QSwMEFAAAAAgAh07iQJWjXtoJAgAA1QMAAA4AAABkcnMvZTJvRG9jLnhtbK1TzY7T&#10;MBC+I/EOlu80abfblqjpHlrKBUEl4AFcx0ks+U9jb9O+BC+AxAk4sZz2ztPA8hiMnbALy2UP5OCM&#10;PTOf5/tmvLw4akUOAry0pqTjUU6JMNxW0jQlfftm+2RBiQ/MVExZI0p6Ep5erB4/WnauEBPbWlUJ&#10;IAhifNG5krYhuCLLPG+FZn5knTDorC1oFnALTVYB6xBdq2yS57Oss1A5sFx4j6eb3kkHRHgIoK1r&#10;ycXG8kstTOhRQSgWkJJvpfN0laqta8HDq7r2IhBVUmQa0oqXoL2Pa7ZasqIB5lrJhxLYQ0q4x0kz&#10;afDSW6gNC4xcgvwHSksO1ts6jLjVWU8kKYIsxvk9bV63zInEBaX27lZ0//9g+cvDDoisSrqYU2KY&#10;xo7fvL/+8e7Tzder7x+vf377EO0vnwn6UazO+QJz1mYHw867HUTmxxp0/CMncsTBWuRPx+NzSk4l&#10;nc3z6dnZILY4BsIxYDqdz+bo5xiQXNkdhgMfngurSTRK6gMw2bRhbY3BjloYJ63Z4YUPWAUm/k6I&#10;BRi7lUqlxipDupJOzqc59psznNYapwRN7ZCxNw0lTDX4DHiABOmtklVMj0Aemv1aATkwHJ4tfojS&#10;X/dXWLx7w3zbxyVXP1aBSfXMVCScHKrKAGw35CuDVUcpe/GitbfVKWmazrHbidcwmXGc/tyn7LvX&#10;uPo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X5Qo99YAAAAKAQAADwAAAAAAAAABACAAAAAiAAAA&#10;ZHJzL2Rvd25yZXYueG1sUEsBAhQAFAAAAAgAh07iQJWjXtoJAgAA1QMAAA4AAAAAAAAAAQAgAAAA&#10;JQEAAGRycy9lMm9Eb2MueG1sUEsFBgAAAAAGAAYAWQEAAKAFAAAAAA==&#10;">
                      <v:fill on="f" focussize="0,0"/>
                      <v:stroke weight="2pt" color="#FFFF00 [3204]" joinstyle="round" endarrow="open"/>
                      <v:imagedata o:title=""/>
                      <o:lock v:ext="edit" aspectratio="f"/>
                    </v:shape>
                  </w:pict>
                </mc:Fallback>
              </mc:AlternateContent>
            </w:r>
            <w:r>
              <w:rPr>
                <w:color w:val="auto"/>
                <w:sz w:val="24"/>
              </w:rPr>
              <mc:AlternateContent>
                <mc:Choice Requires="wps">
                  <w:drawing>
                    <wp:anchor distT="0" distB="0" distL="114300" distR="114300" simplePos="0" relativeHeight="251673600" behindDoc="0" locked="0" layoutInCell="1" allowOverlap="1">
                      <wp:simplePos x="0" y="0"/>
                      <wp:positionH relativeFrom="column">
                        <wp:posOffset>2124075</wp:posOffset>
                      </wp:positionH>
                      <wp:positionV relativeFrom="paragraph">
                        <wp:posOffset>1236345</wp:posOffset>
                      </wp:positionV>
                      <wp:extent cx="588645" cy="278765"/>
                      <wp:effectExtent l="0" t="0" r="0" b="0"/>
                      <wp:wrapNone/>
                      <wp:docPr id="59" name="文本框 59"/>
                      <wp:cNvGraphicFramePr/>
                      <a:graphic xmlns:a="http://schemas.openxmlformats.org/drawingml/2006/main">
                        <a:graphicData uri="http://schemas.microsoft.com/office/word/2010/wordprocessingShape">
                          <wps:wsp>
                            <wps:cNvSpPr txBox="1"/>
                            <wps:spPr>
                              <a:xfrm>
                                <a:off x="3683635" y="6664960"/>
                                <a:ext cx="588645" cy="2787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E7AB74F">
                                  <w:pPr>
                                    <w:rPr>
                                      <w:rFonts w:hint="default" w:eastAsia="宋体"/>
                                      <w:color w:val="FFFF00"/>
                                      <w:highlight w:val="none"/>
                                      <w:lang w:val="en-US" w:eastAsia="zh-CN"/>
                                    </w:rPr>
                                  </w:pPr>
                                  <w:r>
                                    <w:rPr>
                                      <w:rFonts w:hint="eastAsia"/>
                                      <w:color w:val="FFFF00"/>
                                      <w:highlight w:val="none"/>
                                      <w:lang w:val="en-US" w:eastAsia="zh-CN"/>
                                    </w:rPr>
                                    <w:t>2101m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7.25pt;margin-top:97.35pt;height:21.95pt;width:46.35pt;z-index:251673600;mso-width-relative:page;mso-height-relative:page;" filled="f" stroked="f" coordsize="21600,21600" o:gfxdata="UEsDBAoAAAAAAIdO4kAAAAAAAAAAAAAAAAAEAAAAZHJzL1BLAwQUAAAACACHTuJAL7SI8NwAAAAL&#10;AQAADwAAAGRycy9kb3ducmV2LnhtbE2Py07DMBBF90j8gzVI7KhTJ21DiFOhSBUSgkVLN+wm8TSJ&#10;8CPE7gO+HrOC5ege3XumXF+MZiea/OCshPksAUa2dWqwnYT92+YuB+YDWoXaWZLwRR7W1fVViYVy&#10;Z7ul0y50LJZYX6CEPoSx4Ny3PRn0MzeSjdnBTQZDPKeOqwnPsdxoLpJkyQ0ONi70OFLdU/uxOxoJ&#10;z/XmFbeNMPm3rp9eDo/j5/59IeXtzTx5ABboEv5g+NWP6lBFp8YdrfJMS0jTbBHRGNxnK2CRyMRK&#10;AGskiDRfAq9K/v+H6gdQSwMEFAAAAAgAh07iQKRHdkFIAgAAcwQAAA4AAABkcnMvZTJvRG9jLnht&#10;bK1US27bMBDdF+gdCO4b+St/EDlwE6QoYDQB3KJrmiItASSHJelI6QHaG3TVTfc9V87RISUnRtpF&#10;Ft3QQ874Dd+bR51ftFqRO+F8Daagw7MBJcJwKGuzL+inj9dv5pT4wEzJFBhR0Hvh6cXq9avzxi7F&#10;CCpQpXAEQYxfNragVQh2mWWeV0IzfwZWGExKcJoF3Lp9VjrWILpW2WgwyLMGXGkdcOE9nl51Sdoj&#10;upcAgpQ1F1fAD1qY0KE6oVhASr6qraerdFspBQ83UnoRiCooMg1pxSYY7+Karc7Zcu+YrWreX4G9&#10;5ArPOGlWG2z6CHXFAiMHV/8FpWvuwIMMZxx01hFJiiCL4eCZNtuKWZG4oNTePoru/x8s/3B360hd&#10;FnS6oMQwjRN/+PH94efvh1/fCJ6hQI31S6zbWqwM7Vto0TbHc4+HkXcrnY6/yIhgfpzPx/l4Ssl9&#10;QfM8nyzyXmrRBsKxYDqf5xPMcywYzeazfBoRsycg63x4J0CTGBTU4SSTwOxu40NXeiyJfQ1c10ql&#10;aSpDGuw6ng7SHx4zCK4M9oh0umvHKLS7tue4g/IeKTroXOItv66x+Yb5cMsc2gJNgw8n3OAiFWAT&#10;6CNKKnBf/3Ue63FamKWkQZsV1H85MCcoUe8NznExnEyiL9NmMp2NcONOM7vTjDnoS0AnD/GJWp7C&#10;WB/UMZQO9Gd8X+vYFVPMcOxd0HAML0NnfnyfXKzXqQidaFnYmK3lEbqTc30IIOukdJSp06ZXD72Y&#10;ZtW/m2j2032qevpWr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L7SI8NwAAAALAQAADwAAAAAA&#10;AAABACAAAAAiAAAAZHJzL2Rvd25yZXYueG1sUEsBAhQAFAAAAAgAh07iQKRHdkFIAgAAcwQAAA4A&#10;AAAAAAAAAQAgAAAAKwEAAGRycy9lMm9Eb2MueG1sUEsFBgAAAAAGAAYAWQEAAOUFAAAAAA==&#10;">
                      <v:fill on="f" focussize="0,0"/>
                      <v:stroke on="f" weight="0.5pt"/>
                      <v:imagedata o:title=""/>
                      <o:lock v:ext="edit" aspectratio="f"/>
                      <v:textbox>
                        <w:txbxContent>
                          <w:p w14:paraId="7E7AB74F">
                            <w:pPr>
                              <w:rPr>
                                <w:rFonts w:hint="default" w:eastAsia="宋体"/>
                                <w:color w:val="FFFF00"/>
                                <w:highlight w:val="none"/>
                                <w:lang w:val="en-US" w:eastAsia="zh-CN"/>
                              </w:rPr>
                            </w:pPr>
                            <w:r>
                              <w:rPr>
                                <w:rFonts w:hint="eastAsia"/>
                                <w:color w:val="FFFF00"/>
                                <w:highlight w:val="none"/>
                                <w:lang w:val="en-US" w:eastAsia="zh-CN"/>
                              </w:rPr>
                              <w:t>2101m</w:t>
                            </w:r>
                          </w:p>
                        </w:txbxContent>
                      </v:textbox>
                    </v:shape>
                  </w:pict>
                </mc:Fallback>
              </mc:AlternateContent>
            </w:r>
            <w:r>
              <w:rPr>
                <w:color w:val="auto"/>
                <w:sz w:val="24"/>
              </w:rPr>
              <mc:AlternateContent>
                <mc:Choice Requires="wps">
                  <w:drawing>
                    <wp:anchor distT="0" distB="0" distL="114300" distR="114300" simplePos="0" relativeHeight="251672576" behindDoc="0" locked="0" layoutInCell="1" allowOverlap="1">
                      <wp:simplePos x="0" y="0"/>
                      <wp:positionH relativeFrom="column">
                        <wp:posOffset>687705</wp:posOffset>
                      </wp:positionH>
                      <wp:positionV relativeFrom="paragraph">
                        <wp:posOffset>1290955</wp:posOffset>
                      </wp:positionV>
                      <wp:extent cx="3009900" cy="381000"/>
                      <wp:effectExtent l="1905" t="12700" r="17145" b="25400"/>
                      <wp:wrapNone/>
                      <wp:docPr id="58" name="直接连接符 58"/>
                      <wp:cNvGraphicFramePr/>
                      <a:graphic xmlns:a="http://schemas.openxmlformats.org/drawingml/2006/main">
                        <a:graphicData uri="http://schemas.microsoft.com/office/word/2010/wordprocessingShape">
                          <wps:wsp>
                            <wps:cNvCnPr/>
                            <wps:spPr>
                              <a:xfrm>
                                <a:off x="2670175" y="6760210"/>
                                <a:ext cx="3009900" cy="381000"/>
                              </a:xfrm>
                              <a:prstGeom prst="line">
                                <a:avLst/>
                              </a:prstGeom>
                              <a:ln>
                                <a:solidFill>
                                  <a:srgbClr val="FFFF00"/>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54.15pt;margin-top:101.65pt;height:30pt;width:237pt;z-index:251672576;mso-width-relative:page;mso-height-relative:page;" filled="f" stroked="t" coordsize="21600,21600" o:gfxdata="UEsDBAoAAAAAAIdO4kAAAAAAAAAAAAAAAAAEAAAAZHJzL1BLAwQUAAAACACHTuJAH2W7jdYAAAAL&#10;AQAADwAAAGRycy9kb3ducmV2LnhtbE1PQWrDMBC8F/oHsYXeGskOMca1HEhxSij0UKcPUKytbWKt&#10;jKXE6e+7PbW3mdlhdqbc3tworjiHwZOGZKVAILXeDtRp+Dzun3IQIRqyZvSEGr4xwLa6vytNYf1C&#10;H3htYic4hEJhNPQxToWUoe3RmbDyExLfvvzsTGQ6d9LOZuFwN8pUqUw6MxB/6M2ELz225+biNLwv&#10;uN/ErH+tD8e3pk7q3fkQd1o/PiTqGUTEW/wzw299rg4Vdzr5C9kgRuYqX7NVQ6rWDNixyVMGJ1Yy&#10;VmRVyv8bqh9QSwMEFAAAAAgAh07iQMlJxgfrAQAArgMAAA4AAABkcnMvZTJvRG9jLnhtbK1TzY7T&#10;MBC+I/EOlu80aZe2u1HTPWxVLggqAQ/gOnZiyX/yeJv2JXgBJG5w4sidt9nlMRg7oQvLZQ/04I5n&#10;xt/M981kdX00mhxEAOVsTaeTkhJhuWuUbWv64f32xSUlEJltmHZW1PQkgF6vnz9b9b4SM9c53YhA&#10;EMRC1fuadjH6qiiAd8IwmDgvLAalC4ZFvIa2aALrEd3oYlaWi6J3ofHBcQGA3s0QpCNieAqgk1Jx&#10;sXH81ggbB9QgNItICTrlga5zt1IKHt9KCSISXVNkGvOJRdDep7NYr1jVBuY7xccW2FNaeMTJMGWx&#10;6BlqwyIjt0H9A2UUDw6cjBPuTDEQyYogi2n5SJt3HfMic0GpwZ9Fh/8Hy98cdoGopqZznLtlBid+&#10;/+n73ccvP398xvP+21eCEZSp91Bh9o3dhfEGfhcS56MMJv0jG3Ks6WyxLKfLOSWnmi6Wi3I2HWUW&#10;x0g4JlyU5dVViRPgmHFxOS3RRsjiAckHiK+EMyQZNdXKJhlYxQ6vIQ6pv1OS27qt0hr9rNKW9NjC&#10;/GXGZ7ifEvcCSxmPHMG2lDDd4uLzGDIkOK2a9Dy9htDub3QgB4brssXfubO/0lLtDYNuyMuhkYC2&#10;yCMpNWiTrL1rTlmy7McxZqbjyqU9+fOeXz98Zu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H2W7&#10;jdYAAAALAQAADwAAAAAAAAABACAAAAAiAAAAZHJzL2Rvd25yZXYueG1sUEsBAhQAFAAAAAgAh07i&#10;QMlJxgfrAQAArgMAAA4AAAAAAAAAAQAgAAAAJQEAAGRycy9lMm9Eb2MueG1sUEsFBgAAAAAGAAYA&#10;WQEAAIIFAAAAAA==&#10;">
                      <v:fill on="f" focussize="0,0"/>
                      <v:stroke weight="2pt" color="#FFFF00 [3204]" joinstyle="round"/>
                      <v:imagedata o:title=""/>
                      <o:lock v:ext="edit" aspectratio="f"/>
                    </v:line>
                  </w:pict>
                </mc:Fallback>
              </mc:AlternateContent>
            </w:r>
            <w:r>
              <w:rPr>
                <w:rFonts w:hint="eastAsia"/>
                <w:color w:val="auto"/>
                <w:lang w:val="en-US" w:eastAsia="zh-CN"/>
              </w:rPr>
              <w:drawing>
                <wp:inline distT="0" distB="0" distL="114300" distR="114300">
                  <wp:extent cx="4479290" cy="2676525"/>
                  <wp:effectExtent l="0" t="0" r="16510" b="9525"/>
                  <wp:docPr id="54" name="图片 54" descr="引用TSP监测点位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引用TSP监测点位示意图"/>
                          <pic:cNvPicPr>
                            <a:picLocks noChangeAspect="1"/>
                          </pic:cNvPicPr>
                        </pic:nvPicPr>
                        <pic:blipFill>
                          <a:blip r:embed="rId18"/>
                          <a:stretch>
                            <a:fillRect/>
                          </a:stretch>
                        </pic:blipFill>
                        <pic:spPr>
                          <a:xfrm>
                            <a:off x="0" y="0"/>
                            <a:ext cx="4479290" cy="2676525"/>
                          </a:xfrm>
                          <a:prstGeom prst="rect">
                            <a:avLst/>
                          </a:prstGeom>
                        </pic:spPr>
                      </pic:pic>
                    </a:graphicData>
                  </a:graphic>
                </wp:inline>
              </w:drawing>
            </w:r>
          </w:p>
          <w:p w14:paraId="2580924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eastAsia"/>
                <w:color w:val="auto"/>
                <w:highlight w:val="none"/>
                <w:lang w:val="en-US" w:eastAsia="zh-CN"/>
              </w:rPr>
            </w:pPr>
            <w:r>
              <w:rPr>
                <w:rFonts w:hint="eastAsia" w:cs="Times New Roman"/>
                <w:b/>
                <w:bCs/>
                <w:color w:val="auto"/>
                <w:kern w:val="0"/>
                <w:sz w:val="24"/>
                <w:szCs w:val="24"/>
                <w:highlight w:val="none"/>
                <w:lang w:eastAsia="zh-CN" w:bidi="ar"/>
              </w:rPr>
              <w:t>图</w:t>
            </w:r>
            <w:r>
              <w:rPr>
                <w:rFonts w:hint="eastAsia" w:cs="Times New Roman"/>
                <w:b/>
                <w:bCs/>
                <w:color w:val="auto"/>
                <w:kern w:val="0"/>
                <w:sz w:val="24"/>
                <w:szCs w:val="24"/>
                <w:highlight w:val="none"/>
                <w:lang w:val="en-US" w:eastAsia="zh-CN" w:bidi="ar"/>
              </w:rPr>
              <w:t>3-1 大气环境监测点位图</w:t>
            </w:r>
          </w:p>
          <w:p w14:paraId="47E42CAD">
            <w:pPr>
              <w:spacing w:line="360" w:lineRule="auto"/>
              <w:ind w:firstLine="482" w:firstLineChars="200"/>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val="en-US" w:eastAsia="zh-CN"/>
              </w:rPr>
              <w:t>二</w:t>
            </w:r>
            <w:r>
              <w:rPr>
                <w:rFonts w:hint="default" w:ascii="Times New Roman" w:hAnsi="Times New Roman" w:eastAsia="宋体" w:cs="Times New Roman"/>
                <w:b/>
                <w:color w:val="auto"/>
                <w:sz w:val="24"/>
                <w:szCs w:val="24"/>
                <w:highlight w:val="none"/>
              </w:rPr>
              <w:t>、水环境现状</w:t>
            </w:r>
          </w:p>
          <w:p w14:paraId="3F7367B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lang w:eastAsia="zh-CN"/>
              </w:rPr>
              <w:t>本项目附近地表水体为</w:t>
            </w:r>
            <w:r>
              <w:rPr>
                <w:rFonts w:hint="default" w:ascii="Times New Roman" w:hAnsi="Times New Roman" w:cs="Times New Roman"/>
                <w:color w:val="auto"/>
                <w:sz w:val="24"/>
                <w:szCs w:val="24"/>
              </w:rPr>
              <w:t>滴道河，发源于鸡西市辖鸡东县兴农乡，流经滴道区团山子村、鸡场村、河东村，于滴道镇东南注入穆稜河。河长43公里，流域面积689平方公里，年</w:t>
            </w:r>
            <w:r>
              <w:rPr>
                <w:rFonts w:hint="default" w:ascii="Times New Roman" w:hAnsi="Times New Roman" w:cs="Times New Roman"/>
                <w:color w:val="auto"/>
                <w:sz w:val="24"/>
                <w:szCs w:val="24"/>
                <w:lang w:eastAsia="zh-CN"/>
              </w:rPr>
              <w:t>径</w:t>
            </w:r>
            <w:r>
              <w:rPr>
                <w:rFonts w:hint="default" w:ascii="Times New Roman" w:hAnsi="Times New Roman" w:cs="Times New Roman"/>
                <w:color w:val="auto"/>
                <w:sz w:val="24"/>
                <w:szCs w:val="24"/>
              </w:rPr>
              <w:t>流量1.26亿立方米。流经市区河长15公里。</w:t>
            </w:r>
          </w:p>
          <w:p w14:paraId="0C59FA0B">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cs="Times New Roman"/>
                <w:color w:val="auto"/>
              </w:rPr>
            </w:pPr>
            <w:r>
              <w:rPr>
                <w:rFonts w:hint="default" w:ascii="Times New Roman" w:hAnsi="Times New Roman" w:eastAsia="宋体" w:cs="Times New Roman"/>
                <w:color w:val="auto"/>
                <w:sz w:val="24"/>
                <w:szCs w:val="24"/>
                <w:highlight w:val="none"/>
                <w:shd w:val="clear" w:color="auto" w:fill="auto"/>
                <w:lang w:val="en-US" w:eastAsia="zh-CN"/>
              </w:rPr>
              <w:t>穆棱河</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鸡古路西</w:t>
            </w:r>
            <w:r>
              <w:rPr>
                <w:rFonts w:hint="default" w:ascii="Times New Roman" w:hAnsi="Times New Roman" w:cs="Times New Roman"/>
                <w:color w:val="auto"/>
                <w:sz w:val="24"/>
                <w:szCs w:val="24"/>
                <w:lang w:val="en-US" w:eastAsia="zh-CN"/>
              </w:rPr>
              <w:t>100m</w:t>
            </w:r>
            <w:r>
              <w:rPr>
                <w:rFonts w:hint="default" w:ascii="Times New Roman" w:hAnsi="Times New Roman" w:cs="Times New Roman"/>
                <w:color w:val="auto"/>
                <w:sz w:val="24"/>
                <w:szCs w:val="24"/>
              </w:rPr>
              <w:t>-</w:t>
            </w:r>
            <w:r>
              <w:rPr>
                <w:rFonts w:hint="default" w:ascii="Times New Roman" w:hAnsi="Times New Roman" w:cs="Times New Roman"/>
                <w:color w:val="auto"/>
                <w:sz w:val="24"/>
                <w:szCs w:val="24"/>
                <w:lang w:eastAsia="zh-CN"/>
              </w:rPr>
              <w:t>凯北站</w:t>
            </w:r>
            <w:r>
              <w:rPr>
                <w:rFonts w:hint="default" w:ascii="Times New Roman" w:hAnsi="Times New Roman" w:cs="Times New Roman"/>
                <w:color w:val="auto"/>
                <w:sz w:val="24"/>
                <w:szCs w:val="24"/>
              </w:rPr>
              <w:t>）</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根据</w:t>
            </w:r>
            <w:r>
              <w:rPr>
                <w:rFonts w:hint="default" w:ascii="Times New Roman" w:hAnsi="Times New Roman" w:eastAsia="宋体" w:cs="Times New Roman"/>
                <w:bCs/>
                <w:color w:val="auto"/>
                <w:sz w:val="24"/>
                <w:highlight w:val="none"/>
              </w:rPr>
              <w:t>《全国重要江河湖泊水功能区划（2011-2030年）》</w:t>
            </w:r>
            <w:r>
              <w:rPr>
                <w:rFonts w:hint="default" w:ascii="Times New Roman" w:hAnsi="Times New Roman" w:eastAsia="宋体" w:cs="Times New Roman"/>
                <w:bCs/>
                <w:color w:val="auto"/>
                <w:sz w:val="24"/>
                <w:highlight w:val="none"/>
                <w:lang w:eastAsia="zh-CN"/>
              </w:rPr>
              <w:t>，</w:t>
            </w:r>
            <w:r>
              <w:rPr>
                <w:rFonts w:hint="default" w:ascii="Times New Roman" w:hAnsi="Times New Roman" w:eastAsia="宋体" w:cs="Times New Roman"/>
                <w:bCs/>
                <w:color w:val="auto"/>
                <w:sz w:val="24"/>
                <w:highlight w:val="none"/>
                <w:lang w:val="en-US" w:eastAsia="zh-CN"/>
              </w:rPr>
              <w:t>规</w:t>
            </w:r>
            <w:r>
              <w:rPr>
                <w:rFonts w:hint="default" w:ascii="Times New Roman" w:hAnsi="Times New Roman" w:cs="Times New Roman"/>
                <w:color w:val="auto"/>
                <w:sz w:val="24"/>
                <w:szCs w:val="24"/>
                <w:lang w:val="en-US" w:eastAsia="zh-CN"/>
              </w:rPr>
              <w:t>划水体类别为</w:t>
            </w:r>
            <w:r>
              <w:rPr>
                <w:rFonts w:hint="default" w:ascii="Times New Roman" w:hAnsi="Times New Roman" w:eastAsia="宋体" w:cs="Times New Roman"/>
                <w:color w:val="auto"/>
                <w:sz w:val="24"/>
                <w:szCs w:val="24"/>
                <w:highlight w:val="none"/>
                <w:shd w:val="clear" w:color="auto" w:fill="auto"/>
                <w:lang w:val="en-US" w:eastAsia="zh-CN"/>
              </w:rPr>
              <w:t>Ⅲ类</w:t>
            </w:r>
            <w:r>
              <w:rPr>
                <w:rFonts w:hint="default" w:ascii="Times New Roman" w:hAnsi="Times New Roman" w:cs="Times New Roman"/>
                <w:color w:val="auto"/>
                <w:sz w:val="24"/>
                <w:szCs w:val="24"/>
                <w:lang w:eastAsia="zh-CN"/>
              </w:rPr>
              <w:t>。</w:t>
            </w:r>
            <w:r>
              <w:rPr>
                <w:rFonts w:hint="default" w:ascii="Times New Roman" w:hAnsi="Times New Roman" w:eastAsia="宋体" w:cs="Times New Roman"/>
                <w:color w:val="auto"/>
                <w:sz w:val="24"/>
                <w:szCs w:val="24"/>
              </w:rPr>
              <w:t>根据鸡西市生态环境局网站公布的202</w:t>
            </w:r>
            <w:r>
              <w:rPr>
                <w:rFonts w:hint="eastAsia" w:cs="Times New Roman"/>
                <w:color w:val="auto"/>
                <w:sz w:val="24"/>
                <w:szCs w:val="24"/>
                <w:lang w:val="en-US" w:eastAsia="zh-CN"/>
              </w:rPr>
              <w:t>3</w:t>
            </w:r>
            <w:r>
              <w:rPr>
                <w:rFonts w:hint="default" w:ascii="Times New Roman" w:hAnsi="Times New Roman" w:eastAsia="宋体" w:cs="Times New Roman"/>
                <w:color w:val="auto"/>
                <w:sz w:val="24"/>
                <w:szCs w:val="24"/>
              </w:rPr>
              <w:t>年～</w:t>
            </w:r>
            <w:r>
              <w:rPr>
                <w:rFonts w:hint="default" w:ascii="Times New Roman" w:hAnsi="Times New Roman" w:eastAsia="宋体" w:cs="Times New Roman"/>
                <w:color w:val="auto"/>
                <w:sz w:val="24"/>
                <w:szCs w:val="24"/>
                <w:lang w:val="en-US" w:eastAsia="zh-CN"/>
              </w:rPr>
              <w:t>202</w:t>
            </w:r>
            <w:r>
              <w:rPr>
                <w:rFonts w:hint="eastAsia" w:cs="Times New Roman"/>
                <w:color w:val="auto"/>
                <w:sz w:val="24"/>
                <w:szCs w:val="24"/>
                <w:lang w:val="en-US" w:eastAsia="zh-CN"/>
              </w:rPr>
              <w:t>5</w:t>
            </w:r>
            <w:r>
              <w:rPr>
                <w:rFonts w:hint="default" w:ascii="Times New Roman" w:hAnsi="Times New Roman" w:eastAsia="宋体" w:cs="Times New Roman"/>
                <w:color w:val="auto"/>
                <w:sz w:val="24"/>
                <w:szCs w:val="24"/>
                <w:lang w:eastAsia="zh-CN"/>
              </w:rPr>
              <w:t>年</w:t>
            </w:r>
            <w:r>
              <w:rPr>
                <w:rFonts w:hint="default" w:ascii="Times New Roman" w:hAnsi="Times New Roman" w:eastAsia="宋体" w:cs="Times New Roman"/>
                <w:color w:val="auto"/>
                <w:sz w:val="24"/>
                <w:szCs w:val="24"/>
                <w:highlight w:val="none"/>
                <w:shd w:val="clear" w:color="auto" w:fill="auto"/>
                <w:lang w:val="en-US" w:eastAsia="zh-CN"/>
              </w:rPr>
              <w:t>，</w:t>
            </w:r>
            <w:r>
              <w:rPr>
                <w:rFonts w:hint="default" w:ascii="Times New Roman" w:hAnsi="Times New Roman" w:eastAsia="宋体" w:cs="Times New Roman"/>
                <w:color w:val="auto"/>
                <w:sz w:val="24"/>
                <w:szCs w:val="24"/>
              </w:rPr>
              <w:t>《鸡西市地表水国控考核断面水质信息公开》</w:t>
            </w:r>
            <w:r>
              <w:rPr>
                <w:rFonts w:hint="eastAsia" w:eastAsia="宋体" w:cs="Times New Roman"/>
                <w:color w:val="auto"/>
                <w:sz w:val="24"/>
                <w:szCs w:val="24"/>
                <w:lang w:eastAsia="zh-CN"/>
              </w:rPr>
              <w:t>，知一桥断面和穆棱河河口内断面全年达到</w:t>
            </w:r>
            <w:r>
              <w:rPr>
                <w:rFonts w:hint="eastAsia" w:ascii="宋体" w:hAnsi="宋体" w:eastAsia="宋体" w:cs="宋体"/>
                <w:color w:val="auto"/>
                <w:sz w:val="24"/>
                <w:szCs w:val="24"/>
                <w:lang w:val="en-US" w:eastAsia="zh-CN"/>
              </w:rPr>
              <w:t>Ⅲ</w:t>
            </w:r>
            <w:r>
              <w:rPr>
                <w:rFonts w:hint="eastAsia" w:eastAsia="宋体" w:cs="Times New Roman"/>
                <w:color w:val="auto"/>
                <w:sz w:val="24"/>
                <w:szCs w:val="24"/>
                <w:lang w:eastAsia="zh-CN"/>
              </w:rPr>
              <w:t>类水质类别标准</w:t>
            </w:r>
            <w:r>
              <w:rPr>
                <w:rFonts w:hint="eastAsia" w:eastAsia="宋体" w:cs="Times New Roman"/>
                <w:color w:val="auto"/>
                <w:sz w:val="24"/>
                <w:szCs w:val="24"/>
                <w:lang w:val="en-US" w:eastAsia="zh-CN"/>
              </w:rPr>
              <w:t>。</w:t>
            </w:r>
          </w:p>
          <w:p w14:paraId="0FA8B507">
            <w:pPr>
              <w:spacing w:line="360" w:lineRule="auto"/>
              <w:ind w:firstLine="482" w:firstLineChars="200"/>
              <w:rPr>
                <w:rFonts w:hint="default" w:ascii="Times New Roman" w:hAnsi="Times New Roman" w:cs="Times New Roman"/>
                <w:b/>
                <w:color w:val="auto"/>
                <w:sz w:val="24"/>
                <w:szCs w:val="24"/>
                <w:highlight w:val="none"/>
              </w:rPr>
            </w:pPr>
            <w:r>
              <w:rPr>
                <w:rFonts w:hint="eastAsia" w:cs="Times New Roman"/>
                <w:b/>
                <w:color w:val="auto"/>
                <w:sz w:val="24"/>
                <w:szCs w:val="24"/>
                <w:highlight w:val="none"/>
                <w:lang w:val="en-US" w:eastAsia="zh-CN"/>
              </w:rPr>
              <w:t>三</w:t>
            </w:r>
            <w:r>
              <w:rPr>
                <w:rFonts w:hint="default" w:ascii="Times New Roman" w:hAnsi="Times New Roman" w:eastAsia="宋体" w:cs="Times New Roman"/>
                <w:b/>
                <w:color w:val="auto"/>
                <w:sz w:val="24"/>
                <w:szCs w:val="24"/>
                <w:highlight w:val="none"/>
              </w:rPr>
              <w:t>、声环境状况</w:t>
            </w:r>
          </w:p>
          <w:p w14:paraId="70FE1E97">
            <w:pPr>
              <w:spacing w:line="360" w:lineRule="auto"/>
              <w:ind w:firstLine="480" w:firstLineChars="200"/>
              <w:rPr>
                <w:rFonts w:hint="default" w:ascii="Times New Roman" w:hAnsi="Times New Roman" w:eastAsia="宋体" w:cs="Times New Roman"/>
                <w:b w:val="0"/>
                <w:bCs/>
                <w:color w:val="auto"/>
                <w:kern w:val="0"/>
                <w:sz w:val="24"/>
                <w:szCs w:val="24"/>
                <w:lang w:val="en-US" w:eastAsia="zh-CN" w:bidi="ar-SA"/>
              </w:rPr>
            </w:pPr>
            <w:r>
              <w:rPr>
                <w:rFonts w:hint="default" w:ascii="Times New Roman" w:hAnsi="Times New Roman" w:cs="Times New Roman"/>
                <w:color w:val="auto"/>
                <w:sz w:val="24"/>
                <w:szCs w:val="24"/>
                <w:highlight w:val="none"/>
                <w:lang w:val="en-US" w:eastAsia="zh-CN"/>
              </w:rPr>
              <w:t>根据《</w:t>
            </w:r>
            <w:r>
              <w:rPr>
                <w:rFonts w:hint="default" w:ascii="Times New Roman" w:hAnsi="Times New Roman" w:cs="Times New Roman"/>
                <w:color w:val="auto"/>
                <w:sz w:val="24"/>
                <w:szCs w:val="24"/>
                <w:highlight w:val="none"/>
              </w:rPr>
              <w:t>202</w:t>
            </w:r>
            <w:r>
              <w:rPr>
                <w:rFonts w:hint="eastAsia" w:cs="Times New Roman"/>
                <w:color w:val="auto"/>
                <w:sz w:val="24"/>
                <w:szCs w:val="24"/>
                <w:highlight w:val="none"/>
                <w:lang w:val="en-US" w:eastAsia="zh-CN"/>
              </w:rPr>
              <w:t>5</w:t>
            </w:r>
            <w:r>
              <w:rPr>
                <w:rFonts w:hint="default" w:ascii="Times New Roman" w:hAnsi="Times New Roman" w:cs="Times New Roman"/>
                <w:color w:val="auto"/>
                <w:sz w:val="24"/>
                <w:szCs w:val="24"/>
                <w:highlight w:val="none"/>
              </w:rPr>
              <w:t>年黑龙江省生态环境</w:t>
            </w:r>
            <w:r>
              <w:rPr>
                <w:rFonts w:hint="default" w:ascii="Times New Roman" w:hAnsi="Times New Roman" w:cs="Times New Roman"/>
                <w:color w:val="auto"/>
                <w:sz w:val="24"/>
                <w:szCs w:val="24"/>
                <w:highlight w:val="none"/>
                <w:lang w:val="en-US" w:eastAsia="zh-CN"/>
              </w:rPr>
              <w:t>质量</w:t>
            </w:r>
            <w:r>
              <w:rPr>
                <w:rFonts w:hint="default" w:ascii="Times New Roman" w:hAnsi="Times New Roman" w:cs="Times New Roman"/>
                <w:color w:val="auto"/>
                <w:sz w:val="24"/>
                <w:szCs w:val="24"/>
                <w:highlight w:val="none"/>
              </w:rPr>
              <w:t>状况》（202</w:t>
            </w:r>
            <w:r>
              <w:rPr>
                <w:rFonts w:hint="eastAsia" w:cs="Times New Roman"/>
                <w:color w:val="auto"/>
                <w:sz w:val="24"/>
                <w:szCs w:val="24"/>
                <w:highlight w:val="none"/>
                <w:lang w:val="en-US" w:eastAsia="zh-CN"/>
              </w:rPr>
              <w:t>6</w:t>
            </w:r>
            <w:r>
              <w:rPr>
                <w:rFonts w:hint="default" w:ascii="Times New Roman" w:hAnsi="Times New Roman" w:cs="Times New Roman"/>
                <w:color w:val="auto"/>
                <w:sz w:val="24"/>
                <w:szCs w:val="24"/>
                <w:highlight w:val="none"/>
              </w:rPr>
              <w:t>年</w:t>
            </w:r>
            <w:r>
              <w:rPr>
                <w:rFonts w:hint="default" w:ascii="Times New Roman" w:hAnsi="Times New Roman" w:cs="Times New Roman"/>
                <w:color w:val="auto"/>
                <w:sz w:val="24"/>
                <w:szCs w:val="24"/>
                <w:highlight w:val="none"/>
                <w:lang w:val="en-US" w:eastAsia="zh-CN"/>
              </w:rPr>
              <w:t>1</w:t>
            </w:r>
            <w:r>
              <w:rPr>
                <w:rFonts w:hint="default" w:ascii="Times New Roman" w:hAnsi="Times New Roman" w:cs="Times New Roman"/>
                <w:color w:val="auto"/>
                <w:sz w:val="24"/>
                <w:szCs w:val="24"/>
                <w:highlight w:val="none"/>
              </w:rPr>
              <w:t>月）</w:t>
            </w:r>
            <w:r>
              <w:rPr>
                <w:rFonts w:hint="default"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val="en-US" w:eastAsia="zh-CN"/>
              </w:rPr>
              <w:t>鸡西市区域昼间声环境质量为二级，等效声级为53.</w:t>
            </w:r>
            <w:r>
              <w:rPr>
                <w:rFonts w:hint="eastAsia" w:cs="Times New Roman"/>
                <w:color w:val="auto"/>
                <w:sz w:val="24"/>
                <w:szCs w:val="24"/>
                <w:highlight w:val="none"/>
                <w:lang w:val="en-US" w:eastAsia="zh-CN"/>
              </w:rPr>
              <w:t>2</w:t>
            </w:r>
            <w:r>
              <w:rPr>
                <w:rFonts w:hint="default" w:ascii="Times New Roman" w:hAnsi="Times New Roman" w:cs="Times New Roman"/>
                <w:color w:val="auto"/>
                <w:sz w:val="24"/>
                <w:szCs w:val="24"/>
                <w:highlight w:val="none"/>
                <w:lang w:val="en-US" w:eastAsia="zh-CN"/>
              </w:rPr>
              <w:t>dB（A），道路交通昼间声环境质量为一级，等效声级为</w:t>
            </w:r>
            <w:r>
              <w:rPr>
                <w:rFonts w:hint="eastAsia" w:cs="Times New Roman"/>
                <w:color w:val="auto"/>
                <w:sz w:val="24"/>
                <w:szCs w:val="24"/>
                <w:highlight w:val="none"/>
                <w:lang w:val="en-US" w:eastAsia="zh-CN"/>
              </w:rPr>
              <w:t>64.7</w:t>
            </w:r>
            <w:r>
              <w:rPr>
                <w:rFonts w:hint="default" w:ascii="Times New Roman" w:hAnsi="Times New Roman" w:cs="Times New Roman"/>
                <w:color w:val="auto"/>
                <w:sz w:val="24"/>
                <w:szCs w:val="24"/>
                <w:highlight w:val="none"/>
                <w:lang w:val="en-US" w:eastAsia="zh-CN"/>
              </w:rPr>
              <w:t>dB（A），功能区昼间达标率</w:t>
            </w:r>
            <w:r>
              <w:rPr>
                <w:rFonts w:hint="eastAsia" w:cs="Times New Roman"/>
                <w:color w:val="auto"/>
                <w:sz w:val="24"/>
                <w:szCs w:val="24"/>
                <w:highlight w:val="none"/>
                <w:lang w:val="en-US" w:eastAsia="zh-CN"/>
              </w:rPr>
              <w:t>87.7</w:t>
            </w:r>
            <w:r>
              <w:rPr>
                <w:rFonts w:hint="default" w:ascii="Times New Roman" w:hAnsi="Times New Roman" w:cs="Times New Roman"/>
                <w:color w:val="auto"/>
                <w:sz w:val="24"/>
                <w:szCs w:val="24"/>
                <w:highlight w:val="none"/>
                <w:lang w:val="en-US" w:eastAsia="zh-CN"/>
              </w:rPr>
              <w:t>%，功能区夜间达标率</w:t>
            </w:r>
            <w:r>
              <w:rPr>
                <w:rFonts w:hint="eastAsia" w:cs="Times New Roman"/>
                <w:color w:val="auto"/>
                <w:sz w:val="24"/>
                <w:szCs w:val="24"/>
                <w:highlight w:val="none"/>
                <w:lang w:val="en-US" w:eastAsia="zh-CN"/>
              </w:rPr>
              <w:t>97.6</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区域声环境</w:t>
            </w:r>
            <w:r>
              <w:rPr>
                <w:rFonts w:hint="default" w:ascii="Times New Roman" w:hAnsi="Times New Roman" w:cs="Times New Roman"/>
                <w:color w:val="auto"/>
                <w:sz w:val="24"/>
                <w:szCs w:val="24"/>
                <w:highlight w:val="none"/>
                <w:lang w:val="en-US" w:eastAsia="zh-CN"/>
              </w:rPr>
              <w:t>满足</w:t>
            </w:r>
            <w:r>
              <w:rPr>
                <w:rFonts w:hint="default" w:ascii="Times New Roman" w:hAnsi="Times New Roman" w:eastAsia="宋体" w:cs="Times New Roman"/>
                <w:color w:val="auto"/>
                <w:sz w:val="24"/>
                <w:szCs w:val="24"/>
                <w:highlight w:val="none"/>
                <w:lang w:val="en-US" w:eastAsia="zh-CN"/>
              </w:rPr>
              <w:t>《声环境质量标准》（GB3096-2008）2类标准</w:t>
            </w:r>
            <w:r>
              <w:rPr>
                <w:rFonts w:hint="default" w:ascii="Times New Roman" w:hAnsi="Times New Roman" w:eastAsia="宋体" w:cs="Times New Roman"/>
                <w:color w:val="auto"/>
                <w:kern w:val="0"/>
                <w:sz w:val="24"/>
                <w:szCs w:val="24"/>
                <w:highlight w:val="none"/>
              </w:rPr>
              <w:t>。</w:t>
            </w:r>
            <w:r>
              <w:rPr>
                <w:rFonts w:hint="default" w:ascii="Times New Roman" w:hAnsi="Times New Roman" w:eastAsia="宋体" w:cs="Times New Roman"/>
                <w:b w:val="0"/>
                <w:bCs/>
                <w:color w:val="auto"/>
                <w:kern w:val="0"/>
                <w:sz w:val="24"/>
                <w:szCs w:val="24"/>
                <w:lang w:val="en-US" w:eastAsia="zh-CN" w:bidi="ar-SA"/>
              </w:rPr>
              <w:t>本项目选址周围50m范围内无声环境保护目标，未进行声环境现状进行监测。</w:t>
            </w:r>
          </w:p>
          <w:p w14:paraId="4451B50A">
            <w:pPr>
              <w:spacing w:line="360" w:lineRule="auto"/>
              <w:ind w:firstLine="482" w:firstLineChars="200"/>
              <w:rPr>
                <w:rFonts w:ascii="Times New Roman" w:hAnsi="Times New Roman" w:eastAsia="宋体" w:cs="Times New Roman"/>
                <w:color w:val="auto"/>
                <w:sz w:val="24"/>
                <w:szCs w:val="24"/>
              </w:rPr>
            </w:pPr>
            <w:r>
              <w:rPr>
                <w:rFonts w:hint="eastAsia" w:ascii="Times New Roman" w:hAnsi="Times New Roman" w:cs="Times New Roman"/>
                <w:b/>
                <w:bCs/>
                <w:color w:val="auto"/>
                <w:sz w:val="24"/>
                <w:szCs w:val="24"/>
                <w:lang w:eastAsia="zh-CN"/>
              </w:rPr>
              <w:t>四、</w:t>
            </w:r>
            <w:r>
              <w:rPr>
                <w:rFonts w:ascii="Times New Roman" w:hAnsi="Times New Roman" w:eastAsia="宋体" w:cs="Times New Roman"/>
                <w:b/>
                <w:bCs/>
                <w:color w:val="auto"/>
                <w:sz w:val="24"/>
                <w:szCs w:val="24"/>
              </w:rPr>
              <w:t>生态环境</w:t>
            </w:r>
          </w:p>
          <w:p w14:paraId="5B630F5F">
            <w:pPr>
              <w:spacing w:line="360" w:lineRule="auto"/>
              <w:ind w:firstLine="480" w:firstLineChars="200"/>
              <w:rPr>
                <w:color w:val="auto"/>
                <w:sz w:val="24"/>
                <w:szCs w:val="24"/>
              </w:rPr>
            </w:pPr>
            <w:r>
              <w:rPr>
                <w:rFonts w:ascii="Times New Roman" w:hAnsi="Times New Roman" w:eastAsia="宋体" w:cs="Times New Roman"/>
                <w:color w:val="auto"/>
                <w:sz w:val="24"/>
                <w:szCs w:val="24"/>
              </w:rPr>
              <w:t>项目位于</w:t>
            </w:r>
            <w:r>
              <w:rPr>
                <w:rFonts w:hint="eastAsia" w:ascii="宋体" w:hAnsi="宋体" w:eastAsia="宋体" w:cs="宋体"/>
                <w:color w:val="auto"/>
                <w:sz w:val="24"/>
                <w:szCs w:val="24"/>
                <w:lang w:val="en-US" w:eastAsia="zh-CN"/>
              </w:rPr>
              <w:t>鸡西市城子河铁城煤矿有限公司现有厂区内</w:t>
            </w:r>
            <w:r>
              <w:rPr>
                <w:color w:val="auto"/>
                <w:sz w:val="24"/>
                <w:szCs w:val="24"/>
              </w:rPr>
              <w:t>，根据实地调查，建设项目区域内无重要保护动植物，不属于生态敏感区和自然保护区，项目所在地生态环境较好。</w:t>
            </w:r>
          </w:p>
          <w:p w14:paraId="5880EB73">
            <w:pPr>
              <w:pStyle w:val="12"/>
              <w:spacing w:line="360" w:lineRule="auto"/>
              <w:ind w:firstLine="480" w:firstLineChars="200"/>
              <w:rPr>
                <w:rFonts w:hint="eastAsia" w:eastAsia="宋体"/>
                <w:color w:val="auto"/>
                <w:lang w:eastAsia="zh-CN"/>
              </w:rPr>
            </w:pPr>
            <w:r>
              <w:rPr>
                <w:color w:val="auto"/>
                <w:sz w:val="24"/>
                <w:szCs w:val="24"/>
              </w:rPr>
              <w:t>综上所述，项目选址周边环境空气质量、地表水环境质量、声环境质量符合功能区划的要求，区域内生态环境现状良好。因此，项目所在区域整体环境质量良好</w:t>
            </w:r>
            <w:r>
              <w:rPr>
                <w:rFonts w:hint="eastAsia"/>
                <w:color w:val="auto"/>
                <w:sz w:val="24"/>
                <w:szCs w:val="24"/>
                <w:lang w:eastAsia="zh-CN"/>
              </w:rPr>
              <w:t>。</w:t>
            </w:r>
          </w:p>
        </w:tc>
      </w:tr>
      <w:tr w14:paraId="1A4183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14:paraId="704A988D">
            <w:pPr>
              <w:adjustRightInd w:val="0"/>
              <w:snapToGrid w:val="0"/>
              <w:jc w:val="center"/>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环境</w:t>
            </w:r>
          </w:p>
          <w:p w14:paraId="1DE1A6B6">
            <w:pPr>
              <w:adjustRightInd w:val="0"/>
              <w:snapToGrid w:val="0"/>
              <w:jc w:val="center"/>
              <w:rPr>
                <w:rFonts w:hint="default" w:ascii="Times New Roman" w:hAnsi="Times New Roman" w:cs="Times New Roman"/>
                <w:color w:val="auto"/>
                <w:kern w:val="0"/>
                <w:sz w:val="24"/>
                <w:szCs w:val="24"/>
                <w:lang w:val="en-US" w:eastAsia="zh-CN"/>
              </w:rPr>
            </w:pPr>
            <w:r>
              <w:rPr>
                <w:rFonts w:hint="default" w:ascii="Times New Roman" w:hAnsi="Times New Roman" w:cs="Times New Roman"/>
                <w:color w:val="auto"/>
                <w:kern w:val="0"/>
                <w:sz w:val="24"/>
                <w:szCs w:val="24"/>
                <w:lang w:val="en-US" w:eastAsia="zh-CN"/>
              </w:rPr>
              <w:t>保护</w:t>
            </w:r>
          </w:p>
          <w:p w14:paraId="570E110B">
            <w:pPr>
              <w:adjustRightInd w:val="0"/>
              <w:snapToGrid w:val="0"/>
              <w:jc w:val="center"/>
              <w:rPr>
                <w:rFonts w:hint="default" w:ascii="Times New Roman" w:hAnsi="Times New Roman" w:cs="Times New Roman"/>
                <w:color w:val="auto"/>
                <w:kern w:val="0"/>
                <w:sz w:val="24"/>
                <w:szCs w:val="24"/>
              </w:rPr>
            </w:pPr>
            <w:r>
              <w:rPr>
                <w:rFonts w:hint="eastAsia" w:ascii="Times New Roman" w:hAnsi="Times New Roman" w:cs="Times New Roman"/>
                <w:color w:val="auto"/>
                <w:kern w:val="0"/>
                <w:sz w:val="24"/>
                <w:szCs w:val="24"/>
                <w:lang w:val="en-US" w:eastAsia="zh-CN"/>
              </w:rPr>
              <w:t>目标</w:t>
            </w:r>
          </w:p>
        </w:tc>
        <w:tc>
          <w:tcPr>
            <w:tcW w:w="8190" w:type="dxa"/>
            <w:noWrap w:val="0"/>
            <w:vAlign w:val="center"/>
          </w:tcPr>
          <w:p w14:paraId="56193E1B">
            <w:pPr>
              <w:keepNext w:val="0"/>
              <w:keepLines w:val="0"/>
              <w:pageBreakBefore w:val="0"/>
              <w:kinsoku/>
              <w:wordWrap/>
              <w:overflowPunct/>
              <w:topLinePunct w:val="0"/>
              <w:autoSpaceDE/>
              <w:autoSpaceDN/>
              <w:bidi w:val="0"/>
              <w:spacing w:line="360" w:lineRule="auto"/>
              <w:ind w:right="0" w:firstLine="482" w:firstLineChars="200"/>
              <w:textAlignment w:val="auto"/>
              <w:rPr>
                <w:rFonts w:hint="eastAsia"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 xml:space="preserve">1、声环境保护目标 </w:t>
            </w:r>
          </w:p>
          <w:p w14:paraId="0F08CDDC">
            <w:pPr>
              <w:keepNext w:val="0"/>
              <w:keepLines w:val="0"/>
              <w:pageBreakBefore w:val="0"/>
              <w:widowControl/>
              <w:suppressLineNumbers w:val="0"/>
              <w:kinsoku/>
              <w:wordWrap/>
              <w:overflowPunct/>
              <w:topLinePunct w:val="0"/>
              <w:autoSpaceDE/>
              <w:autoSpaceDN/>
              <w:bidi w:val="0"/>
              <w:spacing w:line="360" w:lineRule="auto"/>
              <w:ind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本项目厂界外50米范围内</w:t>
            </w:r>
            <w:r>
              <w:rPr>
                <w:rFonts w:hint="eastAsia" w:cs="Times New Roman"/>
                <w:color w:val="auto"/>
                <w:sz w:val="24"/>
                <w:szCs w:val="24"/>
                <w:highlight w:val="none"/>
                <w:lang w:val="en-US" w:eastAsia="zh-CN"/>
              </w:rPr>
              <w:t>无</w:t>
            </w:r>
            <w:r>
              <w:rPr>
                <w:rFonts w:hint="eastAsia" w:ascii="Times New Roman" w:hAnsi="Times New Roman" w:eastAsia="宋体" w:cs="Times New Roman"/>
                <w:color w:val="auto"/>
                <w:sz w:val="24"/>
                <w:szCs w:val="24"/>
                <w:highlight w:val="none"/>
                <w:lang w:val="en-US" w:eastAsia="zh-CN"/>
              </w:rPr>
              <w:t>声环境保护目标。</w:t>
            </w:r>
          </w:p>
          <w:p w14:paraId="293925A6">
            <w:pPr>
              <w:keepNext w:val="0"/>
              <w:keepLines w:val="0"/>
              <w:pageBreakBefore w:val="0"/>
              <w:kinsoku/>
              <w:wordWrap/>
              <w:overflowPunct/>
              <w:topLinePunct w:val="0"/>
              <w:autoSpaceDE/>
              <w:autoSpaceDN/>
              <w:bidi w:val="0"/>
              <w:spacing w:line="360" w:lineRule="auto"/>
              <w:ind w:right="0" w:firstLine="482" w:firstLineChars="200"/>
              <w:textAlignment w:val="auto"/>
              <w:rPr>
                <w:rFonts w:hint="eastAsia"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 xml:space="preserve">2、环境空气保护目标 </w:t>
            </w:r>
          </w:p>
          <w:p w14:paraId="62E60413">
            <w:pPr>
              <w:keepNext w:val="0"/>
              <w:keepLines w:val="0"/>
              <w:pageBreakBefore w:val="0"/>
              <w:widowControl/>
              <w:suppressLineNumbers w:val="0"/>
              <w:kinsoku/>
              <w:wordWrap/>
              <w:overflowPunct/>
              <w:topLinePunct w:val="0"/>
              <w:autoSpaceDE/>
              <w:autoSpaceDN/>
              <w:bidi w:val="0"/>
              <w:spacing w:line="360" w:lineRule="auto"/>
              <w:ind w:right="0" w:firstLine="480" w:firstLineChars="200"/>
              <w:jc w:val="both"/>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本项目厂界外500米范围内</w:t>
            </w:r>
            <w:r>
              <w:rPr>
                <w:rFonts w:hint="eastAsia" w:cs="Times New Roman"/>
                <w:color w:val="auto"/>
                <w:sz w:val="24"/>
                <w:szCs w:val="24"/>
                <w:highlight w:val="none"/>
                <w:lang w:val="en-US" w:eastAsia="zh-CN"/>
              </w:rPr>
              <w:t>无</w:t>
            </w:r>
            <w:r>
              <w:rPr>
                <w:rFonts w:hint="eastAsia" w:ascii="Times New Roman" w:hAnsi="Times New Roman" w:eastAsia="宋体" w:cs="Times New Roman"/>
                <w:color w:val="auto"/>
                <w:sz w:val="24"/>
                <w:szCs w:val="24"/>
                <w:highlight w:val="none"/>
                <w:lang w:val="en-US" w:eastAsia="zh-CN"/>
              </w:rPr>
              <w:t>环境空气保护目标。</w:t>
            </w:r>
          </w:p>
          <w:p w14:paraId="2C9E1A75">
            <w:pPr>
              <w:keepNext w:val="0"/>
              <w:keepLines w:val="0"/>
              <w:pageBreakBefore w:val="0"/>
              <w:kinsoku/>
              <w:wordWrap/>
              <w:overflowPunct/>
              <w:topLinePunct w:val="0"/>
              <w:autoSpaceDE/>
              <w:autoSpaceDN/>
              <w:bidi w:val="0"/>
              <w:spacing w:line="360" w:lineRule="auto"/>
              <w:ind w:right="0" w:firstLine="482" w:firstLineChars="200"/>
              <w:textAlignment w:val="auto"/>
              <w:rPr>
                <w:rFonts w:hint="eastAsia" w:eastAsia="宋体" w:cs="Times New Roman"/>
                <w:b/>
                <w:bCs/>
                <w:color w:val="auto"/>
                <w:sz w:val="24"/>
                <w:szCs w:val="24"/>
                <w:highlight w:val="none"/>
                <w:lang w:val="en-US" w:eastAsia="zh-CN"/>
              </w:rPr>
            </w:pPr>
            <w:r>
              <w:rPr>
                <w:rFonts w:hint="eastAsia" w:eastAsia="宋体" w:cs="Times New Roman"/>
                <w:b/>
                <w:bCs/>
                <w:color w:val="auto"/>
                <w:sz w:val="24"/>
                <w:szCs w:val="24"/>
                <w:highlight w:val="none"/>
                <w:lang w:val="en-US" w:eastAsia="zh-CN"/>
              </w:rPr>
              <w:t>3、地下水环境保护目标</w:t>
            </w:r>
          </w:p>
          <w:p w14:paraId="3B6B5E42">
            <w:pPr>
              <w:keepNext w:val="0"/>
              <w:keepLines w:val="0"/>
              <w:pageBreakBefore w:val="0"/>
              <w:widowControl w:val="0"/>
              <w:kinsoku/>
              <w:wordWrap/>
              <w:overflowPunct/>
              <w:topLinePunct w:val="0"/>
              <w:autoSpaceDE/>
              <w:autoSpaceDN/>
              <w:bidi w:val="0"/>
              <w:adjustRightInd/>
              <w:snapToGrid/>
              <w:spacing w:line="360" w:lineRule="auto"/>
              <w:ind w:right="0" w:firstLine="480" w:firstLineChars="200"/>
              <w:jc w:val="left"/>
              <w:textAlignment w:val="auto"/>
              <w:rPr>
                <w:rFonts w:hint="eastAsia"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 xml:space="preserve">根据现场踏勘，本项目所在厂界500米范围内无地下水集中式饮用水水源、热水、矿泉水、温泉等特殊地下水资源。 </w:t>
            </w:r>
          </w:p>
          <w:p w14:paraId="56778934">
            <w:pPr>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Autospacing="0" w:afterAutospacing="0" w:line="360" w:lineRule="auto"/>
              <w:ind w:left="0" w:leftChars="0" w:right="0" w:rightChars="0" w:firstLine="482" w:firstLineChars="200"/>
              <w:jc w:val="both"/>
              <w:textAlignment w:val="auto"/>
              <w:rPr>
                <w:rFonts w:hint="eastAsia"/>
                <w:b/>
                <w:bCs/>
                <w:color w:val="auto"/>
                <w:sz w:val="24"/>
                <w:szCs w:val="24"/>
                <w:highlight w:val="none"/>
              </w:rPr>
            </w:pPr>
            <w:r>
              <w:rPr>
                <w:rFonts w:hint="eastAsia"/>
                <w:b/>
                <w:bCs/>
                <w:color w:val="auto"/>
                <w:sz w:val="24"/>
                <w:szCs w:val="24"/>
                <w:highlight w:val="none"/>
                <w:lang w:val="en-US" w:eastAsia="zh-CN"/>
              </w:rPr>
              <w:t>4、</w:t>
            </w:r>
            <w:r>
              <w:rPr>
                <w:rFonts w:hint="eastAsia"/>
                <w:b/>
                <w:bCs/>
                <w:color w:val="auto"/>
                <w:sz w:val="24"/>
                <w:szCs w:val="24"/>
                <w:highlight w:val="none"/>
              </w:rPr>
              <w:t>生态环境</w:t>
            </w:r>
          </w:p>
          <w:p w14:paraId="3640C21E">
            <w:pPr>
              <w:pStyle w:val="12"/>
              <w:spacing w:line="360" w:lineRule="auto"/>
              <w:ind w:firstLine="480" w:firstLineChars="200"/>
              <w:rPr>
                <w:color w:val="auto"/>
                <w:sz w:val="24"/>
                <w:szCs w:val="24"/>
              </w:rPr>
            </w:pPr>
            <w:r>
              <w:rPr>
                <w:rFonts w:hint="eastAsia"/>
                <w:color w:val="auto"/>
                <w:sz w:val="24"/>
                <w:szCs w:val="24"/>
                <w:highlight w:val="none"/>
              </w:rPr>
              <w:t>本项目占地范围内无特殊生态敏感区及重要生态敏感区等生态环境保护目标，项目所在地无国家级、省、市级自然保护区、风景名胜区、文物保护对象。</w:t>
            </w:r>
          </w:p>
        </w:tc>
      </w:tr>
      <w:tr w14:paraId="7B3EFD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noWrap w:val="0"/>
            <w:vAlign w:val="center"/>
          </w:tcPr>
          <w:p w14:paraId="4864DF00">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污染</w:t>
            </w:r>
          </w:p>
          <w:p w14:paraId="7621BA85">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物排</w:t>
            </w:r>
          </w:p>
          <w:p w14:paraId="5162708C">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放控</w:t>
            </w:r>
          </w:p>
          <w:p w14:paraId="78EC7866">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制标</w:t>
            </w:r>
          </w:p>
          <w:p w14:paraId="45735C43">
            <w:pPr>
              <w:adjustRightInd w:val="0"/>
              <w:snapToGrid w:val="0"/>
              <w:jc w:val="center"/>
              <w:rPr>
                <w:rFonts w:hint="default" w:ascii="Times New Roman" w:hAnsi="Times New Roman" w:cs="Times New Roman"/>
                <w:color w:val="auto"/>
                <w:kern w:val="0"/>
                <w:sz w:val="24"/>
                <w:szCs w:val="24"/>
              </w:rPr>
            </w:pPr>
            <w:r>
              <w:rPr>
                <w:rFonts w:hint="default" w:ascii="Times New Roman" w:hAnsi="Times New Roman" w:cs="Times New Roman"/>
                <w:color w:val="auto"/>
                <w:kern w:val="0"/>
                <w:sz w:val="24"/>
                <w:szCs w:val="24"/>
              </w:rPr>
              <w:t>准</w:t>
            </w:r>
          </w:p>
          <w:p w14:paraId="613068B8">
            <w:pPr>
              <w:adjustRightInd w:val="0"/>
              <w:snapToGrid w:val="0"/>
              <w:jc w:val="center"/>
              <w:rPr>
                <w:rFonts w:hint="default" w:ascii="Times New Roman" w:hAnsi="Times New Roman" w:cs="Times New Roman"/>
                <w:color w:val="auto"/>
                <w:kern w:val="0"/>
                <w:szCs w:val="21"/>
              </w:rPr>
            </w:pPr>
          </w:p>
        </w:tc>
        <w:tc>
          <w:tcPr>
            <w:tcW w:w="8190" w:type="dxa"/>
            <w:noWrap w:val="0"/>
            <w:vAlign w:val="center"/>
          </w:tcPr>
          <w:p w14:paraId="74BFA02A">
            <w:pPr>
              <w:spacing w:before="120" w:beforeLines="50" w:line="360" w:lineRule="auto"/>
              <w:ind w:firstLine="482" w:firstLineChars="200"/>
              <w:rPr>
                <w:rFonts w:hint="default" w:ascii="Times New Roman" w:hAnsi="Times New Roman" w:cs="Times New Roman"/>
                <w:b/>
                <w:bCs/>
                <w:color w:val="auto"/>
                <w:kern w:val="2"/>
                <w:sz w:val="24"/>
                <w:szCs w:val="24"/>
                <w:lang w:val="en-US" w:eastAsia="zh-CN" w:bidi="ar-SA"/>
              </w:rPr>
            </w:pPr>
            <w:r>
              <w:rPr>
                <w:rFonts w:hint="default" w:ascii="Times New Roman" w:hAnsi="Times New Roman" w:cs="Times New Roman"/>
                <w:b/>
                <w:bCs/>
                <w:color w:val="auto"/>
                <w:kern w:val="2"/>
                <w:sz w:val="24"/>
                <w:szCs w:val="24"/>
                <w:lang w:val="en-US" w:eastAsia="zh-CN" w:bidi="ar-SA"/>
              </w:rPr>
              <w:t>1、废气</w:t>
            </w:r>
          </w:p>
          <w:p w14:paraId="31E9AC35">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rPr>
              <w:t>本项目施工期产生的扬尘执行《大气污染物综合排放标准》（GB16297-1996）无组织排放标准，见下表</w:t>
            </w:r>
            <w:r>
              <w:rPr>
                <w:rFonts w:hint="eastAsia" w:ascii="Times New Roman" w:hAnsi="Times New Roman" w:eastAsia="宋体" w:cs="Times New Roman"/>
                <w:color w:val="auto"/>
                <w:spacing w:val="0"/>
                <w:sz w:val="24"/>
                <w:szCs w:val="24"/>
                <w:highlight w:val="none"/>
                <w:lang w:eastAsia="zh-CN"/>
              </w:rPr>
              <w:t>。</w:t>
            </w:r>
          </w:p>
          <w:p w14:paraId="25143FE9">
            <w:pPr>
              <w:pStyle w:val="16"/>
              <w:numPr>
                <w:ilvl w:val="0"/>
                <w:numId w:val="0"/>
              </w:numPr>
              <w:jc w:val="center"/>
              <w:rPr>
                <w:rFonts w:hint="eastAsia" w:ascii="Times New Roman" w:hAnsi="Times New Roman" w:eastAsia="宋体" w:cs="Times New Roman"/>
                <w:b/>
                <w:bCs/>
                <w:color w:val="auto"/>
                <w:kern w:val="21"/>
                <w:sz w:val="24"/>
                <w:szCs w:val="24"/>
                <w:highlight w:val="none"/>
                <w:u w:val="none"/>
                <w:lang w:val="en-US" w:eastAsia="zh-CN"/>
              </w:rPr>
            </w:pPr>
            <w:r>
              <w:rPr>
                <w:rFonts w:hint="eastAsia" w:ascii="Times New Roman" w:hAnsi="Times New Roman" w:eastAsia="宋体" w:cs="Times New Roman"/>
                <w:b/>
                <w:bCs/>
                <w:color w:val="auto"/>
                <w:kern w:val="21"/>
                <w:sz w:val="24"/>
                <w:szCs w:val="24"/>
                <w:highlight w:val="none"/>
                <w:u w:val="none"/>
                <w:lang w:val="en-US" w:eastAsia="zh-CN"/>
              </w:rPr>
              <w:t>表3-4 无组织废气排放标准及限值</w:t>
            </w:r>
          </w:p>
          <w:tbl>
            <w:tblPr>
              <w:tblStyle w:val="31"/>
              <w:tblW w:w="80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992"/>
              <w:gridCol w:w="2998"/>
            </w:tblGrid>
            <w:tr w14:paraId="1C94E7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vMerge w:val="restart"/>
                  <w:tcBorders>
                    <w:tl2br w:val="nil"/>
                    <w:tr2bl w:val="nil"/>
                  </w:tcBorders>
                  <w:vAlign w:val="center"/>
                </w:tcPr>
                <w:p w14:paraId="370B5F2D">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污染物</w:t>
                  </w:r>
                </w:p>
              </w:tc>
              <w:tc>
                <w:tcPr>
                  <w:tcW w:w="5990" w:type="dxa"/>
                  <w:gridSpan w:val="2"/>
                  <w:tcBorders>
                    <w:tl2br w:val="nil"/>
                    <w:tr2bl w:val="nil"/>
                  </w:tcBorders>
                  <w:vAlign w:val="center"/>
                </w:tcPr>
                <w:p w14:paraId="06B2799D">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无组织排放监控浓度限值</w:t>
                  </w:r>
                </w:p>
              </w:tc>
            </w:tr>
            <w:tr w14:paraId="35727A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vMerge w:val="continue"/>
                  <w:tcBorders>
                    <w:tl2br w:val="nil"/>
                    <w:tr2bl w:val="nil"/>
                  </w:tcBorders>
                  <w:vAlign w:val="center"/>
                </w:tcPr>
                <w:p w14:paraId="7B4E8986">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p>
              </w:tc>
              <w:tc>
                <w:tcPr>
                  <w:tcW w:w="2992" w:type="dxa"/>
                  <w:tcBorders>
                    <w:tl2br w:val="nil"/>
                    <w:tr2bl w:val="nil"/>
                  </w:tcBorders>
                  <w:vAlign w:val="center"/>
                </w:tcPr>
                <w:p w14:paraId="3A48DD76">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监控点</w:t>
                  </w:r>
                </w:p>
              </w:tc>
              <w:tc>
                <w:tcPr>
                  <w:tcW w:w="2998" w:type="dxa"/>
                  <w:tcBorders>
                    <w:tl2br w:val="nil"/>
                    <w:tr2bl w:val="nil"/>
                  </w:tcBorders>
                  <w:vAlign w:val="center"/>
                </w:tcPr>
                <w:p w14:paraId="4E2EE677">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superscript"/>
                      <w:lang w:val="en-US" w:eastAsia="zh-CN"/>
                    </w:rPr>
                  </w:pPr>
                  <w:r>
                    <w:rPr>
                      <w:rFonts w:hint="eastAsia" w:cs="Times New Roman"/>
                      <w:b/>
                      <w:bCs/>
                      <w:color w:val="auto"/>
                      <w:kern w:val="21"/>
                      <w:sz w:val="21"/>
                      <w:szCs w:val="21"/>
                      <w:highlight w:val="none"/>
                      <w:u w:val="none"/>
                      <w:vertAlign w:val="baseline"/>
                      <w:lang w:val="en-US" w:eastAsia="zh-CN"/>
                    </w:rPr>
                    <w:t>无组织排放限值/</w:t>
                  </w:r>
                  <w:r>
                    <w:rPr>
                      <w:rFonts w:hint="eastAsia" w:ascii="Times New Roman" w:hAnsi="Times New Roman" w:eastAsia="宋体" w:cs="Times New Roman"/>
                      <w:b/>
                      <w:bCs/>
                      <w:color w:val="auto"/>
                      <w:kern w:val="21"/>
                      <w:sz w:val="21"/>
                      <w:szCs w:val="21"/>
                      <w:highlight w:val="none"/>
                      <w:u w:val="none"/>
                      <w:vertAlign w:val="baseline"/>
                      <w:lang w:val="en-US" w:eastAsia="zh-CN"/>
                    </w:rPr>
                    <w:t>mg/m</w:t>
                  </w:r>
                  <w:r>
                    <w:rPr>
                      <w:rFonts w:hint="eastAsia" w:ascii="Times New Roman" w:hAnsi="Times New Roman" w:eastAsia="宋体" w:cs="Times New Roman"/>
                      <w:b/>
                      <w:bCs/>
                      <w:color w:val="auto"/>
                      <w:kern w:val="21"/>
                      <w:sz w:val="21"/>
                      <w:szCs w:val="21"/>
                      <w:highlight w:val="none"/>
                      <w:u w:val="none"/>
                      <w:vertAlign w:val="superscript"/>
                      <w:lang w:val="en-US" w:eastAsia="zh-CN"/>
                    </w:rPr>
                    <w:t>3</w:t>
                  </w:r>
                </w:p>
              </w:tc>
            </w:tr>
            <w:tr w14:paraId="7CDD1A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tcBorders>
                    <w:tl2br w:val="nil"/>
                    <w:tr2bl w:val="nil"/>
                  </w:tcBorders>
                  <w:vAlign w:val="center"/>
                </w:tcPr>
                <w:p w14:paraId="56DBC48B">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颗粒物</w:t>
                  </w:r>
                </w:p>
              </w:tc>
              <w:tc>
                <w:tcPr>
                  <w:tcW w:w="2992" w:type="dxa"/>
                  <w:tcBorders>
                    <w:tl2br w:val="nil"/>
                    <w:tr2bl w:val="nil"/>
                  </w:tcBorders>
                  <w:vAlign w:val="center"/>
                </w:tcPr>
                <w:p w14:paraId="309DB1CE">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周界外浓度最高点</w:t>
                  </w:r>
                </w:p>
              </w:tc>
              <w:tc>
                <w:tcPr>
                  <w:tcW w:w="2998" w:type="dxa"/>
                  <w:tcBorders>
                    <w:tl2br w:val="nil"/>
                    <w:tr2bl w:val="nil"/>
                  </w:tcBorders>
                  <w:vAlign w:val="center"/>
                </w:tcPr>
                <w:p w14:paraId="35F643E9">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1.0</w:t>
                  </w:r>
                </w:p>
              </w:tc>
            </w:tr>
          </w:tbl>
          <w:p w14:paraId="1BB69273">
            <w:pPr>
              <w:widowControl/>
              <w:numPr>
                <w:ilvl w:val="0"/>
                <w:numId w:val="0"/>
              </w:numPr>
              <w:spacing w:line="360" w:lineRule="auto"/>
              <w:ind w:firstLine="480" w:firstLineChars="200"/>
              <w:jc w:val="left"/>
              <w:rPr>
                <w:color w:val="auto"/>
              </w:rPr>
            </w:pPr>
            <w:r>
              <w:rPr>
                <w:color w:val="auto"/>
                <w:sz w:val="24"/>
              </w:rPr>
              <w:t>本项目</w:t>
            </w:r>
            <w:r>
              <w:rPr>
                <w:rFonts w:hint="eastAsia"/>
                <w:color w:val="auto"/>
                <w:sz w:val="24"/>
                <w:lang w:eastAsia="zh-CN"/>
              </w:rPr>
              <w:t>运营期</w:t>
            </w:r>
            <w:r>
              <w:rPr>
                <w:rFonts w:hint="eastAsia"/>
                <w:color w:val="auto"/>
                <w:sz w:val="24"/>
                <w:lang w:val="en-US" w:eastAsia="zh-CN"/>
              </w:rPr>
              <w:t>生物质热风炉</w:t>
            </w:r>
            <w:r>
              <w:rPr>
                <w:rFonts w:hint="eastAsia"/>
                <w:color w:val="auto"/>
                <w:sz w:val="24"/>
              </w:rPr>
              <w:t>产生的</w:t>
            </w:r>
            <w:r>
              <w:rPr>
                <w:color w:val="auto"/>
                <w:sz w:val="24"/>
              </w:rPr>
              <w:t>主要污染物为</w:t>
            </w:r>
            <w:r>
              <w:rPr>
                <w:rFonts w:hint="default"/>
                <w:color w:val="auto"/>
                <w:sz w:val="24"/>
                <w:lang w:val="en-US" w:eastAsia="zh-CN"/>
              </w:rPr>
              <w:t>颗粒物</w:t>
            </w:r>
            <w:r>
              <w:rPr>
                <w:color w:val="auto"/>
                <w:sz w:val="24"/>
              </w:rPr>
              <w:t>、SO</w:t>
            </w:r>
            <w:r>
              <w:rPr>
                <w:rFonts w:hint="eastAsia"/>
                <w:color w:val="auto"/>
                <w:sz w:val="24"/>
                <w:vertAlign w:val="subscript"/>
              </w:rPr>
              <w:t>2</w:t>
            </w:r>
            <w:r>
              <w:rPr>
                <w:color w:val="auto"/>
                <w:sz w:val="24"/>
              </w:rPr>
              <w:t>、</w:t>
            </w:r>
            <w:r>
              <w:rPr>
                <w:rFonts w:hint="eastAsia"/>
                <w:color w:val="auto"/>
                <w:sz w:val="24"/>
                <w:szCs w:val="24"/>
                <w:lang w:val="en-US" w:eastAsia="zh-CN"/>
              </w:rPr>
              <w:t>NOx、</w:t>
            </w:r>
            <w:r>
              <w:rPr>
                <w:color w:val="auto"/>
                <w:sz w:val="24"/>
              </w:rPr>
              <w:t>烟气黑度，</w:t>
            </w:r>
            <w:r>
              <w:rPr>
                <w:rFonts w:hint="eastAsia"/>
                <w:color w:val="auto"/>
                <w:sz w:val="24"/>
                <w:lang w:eastAsia="zh-CN"/>
              </w:rPr>
              <w:t>排</w:t>
            </w:r>
            <w:r>
              <w:rPr>
                <w:color w:val="auto"/>
                <w:sz w:val="24"/>
              </w:rPr>
              <w:t>放执行《工业炉窑大气污染物排放标准》（GB 9078-1996）</w:t>
            </w:r>
            <w:r>
              <w:rPr>
                <w:rFonts w:hint="eastAsia"/>
                <w:color w:val="auto"/>
                <w:sz w:val="24"/>
                <w:lang w:eastAsia="zh-CN"/>
              </w:rPr>
              <w:t>中</w:t>
            </w:r>
            <w:r>
              <w:rPr>
                <w:color w:val="auto"/>
                <w:sz w:val="24"/>
              </w:rPr>
              <w:t>二级标准</w:t>
            </w:r>
            <w:r>
              <w:rPr>
                <w:rFonts w:hint="eastAsia"/>
                <w:color w:val="auto"/>
                <w:sz w:val="24"/>
                <w:lang w:eastAsia="zh-CN"/>
              </w:rPr>
              <w:t>；厂界</w:t>
            </w:r>
            <w:r>
              <w:rPr>
                <w:rFonts w:hint="eastAsia"/>
                <w:color w:val="auto"/>
                <w:kern w:val="0"/>
                <w:sz w:val="24"/>
                <w:lang w:eastAsia="zh-CN"/>
              </w:rPr>
              <w:t>无组织废气执行《大气污染物综合排放标准》（GB16297-1996）表2中无组织排放监控浓度限值。</w:t>
            </w:r>
          </w:p>
          <w:p w14:paraId="10219DB2">
            <w:pPr>
              <w:pStyle w:val="16"/>
              <w:numPr>
                <w:ilvl w:val="0"/>
                <w:numId w:val="0"/>
              </w:numPr>
              <w:jc w:val="center"/>
              <w:rPr>
                <w:rFonts w:hint="eastAsia" w:eastAsia="宋体"/>
                <w:b/>
                <w:bCs/>
                <w:color w:val="auto"/>
                <w:sz w:val="24"/>
                <w:szCs w:val="24"/>
                <w:highlight w:val="none"/>
                <w:lang w:val="en-US" w:eastAsia="zh-CN"/>
              </w:rPr>
            </w:pPr>
            <w:r>
              <w:rPr>
                <w:rFonts w:ascii="Times New Roman" w:hAnsi="Times New Roman"/>
                <w:b/>
                <w:bCs/>
                <w:color w:val="auto"/>
                <w:kern w:val="21"/>
                <w:sz w:val="24"/>
                <w:szCs w:val="24"/>
                <w:highlight w:val="none"/>
                <w:u w:val="none"/>
              </w:rPr>
              <w:t>表</w:t>
            </w:r>
            <w:r>
              <w:rPr>
                <w:rFonts w:hint="eastAsia" w:ascii="Times New Roman" w:hAnsi="Times New Roman"/>
                <w:b/>
                <w:bCs/>
                <w:color w:val="auto"/>
                <w:kern w:val="21"/>
                <w:sz w:val="24"/>
                <w:szCs w:val="24"/>
                <w:highlight w:val="none"/>
                <w:u w:val="none"/>
                <w:lang w:val="en-US" w:eastAsia="zh-CN"/>
              </w:rPr>
              <w:t>3</w:t>
            </w:r>
            <w:r>
              <w:rPr>
                <w:rFonts w:ascii="Times New Roman" w:hAnsi="Times New Roman"/>
                <w:b/>
                <w:bCs/>
                <w:color w:val="auto"/>
                <w:kern w:val="21"/>
                <w:sz w:val="24"/>
                <w:szCs w:val="24"/>
                <w:highlight w:val="none"/>
                <w:u w:val="none"/>
              </w:rPr>
              <w:t>-</w:t>
            </w:r>
            <w:r>
              <w:rPr>
                <w:rFonts w:hint="eastAsia"/>
                <w:b/>
                <w:bCs/>
                <w:color w:val="auto"/>
                <w:kern w:val="21"/>
                <w:sz w:val="24"/>
                <w:szCs w:val="24"/>
                <w:highlight w:val="none"/>
                <w:u w:val="none"/>
                <w:lang w:val="en-US" w:eastAsia="zh-CN"/>
              </w:rPr>
              <w:t>5 有组织</w:t>
            </w:r>
            <w:r>
              <w:rPr>
                <w:rFonts w:hint="eastAsia"/>
                <w:b/>
                <w:bCs/>
                <w:color w:val="auto"/>
                <w:sz w:val="24"/>
                <w:szCs w:val="24"/>
                <w:lang w:eastAsia="zh-CN"/>
              </w:rPr>
              <w:t>废气排放标准及限值</w:t>
            </w:r>
          </w:p>
          <w:tbl>
            <w:tblPr>
              <w:tblStyle w:val="30"/>
              <w:tblW w:w="5115"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00"/>
              <w:gridCol w:w="1658"/>
              <w:gridCol w:w="1926"/>
              <w:gridCol w:w="3074"/>
            </w:tblGrid>
            <w:tr w14:paraId="50918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919" w:type="pct"/>
                  <w:noWrap w:val="0"/>
                  <w:vAlign w:val="center"/>
                </w:tcPr>
                <w:p w14:paraId="02DD5B0F">
                  <w:pPr>
                    <w:jc w:val="center"/>
                    <w:outlineLvl w:val="9"/>
                    <w:rPr>
                      <w:rFonts w:hint="eastAsia" w:ascii="Times New Roman" w:hAnsi="Times New Roman" w:eastAsia="宋体" w:cs="Times New Roman"/>
                      <w:b/>
                      <w:bCs/>
                      <w:color w:val="auto"/>
                      <w:sz w:val="21"/>
                      <w:szCs w:val="21"/>
                      <w:lang w:eastAsia="zh-CN"/>
                    </w:rPr>
                  </w:pPr>
                  <w:r>
                    <w:rPr>
                      <w:rFonts w:hint="eastAsia" w:cs="Times New Roman"/>
                      <w:b/>
                      <w:bCs/>
                      <w:color w:val="auto"/>
                      <w:sz w:val="21"/>
                      <w:szCs w:val="21"/>
                      <w:lang w:eastAsia="zh-CN"/>
                    </w:rPr>
                    <w:t>排放点位</w:t>
                  </w:r>
                </w:p>
              </w:tc>
              <w:tc>
                <w:tcPr>
                  <w:tcW w:w="1016" w:type="pct"/>
                  <w:noWrap w:val="0"/>
                  <w:vAlign w:val="center"/>
                </w:tcPr>
                <w:p w14:paraId="02531396">
                  <w:pPr>
                    <w:jc w:val="center"/>
                    <w:outlineLvl w:val="9"/>
                    <w:rPr>
                      <w:rFonts w:hint="default" w:ascii="Times New Roman" w:hAnsi="Times New Roman" w:cs="Times New Roman"/>
                      <w:b/>
                      <w:bCs/>
                      <w:color w:val="auto"/>
                      <w:sz w:val="21"/>
                      <w:szCs w:val="21"/>
                    </w:rPr>
                  </w:pPr>
                  <w:r>
                    <w:rPr>
                      <w:rFonts w:hint="eastAsia" w:ascii="Times New Roman" w:hAnsi="Times New Roman" w:eastAsia="宋体" w:cs="Times New Roman"/>
                      <w:b/>
                      <w:bCs/>
                      <w:color w:val="auto"/>
                      <w:kern w:val="21"/>
                      <w:sz w:val="21"/>
                      <w:szCs w:val="21"/>
                      <w:highlight w:val="none"/>
                      <w:u w:val="none"/>
                      <w:vertAlign w:val="baseline"/>
                      <w:lang w:val="en-US" w:eastAsia="zh-CN"/>
                    </w:rPr>
                    <w:t>污染物</w:t>
                  </w:r>
                </w:p>
              </w:tc>
              <w:tc>
                <w:tcPr>
                  <w:tcW w:w="1180" w:type="pct"/>
                  <w:noWrap w:val="0"/>
                  <w:vAlign w:val="center"/>
                </w:tcPr>
                <w:p w14:paraId="433F45CB">
                  <w:pPr>
                    <w:jc w:val="center"/>
                    <w:outlineLvl w:val="9"/>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rPr>
                    <w:t>标准值</w:t>
                  </w:r>
                </w:p>
              </w:tc>
              <w:tc>
                <w:tcPr>
                  <w:tcW w:w="1884" w:type="pct"/>
                  <w:noWrap w:val="0"/>
                  <w:vAlign w:val="center"/>
                </w:tcPr>
                <w:p w14:paraId="7DEEAD95">
                  <w:pPr>
                    <w:jc w:val="center"/>
                    <w:outlineLvl w:val="9"/>
                    <w:rPr>
                      <w:rFonts w:hint="default" w:ascii="Times New Roman" w:hAnsi="Times New Roman" w:cs="Times New Roman"/>
                      <w:b/>
                      <w:bCs/>
                      <w:color w:val="auto"/>
                      <w:sz w:val="21"/>
                      <w:szCs w:val="21"/>
                    </w:rPr>
                  </w:pPr>
                  <w:r>
                    <w:rPr>
                      <w:rFonts w:hint="default"/>
                      <w:b/>
                      <w:bCs/>
                      <w:color w:val="auto"/>
                      <w:sz w:val="21"/>
                      <w:szCs w:val="21"/>
                      <w:vertAlign w:val="baseline"/>
                      <w:lang w:val="en-US" w:eastAsia="zh-CN"/>
                    </w:rPr>
                    <w:t>标准名称及级（类）别</w:t>
                  </w:r>
                </w:p>
              </w:tc>
            </w:tr>
            <w:tr w14:paraId="393679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919" w:type="pct"/>
                  <w:vMerge w:val="restart"/>
                  <w:noWrap w:val="0"/>
                  <w:vAlign w:val="center"/>
                </w:tcPr>
                <w:p w14:paraId="5CF287E5">
                  <w:pPr>
                    <w:jc w:val="center"/>
                    <w:outlineLvl w:val="9"/>
                    <w:rPr>
                      <w:rFonts w:hint="default" w:ascii="Times New Roman" w:hAnsi="Times New Roman" w:eastAsia="宋体" w:cs="Times New Roman"/>
                      <w:bCs/>
                      <w:color w:val="auto"/>
                      <w:sz w:val="21"/>
                      <w:szCs w:val="21"/>
                      <w:lang w:val="en-US" w:eastAsia="zh-CN"/>
                    </w:rPr>
                  </w:pPr>
                  <w:r>
                    <w:rPr>
                      <w:rFonts w:hint="eastAsia" w:cs="Times New Roman"/>
                      <w:bCs/>
                      <w:color w:val="auto"/>
                      <w:sz w:val="21"/>
                      <w:szCs w:val="21"/>
                      <w:lang w:val="en-US" w:eastAsia="zh-CN"/>
                    </w:rPr>
                    <w:t>DA001</w:t>
                  </w:r>
                </w:p>
              </w:tc>
              <w:tc>
                <w:tcPr>
                  <w:tcW w:w="1016" w:type="pct"/>
                  <w:noWrap w:val="0"/>
                  <w:vAlign w:val="center"/>
                </w:tcPr>
                <w:p w14:paraId="742566DB">
                  <w:pPr>
                    <w:jc w:val="center"/>
                    <w:outlineLvl w:val="9"/>
                    <w:rPr>
                      <w:rFonts w:hint="default"/>
                      <w:color w:val="auto"/>
                      <w:sz w:val="21"/>
                      <w:szCs w:val="21"/>
                      <w:vertAlign w:val="baseline"/>
                      <w:lang w:val="en-US" w:eastAsia="zh-CN"/>
                    </w:rPr>
                  </w:pPr>
                  <w:r>
                    <w:rPr>
                      <w:rFonts w:hint="default"/>
                      <w:color w:val="auto"/>
                      <w:sz w:val="21"/>
                      <w:szCs w:val="21"/>
                      <w:vertAlign w:val="baseline"/>
                      <w:lang w:val="en-US" w:eastAsia="zh-CN"/>
                    </w:rPr>
                    <w:t>颗粒物</w:t>
                  </w:r>
                </w:p>
              </w:tc>
              <w:tc>
                <w:tcPr>
                  <w:tcW w:w="1180" w:type="pct"/>
                  <w:noWrap w:val="0"/>
                  <w:vAlign w:val="center"/>
                </w:tcPr>
                <w:p w14:paraId="4DB326EF">
                  <w:pPr>
                    <w:jc w:val="center"/>
                    <w:outlineLvl w:val="9"/>
                    <w:rPr>
                      <w:rFonts w:hint="default" w:ascii="Times New Roman" w:hAnsi="Times New Roman" w:cs="Times New Roman"/>
                      <w:color w:val="auto"/>
                      <w:sz w:val="21"/>
                      <w:szCs w:val="21"/>
                    </w:rPr>
                  </w:pPr>
                  <w:r>
                    <w:rPr>
                      <w:rFonts w:hint="eastAsia" w:cs="Times New Roman"/>
                      <w:bCs/>
                      <w:color w:val="auto"/>
                      <w:sz w:val="21"/>
                      <w:szCs w:val="21"/>
                      <w:lang w:val="en-US" w:eastAsia="zh-CN"/>
                    </w:rPr>
                    <w:t>200</w:t>
                  </w:r>
                  <w:r>
                    <w:rPr>
                      <w:rFonts w:hint="default" w:ascii="Times New Roman" w:hAnsi="Times New Roman" w:cs="Times New Roman"/>
                      <w:bCs/>
                      <w:color w:val="auto"/>
                      <w:sz w:val="21"/>
                      <w:szCs w:val="21"/>
                    </w:rPr>
                    <w:t xml:space="preserve"> mg/m</w:t>
                  </w:r>
                  <w:r>
                    <w:rPr>
                      <w:rFonts w:hint="default" w:ascii="Times New Roman" w:hAnsi="Times New Roman" w:cs="Times New Roman"/>
                      <w:bCs/>
                      <w:color w:val="auto"/>
                      <w:sz w:val="21"/>
                      <w:szCs w:val="21"/>
                      <w:vertAlign w:val="superscript"/>
                    </w:rPr>
                    <w:t>3</w:t>
                  </w:r>
                </w:p>
              </w:tc>
              <w:tc>
                <w:tcPr>
                  <w:tcW w:w="1884" w:type="pct"/>
                  <w:vMerge w:val="restart"/>
                  <w:noWrap w:val="0"/>
                  <w:vAlign w:val="center"/>
                </w:tcPr>
                <w:p w14:paraId="696CF391">
                  <w:pPr>
                    <w:jc w:val="center"/>
                    <w:outlineLvl w:val="9"/>
                    <w:rPr>
                      <w:rFonts w:hint="eastAsia" w:cs="Times New Roman"/>
                      <w:bCs/>
                      <w:color w:val="auto"/>
                      <w:sz w:val="21"/>
                      <w:szCs w:val="21"/>
                      <w:lang w:val="en-US" w:eastAsia="zh-CN"/>
                    </w:rPr>
                  </w:pPr>
                  <w:r>
                    <w:rPr>
                      <w:rFonts w:hint="eastAsia" w:cs="Times New Roman"/>
                      <w:bCs/>
                      <w:color w:val="auto"/>
                      <w:sz w:val="21"/>
                      <w:szCs w:val="21"/>
                      <w:lang w:val="en-US" w:eastAsia="zh-CN"/>
                    </w:rPr>
                    <w:t>《工业炉窑大气污染物排放标准》（GB 9078-1996）</w:t>
                  </w:r>
                </w:p>
              </w:tc>
            </w:tr>
            <w:tr w14:paraId="14DB58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919" w:type="pct"/>
                  <w:vMerge w:val="continue"/>
                  <w:noWrap w:val="0"/>
                  <w:vAlign w:val="center"/>
                </w:tcPr>
                <w:p w14:paraId="49801683">
                  <w:pPr>
                    <w:jc w:val="center"/>
                    <w:outlineLvl w:val="9"/>
                    <w:rPr>
                      <w:rFonts w:hint="default" w:ascii="Times New Roman" w:hAnsi="Times New Roman" w:cs="Times New Roman"/>
                      <w:bCs/>
                      <w:color w:val="auto"/>
                      <w:sz w:val="21"/>
                      <w:szCs w:val="21"/>
                      <w:lang w:val="en-US" w:eastAsia="zh-CN"/>
                    </w:rPr>
                  </w:pPr>
                </w:p>
              </w:tc>
              <w:tc>
                <w:tcPr>
                  <w:tcW w:w="1016" w:type="pct"/>
                  <w:noWrap w:val="0"/>
                  <w:vAlign w:val="center"/>
                </w:tcPr>
                <w:p w14:paraId="0FEA9229">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SO</w:t>
                  </w:r>
                  <w:r>
                    <w:rPr>
                      <w:rFonts w:hint="default" w:ascii="Times New Roman" w:hAnsi="Times New Roman" w:eastAsia="宋体" w:cs="Times New Roman"/>
                      <w:color w:val="auto"/>
                      <w:sz w:val="21"/>
                      <w:szCs w:val="21"/>
                      <w:vertAlign w:val="subscript"/>
                      <w:lang w:val="en-US" w:eastAsia="zh-CN"/>
                    </w:rPr>
                    <w:t>2</w:t>
                  </w:r>
                </w:p>
              </w:tc>
              <w:tc>
                <w:tcPr>
                  <w:tcW w:w="1180" w:type="pct"/>
                  <w:noWrap w:val="0"/>
                  <w:vAlign w:val="center"/>
                </w:tcPr>
                <w:p w14:paraId="7A8051AB">
                  <w:pPr>
                    <w:jc w:val="center"/>
                    <w:outlineLvl w:val="9"/>
                    <w:rPr>
                      <w:rFonts w:hint="default" w:ascii="Times New Roman" w:hAnsi="Times New Roman" w:cs="Times New Roman"/>
                      <w:bCs/>
                      <w:color w:val="auto"/>
                      <w:sz w:val="21"/>
                      <w:szCs w:val="21"/>
                      <w:lang w:val="en-US" w:eastAsia="zh-CN"/>
                    </w:rPr>
                  </w:pPr>
                  <w:r>
                    <w:rPr>
                      <w:rFonts w:hint="eastAsia" w:cs="Times New Roman"/>
                      <w:bCs/>
                      <w:color w:val="auto"/>
                      <w:sz w:val="21"/>
                      <w:szCs w:val="21"/>
                      <w:lang w:val="en-US" w:eastAsia="zh-CN"/>
                    </w:rPr>
                    <w:t>850</w:t>
                  </w:r>
                  <w:r>
                    <w:rPr>
                      <w:rFonts w:hint="default" w:ascii="Times New Roman" w:hAnsi="Times New Roman" w:cs="Times New Roman"/>
                      <w:bCs/>
                      <w:color w:val="auto"/>
                      <w:sz w:val="21"/>
                      <w:szCs w:val="21"/>
                    </w:rPr>
                    <w:t>mg/m</w:t>
                  </w:r>
                  <w:r>
                    <w:rPr>
                      <w:rFonts w:hint="default" w:ascii="Times New Roman" w:hAnsi="Times New Roman" w:cs="Times New Roman"/>
                      <w:bCs/>
                      <w:color w:val="auto"/>
                      <w:sz w:val="21"/>
                      <w:szCs w:val="21"/>
                      <w:vertAlign w:val="superscript"/>
                    </w:rPr>
                    <w:t>3</w:t>
                  </w:r>
                </w:p>
              </w:tc>
              <w:tc>
                <w:tcPr>
                  <w:tcW w:w="1884" w:type="pct"/>
                  <w:vMerge w:val="continue"/>
                  <w:noWrap w:val="0"/>
                  <w:vAlign w:val="center"/>
                </w:tcPr>
                <w:p w14:paraId="2085FBBB">
                  <w:pPr>
                    <w:jc w:val="center"/>
                    <w:outlineLvl w:val="9"/>
                    <w:rPr>
                      <w:rFonts w:hint="eastAsia" w:cs="Times New Roman"/>
                      <w:bCs/>
                      <w:color w:val="auto"/>
                      <w:sz w:val="21"/>
                      <w:szCs w:val="21"/>
                      <w:lang w:val="en-US" w:eastAsia="zh-CN"/>
                    </w:rPr>
                  </w:pPr>
                </w:p>
              </w:tc>
            </w:tr>
            <w:tr w14:paraId="78006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510" w:hRule="atLeast"/>
                <w:jc w:val="center"/>
              </w:trPr>
              <w:tc>
                <w:tcPr>
                  <w:tcW w:w="919" w:type="pct"/>
                  <w:vMerge w:val="continue"/>
                  <w:noWrap w:val="0"/>
                  <w:vAlign w:val="center"/>
                </w:tcPr>
                <w:p w14:paraId="7824081C">
                  <w:pPr>
                    <w:jc w:val="center"/>
                    <w:outlineLvl w:val="9"/>
                    <w:rPr>
                      <w:rFonts w:hint="default" w:ascii="Times New Roman" w:hAnsi="Times New Roman" w:cs="Times New Roman"/>
                      <w:bCs/>
                      <w:color w:val="auto"/>
                      <w:sz w:val="21"/>
                      <w:szCs w:val="21"/>
                      <w:lang w:val="en-US" w:eastAsia="zh-CN"/>
                    </w:rPr>
                  </w:pPr>
                </w:p>
              </w:tc>
              <w:tc>
                <w:tcPr>
                  <w:tcW w:w="1016" w:type="pct"/>
                  <w:noWrap w:val="0"/>
                  <w:vAlign w:val="center"/>
                </w:tcPr>
                <w:p w14:paraId="314446DC">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烟气黑度</w:t>
                  </w:r>
                </w:p>
                <w:p w14:paraId="70F0BCE0">
                  <w:pPr>
                    <w:jc w:val="center"/>
                    <w:outlineLvl w:val="9"/>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（林格曼级）</w:t>
                  </w:r>
                </w:p>
              </w:tc>
              <w:tc>
                <w:tcPr>
                  <w:tcW w:w="1180" w:type="pct"/>
                  <w:noWrap w:val="0"/>
                  <w:vAlign w:val="center"/>
                </w:tcPr>
                <w:p w14:paraId="0D5A1241">
                  <w:pPr>
                    <w:jc w:val="center"/>
                    <w:outlineLvl w:val="9"/>
                    <w:rPr>
                      <w:rFonts w:hint="eastAsia" w:cs="Times New Roman"/>
                      <w:bCs/>
                      <w:color w:val="auto"/>
                      <w:sz w:val="21"/>
                      <w:szCs w:val="21"/>
                      <w:lang w:val="en-US" w:eastAsia="zh-CN"/>
                    </w:rPr>
                  </w:pPr>
                  <w:r>
                    <w:rPr>
                      <w:rFonts w:hint="eastAsia" w:cs="Times New Roman"/>
                      <w:bCs/>
                      <w:color w:val="auto"/>
                      <w:sz w:val="21"/>
                      <w:szCs w:val="21"/>
                      <w:lang w:val="en-US" w:eastAsia="zh-CN"/>
                    </w:rPr>
                    <w:t>1.0mg/m</w:t>
                  </w:r>
                  <w:r>
                    <w:rPr>
                      <w:rFonts w:hint="eastAsia" w:cs="Times New Roman"/>
                      <w:bCs/>
                      <w:color w:val="auto"/>
                      <w:sz w:val="21"/>
                      <w:szCs w:val="21"/>
                      <w:vertAlign w:val="superscript"/>
                      <w:lang w:val="en-US" w:eastAsia="zh-CN"/>
                    </w:rPr>
                    <w:t>3</w:t>
                  </w:r>
                </w:p>
              </w:tc>
              <w:tc>
                <w:tcPr>
                  <w:tcW w:w="1884" w:type="pct"/>
                  <w:vMerge w:val="continue"/>
                  <w:noWrap w:val="0"/>
                  <w:vAlign w:val="center"/>
                </w:tcPr>
                <w:p w14:paraId="157FD366">
                  <w:pPr>
                    <w:jc w:val="center"/>
                    <w:outlineLvl w:val="9"/>
                    <w:rPr>
                      <w:rFonts w:hint="eastAsia" w:cs="Times New Roman"/>
                      <w:bCs/>
                      <w:color w:val="auto"/>
                      <w:sz w:val="21"/>
                      <w:szCs w:val="21"/>
                      <w:lang w:val="en-US" w:eastAsia="zh-CN"/>
                    </w:rPr>
                  </w:pPr>
                </w:p>
              </w:tc>
            </w:tr>
          </w:tbl>
          <w:p w14:paraId="57ADF6AF">
            <w:pPr>
              <w:pStyle w:val="16"/>
              <w:numPr>
                <w:ilvl w:val="0"/>
                <w:numId w:val="0"/>
              </w:numPr>
              <w:jc w:val="center"/>
              <w:rPr>
                <w:rFonts w:hint="eastAsia" w:ascii="Times New Roman" w:hAnsi="Times New Roman" w:eastAsia="宋体" w:cs="Times New Roman"/>
                <w:b/>
                <w:bCs/>
                <w:color w:val="auto"/>
                <w:kern w:val="21"/>
                <w:sz w:val="24"/>
                <w:szCs w:val="24"/>
                <w:highlight w:val="none"/>
                <w:u w:val="none"/>
                <w:lang w:val="en-US" w:eastAsia="zh-CN"/>
              </w:rPr>
            </w:pPr>
            <w:r>
              <w:rPr>
                <w:rFonts w:hint="eastAsia" w:ascii="Times New Roman" w:hAnsi="Times New Roman" w:eastAsia="宋体" w:cs="Times New Roman"/>
                <w:b/>
                <w:bCs/>
                <w:color w:val="auto"/>
                <w:kern w:val="21"/>
                <w:sz w:val="24"/>
                <w:szCs w:val="24"/>
                <w:highlight w:val="none"/>
                <w:u w:val="none"/>
                <w:lang w:val="en-US" w:eastAsia="zh-CN"/>
              </w:rPr>
              <w:t>表3-</w:t>
            </w:r>
            <w:r>
              <w:rPr>
                <w:rFonts w:hint="eastAsia" w:cs="Times New Roman"/>
                <w:b/>
                <w:bCs/>
                <w:color w:val="auto"/>
                <w:kern w:val="21"/>
                <w:sz w:val="24"/>
                <w:szCs w:val="24"/>
                <w:highlight w:val="none"/>
                <w:u w:val="none"/>
                <w:lang w:val="en-US" w:eastAsia="zh-CN"/>
              </w:rPr>
              <w:t>6</w:t>
            </w:r>
            <w:r>
              <w:rPr>
                <w:rFonts w:hint="eastAsia" w:ascii="Times New Roman" w:hAnsi="Times New Roman" w:eastAsia="宋体" w:cs="Times New Roman"/>
                <w:b/>
                <w:bCs/>
                <w:color w:val="auto"/>
                <w:kern w:val="21"/>
                <w:sz w:val="24"/>
                <w:szCs w:val="24"/>
                <w:highlight w:val="none"/>
                <w:u w:val="none"/>
                <w:lang w:val="en-US" w:eastAsia="zh-CN"/>
              </w:rPr>
              <w:t xml:space="preserve"> 无组织废气排放标准及限值</w:t>
            </w:r>
          </w:p>
          <w:tbl>
            <w:tblPr>
              <w:tblStyle w:val="31"/>
              <w:tblW w:w="8099"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109"/>
              <w:gridCol w:w="2992"/>
              <w:gridCol w:w="2998"/>
            </w:tblGrid>
            <w:tr w14:paraId="431F8E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vMerge w:val="restart"/>
                  <w:tcBorders>
                    <w:tl2br w:val="nil"/>
                    <w:tr2bl w:val="nil"/>
                  </w:tcBorders>
                  <w:vAlign w:val="center"/>
                </w:tcPr>
                <w:p w14:paraId="3BC53992">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污染物</w:t>
                  </w:r>
                </w:p>
              </w:tc>
              <w:tc>
                <w:tcPr>
                  <w:tcW w:w="5990" w:type="dxa"/>
                  <w:gridSpan w:val="2"/>
                  <w:tcBorders>
                    <w:tl2br w:val="nil"/>
                    <w:tr2bl w:val="nil"/>
                  </w:tcBorders>
                  <w:vAlign w:val="center"/>
                </w:tcPr>
                <w:p w14:paraId="7838C7B0">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无组织排放监控浓度限值</w:t>
                  </w:r>
                </w:p>
              </w:tc>
            </w:tr>
            <w:tr w14:paraId="25CD31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vMerge w:val="continue"/>
                  <w:tcBorders>
                    <w:tl2br w:val="nil"/>
                    <w:tr2bl w:val="nil"/>
                  </w:tcBorders>
                  <w:vAlign w:val="center"/>
                </w:tcPr>
                <w:p w14:paraId="29C040D8">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p>
              </w:tc>
              <w:tc>
                <w:tcPr>
                  <w:tcW w:w="2992" w:type="dxa"/>
                  <w:tcBorders>
                    <w:tl2br w:val="nil"/>
                    <w:tr2bl w:val="nil"/>
                  </w:tcBorders>
                  <w:vAlign w:val="center"/>
                </w:tcPr>
                <w:p w14:paraId="028A13DE">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baseline"/>
                      <w:lang w:val="en-US" w:eastAsia="zh-CN"/>
                    </w:rPr>
                  </w:pPr>
                  <w:r>
                    <w:rPr>
                      <w:rFonts w:hint="eastAsia" w:ascii="Times New Roman" w:hAnsi="Times New Roman" w:eastAsia="宋体" w:cs="Times New Roman"/>
                      <w:b/>
                      <w:bCs/>
                      <w:color w:val="auto"/>
                      <w:kern w:val="21"/>
                      <w:sz w:val="21"/>
                      <w:szCs w:val="21"/>
                      <w:highlight w:val="none"/>
                      <w:u w:val="none"/>
                      <w:vertAlign w:val="baseline"/>
                      <w:lang w:val="en-US" w:eastAsia="zh-CN"/>
                    </w:rPr>
                    <w:t>监控点</w:t>
                  </w:r>
                </w:p>
              </w:tc>
              <w:tc>
                <w:tcPr>
                  <w:tcW w:w="2998" w:type="dxa"/>
                  <w:tcBorders>
                    <w:tl2br w:val="nil"/>
                    <w:tr2bl w:val="nil"/>
                  </w:tcBorders>
                  <w:vAlign w:val="center"/>
                </w:tcPr>
                <w:p w14:paraId="07F266BE">
                  <w:pPr>
                    <w:pStyle w:val="16"/>
                    <w:numPr>
                      <w:ilvl w:val="0"/>
                      <w:numId w:val="0"/>
                    </w:numPr>
                    <w:jc w:val="center"/>
                    <w:rPr>
                      <w:rFonts w:hint="default" w:ascii="Times New Roman" w:hAnsi="Times New Roman" w:eastAsia="宋体" w:cs="Times New Roman"/>
                      <w:b/>
                      <w:bCs/>
                      <w:color w:val="auto"/>
                      <w:kern w:val="21"/>
                      <w:sz w:val="21"/>
                      <w:szCs w:val="21"/>
                      <w:highlight w:val="none"/>
                      <w:u w:val="none"/>
                      <w:vertAlign w:val="superscript"/>
                      <w:lang w:val="en-US" w:eastAsia="zh-CN"/>
                    </w:rPr>
                  </w:pPr>
                  <w:r>
                    <w:rPr>
                      <w:rFonts w:hint="eastAsia" w:cs="Times New Roman"/>
                      <w:b/>
                      <w:bCs/>
                      <w:color w:val="auto"/>
                      <w:kern w:val="21"/>
                      <w:sz w:val="21"/>
                      <w:szCs w:val="21"/>
                      <w:highlight w:val="none"/>
                      <w:u w:val="none"/>
                      <w:vertAlign w:val="baseline"/>
                      <w:lang w:val="en-US" w:eastAsia="zh-CN"/>
                    </w:rPr>
                    <w:t>无组织排放限值/</w:t>
                  </w:r>
                  <w:r>
                    <w:rPr>
                      <w:rFonts w:hint="eastAsia" w:ascii="Times New Roman" w:hAnsi="Times New Roman" w:eastAsia="宋体" w:cs="Times New Roman"/>
                      <w:b/>
                      <w:bCs/>
                      <w:color w:val="auto"/>
                      <w:kern w:val="21"/>
                      <w:sz w:val="21"/>
                      <w:szCs w:val="21"/>
                      <w:highlight w:val="none"/>
                      <w:u w:val="none"/>
                      <w:vertAlign w:val="baseline"/>
                      <w:lang w:val="en-US" w:eastAsia="zh-CN"/>
                    </w:rPr>
                    <w:t>mg/m</w:t>
                  </w:r>
                  <w:r>
                    <w:rPr>
                      <w:rFonts w:hint="eastAsia" w:ascii="Times New Roman" w:hAnsi="Times New Roman" w:eastAsia="宋体" w:cs="Times New Roman"/>
                      <w:b/>
                      <w:bCs/>
                      <w:color w:val="auto"/>
                      <w:kern w:val="21"/>
                      <w:sz w:val="21"/>
                      <w:szCs w:val="21"/>
                      <w:highlight w:val="none"/>
                      <w:u w:val="none"/>
                      <w:vertAlign w:val="superscript"/>
                      <w:lang w:val="en-US" w:eastAsia="zh-CN"/>
                    </w:rPr>
                    <w:t>3</w:t>
                  </w:r>
                </w:p>
              </w:tc>
            </w:tr>
            <w:tr w14:paraId="595BFF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109" w:type="dxa"/>
                  <w:tcBorders>
                    <w:tl2br w:val="nil"/>
                    <w:tr2bl w:val="nil"/>
                  </w:tcBorders>
                  <w:vAlign w:val="center"/>
                </w:tcPr>
                <w:p w14:paraId="7A5E1E11">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颗粒物</w:t>
                  </w:r>
                </w:p>
              </w:tc>
              <w:tc>
                <w:tcPr>
                  <w:tcW w:w="2992" w:type="dxa"/>
                  <w:tcBorders>
                    <w:tl2br w:val="nil"/>
                    <w:tr2bl w:val="nil"/>
                  </w:tcBorders>
                  <w:vAlign w:val="center"/>
                </w:tcPr>
                <w:p w14:paraId="0B328A1C">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周界外浓度最高点</w:t>
                  </w:r>
                </w:p>
              </w:tc>
              <w:tc>
                <w:tcPr>
                  <w:tcW w:w="2998" w:type="dxa"/>
                  <w:tcBorders>
                    <w:tl2br w:val="nil"/>
                    <w:tr2bl w:val="nil"/>
                  </w:tcBorders>
                  <w:vAlign w:val="center"/>
                </w:tcPr>
                <w:p w14:paraId="11EBBEA7">
                  <w:pPr>
                    <w:pStyle w:val="16"/>
                    <w:numPr>
                      <w:ilvl w:val="0"/>
                      <w:numId w:val="0"/>
                    </w:numPr>
                    <w:jc w:val="center"/>
                    <w:rPr>
                      <w:rFonts w:hint="default" w:ascii="Times New Roman" w:hAnsi="Times New Roman" w:eastAsia="宋体" w:cs="Times New Roman"/>
                      <w:b w:val="0"/>
                      <w:bCs w:val="0"/>
                      <w:color w:val="auto"/>
                      <w:kern w:val="21"/>
                      <w:sz w:val="21"/>
                      <w:szCs w:val="21"/>
                      <w:highlight w:val="none"/>
                      <w:u w:val="none"/>
                      <w:vertAlign w:val="baseline"/>
                      <w:lang w:val="en-US" w:eastAsia="zh-CN"/>
                    </w:rPr>
                  </w:pPr>
                  <w:r>
                    <w:rPr>
                      <w:rFonts w:hint="eastAsia" w:ascii="Times New Roman" w:hAnsi="Times New Roman" w:eastAsia="宋体" w:cs="Times New Roman"/>
                      <w:b w:val="0"/>
                      <w:bCs w:val="0"/>
                      <w:color w:val="auto"/>
                      <w:kern w:val="21"/>
                      <w:sz w:val="21"/>
                      <w:szCs w:val="21"/>
                      <w:highlight w:val="none"/>
                      <w:u w:val="none"/>
                      <w:vertAlign w:val="baseline"/>
                      <w:lang w:val="en-US" w:eastAsia="zh-CN"/>
                    </w:rPr>
                    <w:t>1.0</w:t>
                  </w:r>
                </w:p>
              </w:tc>
            </w:tr>
          </w:tbl>
          <w:p w14:paraId="7FB43508">
            <w:pPr>
              <w:spacing w:before="120" w:beforeLines="50" w:line="360" w:lineRule="auto"/>
              <w:ind w:firstLine="482" w:firstLineChars="200"/>
              <w:rPr>
                <w:rFonts w:hint="default" w:ascii="Times New Roman" w:hAnsi="Times New Roman" w:cs="Times New Roman"/>
                <w:b/>
                <w:bCs/>
                <w:color w:val="auto"/>
                <w:kern w:val="2"/>
                <w:sz w:val="24"/>
                <w:szCs w:val="24"/>
                <w:lang w:val="en-US" w:eastAsia="zh-CN" w:bidi="ar-SA"/>
              </w:rPr>
            </w:pPr>
            <w:r>
              <w:rPr>
                <w:rFonts w:hint="default" w:ascii="Times New Roman" w:hAnsi="Times New Roman" w:cs="Times New Roman"/>
                <w:b/>
                <w:bCs/>
                <w:color w:val="auto"/>
                <w:kern w:val="2"/>
                <w:sz w:val="24"/>
                <w:szCs w:val="24"/>
                <w:lang w:val="en-US" w:eastAsia="zh-CN" w:bidi="ar-SA"/>
              </w:rPr>
              <w:t>2、噪声</w:t>
            </w:r>
          </w:p>
          <w:p w14:paraId="15F152D8">
            <w:pPr>
              <w:adjustRightInd w:val="0"/>
              <w:snapToGrid w:val="0"/>
              <w:spacing w:line="360" w:lineRule="auto"/>
              <w:ind w:firstLine="480" w:firstLineChars="200"/>
              <w:rPr>
                <w:rFonts w:hint="default" w:ascii="Times New Roman" w:hAnsi="Times New Roman" w:eastAsia="宋体" w:cs="Times New Roman"/>
                <w:b/>
                <w:bCs/>
                <w:color w:val="auto"/>
                <w:kern w:val="21"/>
                <w:sz w:val="24"/>
                <w:szCs w:val="24"/>
                <w:u w:val="none"/>
                <w:lang w:val="en-US" w:eastAsia="zh-CN" w:bidi="ar-SA"/>
              </w:rPr>
            </w:pPr>
            <w:r>
              <w:rPr>
                <w:rFonts w:hint="eastAsia" w:ascii="宋体" w:hAnsi="宋体" w:eastAsia="宋体" w:cs="宋体"/>
                <w:color w:val="auto"/>
                <w:spacing w:val="0"/>
                <w:kern w:val="0"/>
                <w:sz w:val="24"/>
                <w:highlight w:val="none"/>
              </w:rPr>
              <w:t>施工期噪声执行《建筑施工噪声排放标准》</w:t>
            </w:r>
            <w:r>
              <w:rPr>
                <w:rFonts w:hint="default" w:ascii="Times New Roman" w:hAnsi="Times New Roman" w:eastAsia="宋体" w:cs="Times New Roman"/>
                <w:color w:val="auto"/>
                <w:spacing w:val="0"/>
                <w:kern w:val="0"/>
                <w:sz w:val="24"/>
                <w:highlight w:val="none"/>
              </w:rPr>
              <w:t>（GB12523-20</w:t>
            </w:r>
            <w:r>
              <w:rPr>
                <w:rFonts w:hint="default" w:ascii="Times New Roman" w:hAnsi="Times New Roman" w:eastAsia="宋体" w:cs="Times New Roman"/>
                <w:color w:val="auto"/>
                <w:spacing w:val="0"/>
                <w:kern w:val="0"/>
                <w:sz w:val="24"/>
                <w:highlight w:val="none"/>
                <w:lang w:val="en-US" w:eastAsia="zh-CN"/>
              </w:rPr>
              <w:t>25</w:t>
            </w:r>
            <w:r>
              <w:rPr>
                <w:rFonts w:hint="default" w:ascii="Times New Roman" w:hAnsi="Times New Roman" w:eastAsia="宋体" w:cs="Times New Roman"/>
                <w:color w:val="auto"/>
                <w:spacing w:val="0"/>
                <w:kern w:val="0"/>
                <w:sz w:val="24"/>
                <w:highlight w:val="none"/>
              </w:rPr>
              <w:t>）。</w:t>
            </w:r>
            <w:r>
              <w:rPr>
                <w:rFonts w:hint="default" w:ascii="Times New Roman" w:hAnsi="Times New Roman" w:eastAsia="宋体" w:cs="Times New Roman"/>
                <w:color w:val="auto"/>
                <w:kern w:val="0"/>
                <w:sz w:val="24"/>
                <w:szCs w:val="24"/>
                <w:lang w:val="en-US" w:eastAsia="zh-CN"/>
              </w:rPr>
              <w:t>运营期厂界噪声执行《工业企业厂界环境噪声排放标准》（GB12348-2008）中</w:t>
            </w:r>
            <w:r>
              <w:rPr>
                <w:rFonts w:hint="eastAsia" w:cs="Times New Roman"/>
                <w:color w:val="auto"/>
                <w:kern w:val="0"/>
                <w:sz w:val="24"/>
                <w:szCs w:val="24"/>
                <w:lang w:val="en-US" w:eastAsia="zh-CN"/>
              </w:rPr>
              <w:t>2</w:t>
            </w:r>
            <w:r>
              <w:rPr>
                <w:rFonts w:hint="default" w:ascii="Times New Roman" w:hAnsi="Times New Roman" w:eastAsia="宋体" w:cs="Times New Roman"/>
                <w:color w:val="auto"/>
                <w:kern w:val="0"/>
                <w:sz w:val="24"/>
                <w:szCs w:val="24"/>
                <w:lang w:val="en-US" w:eastAsia="zh-CN"/>
              </w:rPr>
              <w:t>类标准。</w:t>
            </w:r>
          </w:p>
          <w:p w14:paraId="4F705058">
            <w:pPr>
              <w:pStyle w:val="16"/>
              <w:numPr>
                <w:ilvl w:val="0"/>
                <w:numId w:val="0"/>
              </w:numPr>
              <w:spacing w:line="240" w:lineRule="auto"/>
              <w:jc w:val="center"/>
              <w:rPr>
                <w:rFonts w:hint="default" w:ascii="Times New Roman" w:hAnsi="Times New Roman" w:eastAsia="宋体" w:cs="Times New Roman"/>
                <w:b/>
                <w:bCs/>
                <w:color w:val="auto"/>
                <w:kern w:val="21"/>
                <w:sz w:val="24"/>
                <w:szCs w:val="24"/>
                <w:highlight w:val="none"/>
                <w:u w:val="none"/>
                <w:lang w:val="en-US" w:eastAsia="zh-CN"/>
              </w:rPr>
            </w:pPr>
            <w:r>
              <w:rPr>
                <w:rFonts w:hint="default" w:ascii="Times New Roman" w:hAnsi="Times New Roman" w:eastAsia="宋体" w:cs="Times New Roman"/>
                <w:b/>
                <w:bCs/>
                <w:color w:val="auto"/>
                <w:kern w:val="21"/>
                <w:sz w:val="24"/>
                <w:szCs w:val="24"/>
                <w:highlight w:val="none"/>
                <w:u w:val="none"/>
                <w:lang w:val="en-US" w:eastAsia="zh-CN"/>
              </w:rPr>
              <w:t>表3-</w:t>
            </w:r>
            <w:r>
              <w:rPr>
                <w:rFonts w:hint="eastAsia" w:cs="Times New Roman"/>
                <w:b/>
                <w:bCs/>
                <w:color w:val="auto"/>
                <w:kern w:val="21"/>
                <w:sz w:val="24"/>
                <w:szCs w:val="24"/>
                <w:highlight w:val="none"/>
                <w:u w:val="none"/>
                <w:lang w:val="en-US" w:eastAsia="zh-CN"/>
              </w:rPr>
              <w:t xml:space="preserve">7 </w:t>
            </w:r>
            <w:r>
              <w:rPr>
                <w:rFonts w:hint="default" w:ascii="Times New Roman" w:hAnsi="Times New Roman" w:eastAsia="宋体" w:cs="Times New Roman"/>
                <w:b/>
                <w:bCs/>
                <w:color w:val="auto"/>
                <w:kern w:val="21"/>
                <w:sz w:val="24"/>
                <w:szCs w:val="24"/>
                <w:highlight w:val="none"/>
                <w:u w:val="none"/>
                <w:lang w:val="en-US" w:eastAsia="zh-CN"/>
              </w:rPr>
              <w:t>噪声排放执行标准</w:t>
            </w:r>
          </w:p>
          <w:tbl>
            <w:tblPr>
              <w:tblStyle w:val="30"/>
              <w:tblW w:w="8020"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604"/>
              <w:gridCol w:w="1604"/>
              <w:gridCol w:w="1604"/>
              <w:gridCol w:w="1604"/>
              <w:gridCol w:w="1604"/>
            </w:tblGrid>
            <w:tr w14:paraId="5ABA156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04" w:type="dxa"/>
                  <w:tcBorders>
                    <w:bottom w:val="single" w:color="auto" w:sz="6" w:space="0"/>
                    <w:right w:val="single" w:color="auto" w:sz="8" w:space="0"/>
                  </w:tcBorders>
                  <w:noWrap w:val="0"/>
                  <w:vAlign w:val="center"/>
                </w:tcPr>
                <w:p w14:paraId="4C3A8D03">
                  <w:pPr>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eastAsia="宋体" w:cs="Times New Roman"/>
                      <w:b/>
                      <w:bCs/>
                      <w:color w:val="auto"/>
                      <w:kern w:val="0"/>
                      <w:sz w:val="21"/>
                      <w:szCs w:val="21"/>
                    </w:rPr>
                    <w:t>评价时段</w:t>
                  </w:r>
                </w:p>
              </w:tc>
              <w:tc>
                <w:tcPr>
                  <w:tcW w:w="1604" w:type="dxa"/>
                  <w:tcBorders>
                    <w:left w:val="single" w:color="auto" w:sz="8" w:space="0"/>
                    <w:bottom w:val="single" w:color="auto" w:sz="6" w:space="0"/>
                    <w:right w:val="single" w:color="auto" w:sz="8" w:space="0"/>
                  </w:tcBorders>
                  <w:noWrap w:val="0"/>
                  <w:vAlign w:val="center"/>
                </w:tcPr>
                <w:p w14:paraId="1704F466">
                  <w:pPr>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eastAsia="宋体" w:cs="Times New Roman"/>
                      <w:b/>
                      <w:bCs/>
                      <w:color w:val="auto"/>
                      <w:kern w:val="0"/>
                      <w:sz w:val="21"/>
                      <w:szCs w:val="21"/>
                    </w:rPr>
                    <w:t>类别</w:t>
                  </w:r>
                </w:p>
              </w:tc>
              <w:tc>
                <w:tcPr>
                  <w:tcW w:w="1604" w:type="dxa"/>
                  <w:tcBorders>
                    <w:left w:val="single" w:color="auto" w:sz="8" w:space="0"/>
                    <w:bottom w:val="single" w:color="auto" w:sz="6" w:space="0"/>
                    <w:right w:val="single" w:color="auto" w:sz="8" w:space="0"/>
                  </w:tcBorders>
                  <w:noWrap w:val="0"/>
                  <w:vAlign w:val="center"/>
                </w:tcPr>
                <w:p w14:paraId="664E641E">
                  <w:pPr>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eastAsia="宋体" w:cs="Times New Roman"/>
                      <w:b/>
                      <w:bCs/>
                      <w:color w:val="auto"/>
                      <w:kern w:val="0"/>
                      <w:sz w:val="21"/>
                      <w:szCs w:val="21"/>
                    </w:rPr>
                    <w:t>单位</w:t>
                  </w:r>
                </w:p>
              </w:tc>
              <w:tc>
                <w:tcPr>
                  <w:tcW w:w="1604" w:type="dxa"/>
                  <w:tcBorders>
                    <w:left w:val="single" w:color="auto" w:sz="8" w:space="0"/>
                    <w:bottom w:val="single" w:color="auto" w:sz="6" w:space="0"/>
                    <w:right w:val="single" w:color="auto" w:sz="8" w:space="0"/>
                  </w:tcBorders>
                  <w:noWrap w:val="0"/>
                  <w:vAlign w:val="center"/>
                </w:tcPr>
                <w:p w14:paraId="46C6CD16">
                  <w:pPr>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eastAsia="宋体" w:cs="Times New Roman"/>
                      <w:b/>
                      <w:bCs/>
                      <w:color w:val="auto"/>
                      <w:kern w:val="0"/>
                      <w:sz w:val="21"/>
                      <w:szCs w:val="21"/>
                    </w:rPr>
                    <w:t>昼间</w:t>
                  </w:r>
                </w:p>
              </w:tc>
              <w:tc>
                <w:tcPr>
                  <w:tcW w:w="1604" w:type="dxa"/>
                  <w:tcBorders>
                    <w:left w:val="single" w:color="auto" w:sz="8" w:space="0"/>
                    <w:bottom w:val="single" w:color="auto" w:sz="6" w:space="0"/>
                  </w:tcBorders>
                  <w:noWrap w:val="0"/>
                  <w:vAlign w:val="center"/>
                </w:tcPr>
                <w:p w14:paraId="67E6F1D3">
                  <w:pPr>
                    <w:spacing w:line="240" w:lineRule="auto"/>
                    <w:jc w:val="center"/>
                    <w:rPr>
                      <w:rFonts w:hint="default" w:ascii="Times New Roman" w:hAnsi="Times New Roman" w:cs="Times New Roman"/>
                      <w:b/>
                      <w:bCs/>
                      <w:color w:val="auto"/>
                      <w:kern w:val="0"/>
                      <w:sz w:val="21"/>
                      <w:szCs w:val="21"/>
                    </w:rPr>
                  </w:pPr>
                  <w:r>
                    <w:rPr>
                      <w:rFonts w:hint="default" w:ascii="Times New Roman" w:hAnsi="Times New Roman" w:eastAsia="宋体" w:cs="Times New Roman"/>
                      <w:b/>
                      <w:bCs/>
                      <w:color w:val="auto"/>
                      <w:kern w:val="0"/>
                      <w:sz w:val="21"/>
                      <w:szCs w:val="21"/>
                    </w:rPr>
                    <w:t>夜间</w:t>
                  </w:r>
                </w:p>
              </w:tc>
            </w:tr>
            <w:tr w14:paraId="3E067E07">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04" w:type="dxa"/>
                  <w:tcBorders>
                    <w:right w:val="single" w:color="auto" w:sz="8" w:space="0"/>
                  </w:tcBorders>
                  <w:noWrap w:val="0"/>
                  <w:vAlign w:val="center"/>
                </w:tcPr>
                <w:p w14:paraId="110D307A">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eastAsia="zh-CN"/>
                    </w:rPr>
                    <w:t>施工</w:t>
                  </w:r>
                  <w:r>
                    <w:rPr>
                      <w:rFonts w:hint="default" w:ascii="Times New Roman" w:hAnsi="Times New Roman" w:eastAsia="宋体" w:cs="Times New Roman"/>
                      <w:color w:val="auto"/>
                      <w:kern w:val="0"/>
                      <w:sz w:val="21"/>
                      <w:szCs w:val="21"/>
                    </w:rPr>
                    <w:t>期</w:t>
                  </w:r>
                </w:p>
              </w:tc>
              <w:tc>
                <w:tcPr>
                  <w:tcW w:w="1604" w:type="dxa"/>
                  <w:tcBorders>
                    <w:top w:val="single" w:color="auto" w:sz="6" w:space="0"/>
                    <w:left w:val="single" w:color="auto" w:sz="8" w:space="0"/>
                    <w:bottom w:val="single" w:color="auto" w:sz="6" w:space="0"/>
                    <w:right w:val="single" w:color="auto" w:sz="8" w:space="0"/>
                  </w:tcBorders>
                  <w:noWrap w:val="0"/>
                  <w:vAlign w:val="center"/>
                </w:tcPr>
                <w:p w14:paraId="2B6BA2D1">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w:t>
                  </w:r>
                </w:p>
              </w:tc>
              <w:tc>
                <w:tcPr>
                  <w:tcW w:w="1604" w:type="dxa"/>
                  <w:tcBorders>
                    <w:top w:val="single" w:color="auto" w:sz="6" w:space="0"/>
                    <w:left w:val="single" w:color="auto" w:sz="8" w:space="0"/>
                    <w:bottom w:val="single" w:color="auto" w:sz="6" w:space="0"/>
                    <w:right w:val="single" w:color="auto" w:sz="8" w:space="0"/>
                  </w:tcBorders>
                  <w:noWrap w:val="0"/>
                  <w:vAlign w:val="center"/>
                </w:tcPr>
                <w:p w14:paraId="5BCFA1B5">
                  <w:pPr>
                    <w:spacing w:line="240" w:lineRule="auto"/>
                    <w:jc w:val="center"/>
                    <w:rPr>
                      <w:rFonts w:hint="default" w:ascii="Times New Roman" w:hAnsi="Times New Roman" w:cs="Times New Roman"/>
                      <w:color w:val="auto"/>
                      <w:kern w:val="0"/>
                      <w:sz w:val="21"/>
                      <w:szCs w:val="21"/>
                      <w:lang w:val="en-US" w:eastAsia="zh-CN" w:bidi="ar-SA"/>
                    </w:rPr>
                  </w:pPr>
                  <w:r>
                    <w:rPr>
                      <w:rFonts w:hint="default" w:ascii="Times New Roman" w:hAnsi="Times New Roman" w:eastAsia="宋体" w:cs="Times New Roman"/>
                      <w:color w:val="auto"/>
                      <w:kern w:val="0"/>
                      <w:sz w:val="21"/>
                      <w:szCs w:val="21"/>
                    </w:rPr>
                    <w:t>dB(A)</w:t>
                  </w:r>
                </w:p>
              </w:tc>
              <w:tc>
                <w:tcPr>
                  <w:tcW w:w="1604" w:type="dxa"/>
                  <w:tcBorders>
                    <w:top w:val="single" w:color="auto" w:sz="6" w:space="0"/>
                    <w:left w:val="single" w:color="auto" w:sz="8" w:space="0"/>
                    <w:bottom w:val="single" w:color="auto" w:sz="6" w:space="0"/>
                    <w:right w:val="single" w:color="auto" w:sz="8" w:space="0"/>
                  </w:tcBorders>
                  <w:noWrap w:val="0"/>
                  <w:vAlign w:val="center"/>
                </w:tcPr>
                <w:p w14:paraId="2CC61634">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70</w:t>
                  </w:r>
                </w:p>
              </w:tc>
              <w:tc>
                <w:tcPr>
                  <w:tcW w:w="1604" w:type="dxa"/>
                  <w:tcBorders>
                    <w:top w:val="single" w:color="auto" w:sz="6" w:space="0"/>
                    <w:left w:val="single" w:color="auto" w:sz="8" w:space="0"/>
                    <w:bottom w:val="single" w:color="auto" w:sz="6" w:space="0"/>
                  </w:tcBorders>
                  <w:noWrap w:val="0"/>
                  <w:vAlign w:val="center"/>
                </w:tcPr>
                <w:p w14:paraId="73828970">
                  <w:pPr>
                    <w:spacing w:line="240" w:lineRule="auto"/>
                    <w:jc w:val="center"/>
                    <w:rPr>
                      <w:rFonts w:hint="default" w:ascii="Times New Roman" w:hAnsi="Times New Roman" w:eastAsia="宋体" w:cs="Times New Roman"/>
                      <w:color w:val="auto"/>
                      <w:kern w:val="0"/>
                      <w:sz w:val="21"/>
                      <w:szCs w:val="21"/>
                      <w:lang w:val="en-US" w:eastAsia="zh-CN" w:bidi="ar-SA"/>
                    </w:rPr>
                  </w:pPr>
                  <w:r>
                    <w:rPr>
                      <w:rFonts w:hint="eastAsia" w:cs="Times New Roman"/>
                      <w:color w:val="auto"/>
                      <w:kern w:val="0"/>
                      <w:sz w:val="21"/>
                      <w:szCs w:val="21"/>
                      <w:lang w:val="en-US" w:eastAsia="zh-CN"/>
                    </w:rPr>
                    <w:t>55</w:t>
                  </w:r>
                </w:p>
              </w:tc>
            </w:tr>
            <w:tr w14:paraId="3AD992D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10" w:hRule="atLeast"/>
                <w:jc w:val="center"/>
              </w:trPr>
              <w:tc>
                <w:tcPr>
                  <w:tcW w:w="1604" w:type="dxa"/>
                  <w:tcBorders>
                    <w:bottom w:val="single" w:color="auto" w:sz="12" w:space="0"/>
                    <w:right w:val="single" w:color="auto" w:sz="8" w:space="0"/>
                  </w:tcBorders>
                  <w:noWrap w:val="0"/>
                  <w:vAlign w:val="center"/>
                </w:tcPr>
                <w:p w14:paraId="2361FDCA">
                  <w:pPr>
                    <w:spacing w:line="240" w:lineRule="auto"/>
                    <w:jc w:val="center"/>
                    <w:rPr>
                      <w:rFonts w:hint="default" w:ascii="Times New Roman" w:hAnsi="Times New Roman" w:eastAsia="宋体" w:cs="Times New Roman"/>
                      <w:color w:val="auto"/>
                      <w:kern w:val="0"/>
                      <w:sz w:val="21"/>
                      <w:szCs w:val="21"/>
                      <w:lang w:eastAsia="zh-CN"/>
                    </w:rPr>
                  </w:pPr>
                  <w:r>
                    <w:rPr>
                      <w:rFonts w:hint="default" w:ascii="Times New Roman" w:hAnsi="Times New Roman" w:eastAsia="宋体" w:cs="Times New Roman"/>
                      <w:color w:val="auto"/>
                      <w:kern w:val="0"/>
                      <w:sz w:val="21"/>
                      <w:szCs w:val="21"/>
                      <w:lang w:eastAsia="zh-CN"/>
                    </w:rPr>
                    <w:t>运营</w:t>
                  </w:r>
                  <w:r>
                    <w:rPr>
                      <w:rFonts w:hint="default" w:ascii="Times New Roman" w:hAnsi="Times New Roman" w:eastAsia="宋体" w:cs="Times New Roman"/>
                      <w:color w:val="auto"/>
                      <w:kern w:val="0"/>
                      <w:sz w:val="21"/>
                      <w:szCs w:val="21"/>
                    </w:rPr>
                    <w:t>期</w:t>
                  </w:r>
                </w:p>
              </w:tc>
              <w:tc>
                <w:tcPr>
                  <w:tcW w:w="1604" w:type="dxa"/>
                  <w:tcBorders>
                    <w:top w:val="single" w:color="auto" w:sz="6" w:space="0"/>
                    <w:left w:val="single" w:color="auto" w:sz="8" w:space="0"/>
                    <w:bottom w:val="single" w:color="auto" w:sz="12" w:space="0"/>
                    <w:right w:val="single" w:color="auto" w:sz="8" w:space="0"/>
                  </w:tcBorders>
                  <w:noWrap w:val="0"/>
                  <w:vAlign w:val="center"/>
                </w:tcPr>
                <w:p w14:paraId="14F20AB0">
                  <w:pPr>
                    <w:spacing w:line="240" w:lineRule="auto"/>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2</w:t>
                  </w:r>
                  <w:r>
                    <w:rPr>
                      <w:rFonts w:hint="default" w:ascii="Times New Roman" w:hAnsi="Times New Roman" w:eastAsia="宋体" w:cs="Times New Roman"/>
                      <w:color w:val="auto"/>
                      <w:kern w:val="0"/>
                      <w:sz w:val="21"/>
                      <w:szCs w:val="21"/>
                      <w:lang w:val="en-US" w:eastAsia="zh-CN"/>
                    </w:rPr>
                    <w:t>类</w:t>
                  </w:r>
                </w:p>
              </w:tc>
              <w:tc>
                <w:tcPr>
                  <w:tcW w:w="1604" w:type="dxa"/>
                  <w:tcBorders>
                    <w:top w:val="single" w:color="auto" w:sz="6" w:space="0"/>
                    <w:left w:val="single" w:color="auto" w:sz="8" w:space="0"/>
                    <w:bottom w:val="single" w:color="auto" w:sz="12" w:space="0"/>
                    <w:right w:val="single" w:color="auto" w:sz="8" w:space="0"/>
                  </w:tcBorders>
                  <w:noWrap w:val="0"/>
                  <w:vAlign w:val="center"/>
                </w:tcPr>
                <w:p w14:paraId="7B42B66F">
                  <w:pPr>
                    <w:spacing w:line="240" w:lineRule="auto"/>
                    <w:jc w:val="center"/>
                    <w:rPr>
                      <w:rFonts w:hint="default" w:ascii="Times New Roman" w:hAnsi="Times New Roman" w:eastAsia="宋体" w:cs="Times New Roman"/>
                      <w:color w:val="auto"/>
                      <w:kern w:val="0"/>
                      <w:sz w:val="21"/>
                      <w:szCs w:val="21"/>
                    </w:rPr>
                  </w:pPr>
                  <w:r>
                    <w:rPr>
                      <w:rFonts w:hint="default" w:ascii="Times New Roman" w:hAnsi="Times New Roman" w:eastAsia="宋体" w:cs="Times New Roman"/>
                      <w:color w:val="auto"/>
                      <w:kern w:val="0"/>
                      <w:sz w:val="21"/>
                      <w:szCs w:val="21"/>
                    </w:rPr>
                    <w:t>dB(A)</w:t>
                  </w:r>
                </w:p>
              </w:tc>
              <w:tc>
                <w:tcPr>
                  <w:tcW w:w="1604" w:type="dxa"/>
                  <w:tcBorders>
                    <w:top w:val="single" w:color="auto" w:sz="6" w:space="0"/>
                    <w:left w:val="single" w:color="auto" w:sz="8" w:space="0"/>
                    <w:bottom w:val="single" w:color="auto" w:sz="12" w:space="0"/>
                    <w:right w:val="single" w:color="auto" w:sz="8" w:space="0"/>
                  </w:tcBorders>
                  <w:noWrap w:val="0"/>
                  <w:vAlign w:val="center"/>
                </w:tcPr>
                <w:p w14:paraId="2A30DA69">
                  <w:pPr>
                    <w:spacing w:line="240" w:lineRule="auto"/>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60</w:t>
                  </w:r>
                </w:p>
              </w:tc>
              <w:tc>
                <w:tcPr>
                  <w:tcW w:w="1604" w:type="dxa"/>
                  <w:tcBorders>
                    <w:top w:val="single" w:color="auto" w:sz="6" w:space="0"/>
                    <w:left w:val="single" w:color="auto" w:sz="8" w:space="0"/>
                    <w:bottom w:val="single" w:color="auto" w:sz="12" w:space="0"/>
                  </w:tcBorders>
                  <w:noWrap w:val="0"/>
                  <w:vAlign w:val="center"/>
                </w:tcPr>
                <w:p w14:paraId="47571430">
                  <w:pPr>
                    <w:spacing w:line="240" w:lineRule="auto"/>
                    <w:jc w:val="center"/>
                    <w:rPr>
                      <w:rFonts w:hint="eastAsia" w:cs="Times New Roman"/>
                      <w:color w:val="auto"/>
                      <w:kern w:val="0"/>
                      <w:sz w:val="21"/>
                      <w:szCs w:val="21"/>
                      <w:lang w:val="en-US" w:eastAsia="zh-CN"/>
                    </w:rPr>
                  </w:pPr>
                  <w:r>
                    <w:rPr>
                      <w:rFonts w:hint="eastAsia" w:cs="Times New Roman"/>
                      <w:color w:val="auto"/>
                      <w:kern w:val="0"/>
                      <w:sz w:val="21"/>
                      <w:szCs w:val="21"/>
                      <w:lang w:val="en-US" w:eastAsia="zh-CN"/>
                    </w:rPr>
                    <w:t>50</w:t>
                  </w:r>
                </w:p>
              </w:tc>
            </w:tr>
          </w:tbl>
          <w:p w14:paraId="079B7EC7">
            <w:pPr>
              <w:spacing w:before="120" w:beforeLines="50" w:line="360" w:lineRule="auto"/>
              <w:ind w:firstLine="482" w:firstLineChars="200"/>
              <w:rPr>
                <w:rFonts w:hint="default" w:ascii="Times New Roman" w:hAnsi="Times New Roman" w:cs="Times New Roman"/>
                <w:b/>
                <w:bCs/>
                <w:color w:val="auto"/>
                <w:sz w:val="24"/>
                <w:szCs w:val="24"/>
              </w:rPr>
            </w:pPr>
            <w:r>
              <w:rPr>
                <w:rFonts w:hint="default" w:ascii="Times New Roman" w:hAnsi="Times New Roman" w:eastAsia="宋体" w:cs="Times New Roman"/>
                <w:b/>
                <w:bCs/>
                <w:color w:val="auto"/>
                <w:sz w:val="24"/>
                <w:szCs w:val="24"/>
                <w:lang w:val="en-US" w:eastAsia="zh-CN"/>
              </w:rPr>
              <w:t>3</w:t>
            </w:r>
            <w:r>
              <w:rPr>
                <w:rFonts w:hint="default" w:ascii="Times New Roman" w:hAnsi="Times New Roman" w:eastAsia="宋体" w:cs="Times New Roman"/>
                <w:b/>
                <w:bCs/>
                <w:color w:val="auto"/>
                <w:sz w:val="24"/>
                <w:szCs w:val="24"/>
              </w:rPr>
              <w:t>、固体废物</w:t>
            </w:r>
          </w:p>
          <w:p w14:paraId="4BCA0122">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eastAsia="宋体" w:cs="Times New Roman"/>
                <w:color w:val="auto"/>
                <w:sz w:val="24"/>
                <w:szCs w:val="24"/>
              </w:rPr>
            </w:pPr>
            <w:r>
              <w:rPr>
                <w:rFonts w:hint="default" w:ascii="Times New Roman" w:hAnsi="Times New Roman" w:eastAsia="宋体" w:cs="Times New Roman"/>
                <w:color w:val="auto"/>
                <w:sz w:val="24"/>
                <w:szCs w:val="24"/>
              </w:rPr>
              <w:t>固体废物：一般工业固废处置执行《一般工业固体废物贮存和填埋污染控制标准》（GB18599-</w:t>
            </w:r>
            <w:r>
              <w:rPr>
                <w:rFonts w:hint="default" w:ascii="Times New Roman" w:hAnsi="Times New Roman" w:cs="Times New Roman"/>
                <w:color w:val="auto"/>
                <w:sz w:val="24"/>
                <w:szCs w:val="24"/>
                <w:lang w:val="en-US" w:eastAsia="zh-CN"/>
              </w:rPr>
              <w:t>2020</w:t>
            </w:r>
            <w:r>
              <w:rPr>
                <w:rFonts w:hint="default" w:ascii="Times New Roman" w:hAnsi="Times New Roman" w:eastAsia="宋体" w:cs="Times New Roman"/>
                <w:color w:val="auto"/>
                <w:sz w:val="24"/>
                <w:szCs w:val="24"/>
              </w:rPr>
              <w:t>）</w:t>
            </w:r>
            <w:r>
              <w:rPr>
                <w:rFonts w:hint="eastAsia" w:cs="Times New Roman"/>
                <w:color w:val="auto"/>
                <w:sz w:val="24"/>
                <w:szCs w:val="24"/>
                <w:lang w:eastAsia="zh-CN"/>
              </w:rPr>
              <w:t>；</w:t>
            </w:r>
            <w:r>
              <w:rPr>
                <w:rFonts w:hint="default" w:ascii="Times New Roman" w:hAnsi="Times New Roman" w:eastAsia="宋体" w:cs="Times New Roman"/>
                <w:color w:val="auto"/>
                <w:sz w:val="24"/>
                <w:highlight w:val="none"/>
                <w:lang w:val="zh-CN"/>
              </w:rPr>
              <w:t>危险废物执行《危险废物贮存污染控制标准》（GB18597-20</w:t>
            </w:r>
            <w:r>
              <w:rPr>
                <w:rFonts w:hint="default" w:ascii="Times New Roman" w:hAnsi="Times New Roman" w:cs="Times New Roman"/>
                <w:color w:val="auto"/>
                <w:sz w:val="24"/>
                <w:highlight w:val="none"/>
                <w:lang w:val="en-US" w:eastAsia="zh-CN"/>
              </w:rPr>
              <w:t>23</w:t>
            </w:r>
            <w:r>
              <w:rPr>
                <w:rFonts w:hint="default" w:ascii="Times New Roman" w:hAnsi="Times New Roman" w:eastAsia="宋体" w:cs="Times New Roman"/>
                <w:color w:val="auto"/>
                <w:sz w:val="24"/>
                <w:highlight w:val="none"/>
                <w:lang w:val="zh-CN"/>
              </w:rPr>
              <w:t>）中的相关规定。</w:t>
            </w:r>
          </w:p>
          <w:p w14:paraId="08A52234">
            <w:pPr>
              <w:spacing w:line="360" w:lineRule="auto"/>
              <w:ind w:firstLine="482" w:firstLineChars="200"/>
              <w:rPr>
                <w:rFonts w:hint="default" w:ascii="Times New Roman" w:hAnsi="Times New Roman" w:eastAsia="宋体" w:cs="Times New Roman"/>
                <w:color w:val="auto"/>
                <w:sz w:val="24"/>
                <w:szCs w:val="24"/>
                <w:lang w:val="en-US" w:eastAsia="zh-CN"/>
              </w:rPr>
            </w:pPr>
            <w:r>
              <w:rPr>
                <w:rFonts w:hint="default" w:ascii="Times New Roman" w:hAnsi="Times New Roman" w:cs="Times New Roman"/>
                <w:b/>
                <w:bCs/>
                <w:color w:val="auto"/>
                <w:sz w:val="24"/>
                <w:szCs w:val="24"/>
                <w:lang w:val="en-US" w:eastAsia="zh-CN"/>
              </w:rPr>
              <w:t>4</w:t>
            </w:r>
            <w:r>
              <w:rPr>
                <w:rFonts w:hint="default" w:ascii="Times New Roman" w:hAnsi="Times New Roman" w:eastAsia="宋体" w:cs="Times New Roman"/>
                <w:b/>
                <w:bCs/>
                <w:color w:val="auto"/>
                <w:sz w:val="24"/>
                <w:szCs w:val="24"/>
                <w:lang w:eastAsia="zh-CN"/>
              </w:rPr>
              <w:t>、废水</w:t>
            </w:r>
          </w:p>
          <w:p w14:paraId="0B6CB02A">
            <w:pPr>
              <w:spacing w:line="360" w:lineRule="auto"/>
              <w:ind w:firstLine="480" w:firstLineChars="200"/>
              <w:rPr>
                <w:rFonts w:hint="default" w:ascii="Times New Roman" w:hAnsi="Times New Roman" w:cs="Times New Roman"/>
                <w:color w:val="auto"/>
                <w:kern w:val="0"/>
                <w:szCs w:val="21"/>
              </w:rPr>
            </w:pPr>
            <w:r>
              <w:rPr>
                <w:rFonts w:hint="default" w:ascii="Times New Roman" w:hAnsi="Times New Roman" w:eastAsia="宋体" w:cs="Times New Roman"/>
                <w:color w:val="auto"/>
                <w:sz w:val="24"/>
                <w:szCs w:val="24"/>
                <w:lang w:val="en-US" w:eastAsia="zh-CN"/>
              </w:rPr>
              <w:t>项目无新增员工，无生产废水产生；</w:t>
            </w:r>
            <w:r>
              <w:rPr>
                <w:rFonts w:hint="eastAsia" w:cs="Times New Roman"/>
                <w:color w:val="auto"/>
                <w:sz w:val="24"/>
                <w:szCs w:val="24"/>
                <w:lang w:val="en-US" w:eastAsia="zh-CN"/>
              </w:rPr>
              <w:t>废水主要为原有员工产生的生活污水，</w:t>
            </w:r>
            <w:r>
              <w:rPr>
                <w:rFonts w:hint="eastAsia" w:cs="Times New Roman"/>
                <w:color w:val="auto"/>
                <w:sz w:val="24"/>
                <w:szCs w:val="24"/>
                <w:highlight w:val="none"/>
                <w:lang w:val="en-US" w:eastAsia="zh-CN"/>
              </w:rPr>
              <w:t>经一体化设备处理后达标后排入地面静 压水池供井下消尘用水，废水不外排</w:t>
            </w:r>
            <w:r>
              <w:rPr>
                <w:rFonts w:hint="eastAsia" w:cs="Times New Roman"/>
                <w:color w:val="auto"/>
                <w:sz w:val="24"/>
                <w:szCs w:val="24"/>
                <w:lang w:val="en-US" w:eastAsia="zh-CN"/>
              </w:rPr>
              <w:t>。</w:t>
            </w:r>
          </w:p>
        </w:tc>
      </w:tr>
      <w:tr w14:paraId="038546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800" w:type="dxa"/>
            <w:noWrap w:val="0"/>
            <w:vAlign w:val="center"/>
          </w:tcPr>
          <w:p w14:paraId="23CA87E7">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总量</w:t>
            </w:r>
          </w:p>
          <w:p w14:paraId="5699A503">
            <w:pPr>
              <w:adjustRightInd w:val="0"/>
              <w:snapToGrid w:val="0"/>
              <w:jc w:val="center"/>
              <w:rPr>
                <w:rFonts w:hint="default" w:ascii="Times New Roman" w:hAnsi="Times New Roman" w:cs="Times New Roman"/>
                <w:color w:val="auto"/>
                <w:kern w:val="0"/>
                <w:sz w:val="24"/>
                <w:szCs w:val="24"/>
                <w:highlight w:val="none"/>
              </w:rPr>
            </w:pPr>
            <w:r>
              <w:rPr>
                <w:rFonts w:hint="default" w:ascii="Times New Roman" w:hAnsi="Times New Roman" w:cs="Times New Roman"/>
                <w:color w:val="auto"/>
                <w:kern w:val="0"/>
                <w:sz w:val="24"/>
                <w:szCs w:val="24"/>
                <w:highlight w:val="none"/>
              </w:rPr>
              <w:t>控制</w:t>
            </w:r>
          </w:p>
          <w:p w14:paraId="3BCF956C">
            <w:pPr>
              <w:adjustRightInd w:val="0"/>
              <w:snapToGrid w:val="0"/>
              <w:jc w:val="center"/>
              <w:rPr>
                <w:rFonts w:hint="default" w:ascii="Times New Roman" w:hAnsi="Times New Roman" w:cs="Times New Roman"/>
                <w:color w:val="auto"/>
                <w:kern w:val="0"/>
                <w:szCs w:val="21"/>
              </w:rPr>
            </w:pPr>
            <w:r>
              <w:rPr>
                <w:rFonts w:hint="default" w:ascii="Times New Roman" w:hAnsi="Times New Roman" w:cs="Times New Roman"/>
                <w:color w:val="auto"/>
                <w:kern w:val="0"/>
                <w:sz w:val="24"/>
                <w:szCs w:val="24"/>
                <w:highlight w:val="none"/>
              </w:rPr>
              <w:t>指标</w:t>
            </w:r>
          </w:p>
        </w:tc>
        <w:tc>
          <w:tcPr>
            <w:tcW w:w="8190" w:type="dxa"/>
            <w:noWrap w:val="0"/>
            <w:vAlign w:val="center"/>
          </w:tcPr>
          <w:p w14:paraId="1CD91D48">
            <w:pPr>
              <w:spacing w:line="360" w:lineRule="auto"/>
              <w:jc w:val="both"/>
              <w:rPr>
                <w:rFonts w:hint="eastAsia"/>
                <w:color w:val="auto"/>
                <w:sz w:val="24"/>
                <w:szCs w:val="24"/>
                <w:lang w:eastAsia="zh-CN"/>
              </w:rPr>
            </w:pPr>
            <w:r>
              <w:rPr>
                <w:rFonts w:hint="default"/>
                <w:color w:val="auto"/>
                <w:sz w:val="24"/>
                <w:szCs w:val="24"/>
              </w:rPr>
              <w:t>总量控制：</w:t>
            </w:r>
          </w:p>
          <w:p w14:paraId="683A3039">
            <w:pPr>
              <w:adjustRightInd w:val="0"/>
              <w:snapToGrid w:val="0"/>
              <w:spacing w:line="360" w:lineRule="auto"/>
              <w:ind w:firstLine="480" w:firstLineChars="200"/>
              <w:jc w:val="left"/>
              <w:rPr>
                <w:rFonts w:hint="default" w:ascii="Times New Roman" w:hAnsi="Times New Roman" w:cs="Times New Roman"/>
                <w:color w:val="auto"/>
                <w:sz w:val="24"/>
                <w:szCs w:val="24"/>
                <w:lang w:eastAsia="zh-CN"/>
              </w:rPr>
            </w:pPr>
            <w:r>
              <w:rPr>
                <w:rFonts w:hint="default" w:ascii="Times New Roman" w:hAnsi="Times New Roman" w:cs="Times New Roman"/>
                <w:color w:val="auto"/>
                <w:sz w:val="24"/>
                <w:szCs w:val="24"/>
                <w:lang w:eastAsia="zh-CN"/>
              </w:rPr>
              <w:t>根据《关于做好</w:t>
            </w:r>
            <w:r>
              <w:rPr>
                <w:rFonts w:hint="default" w:ascii="Times New Roman" w:hAnsi="Times New Roman" w:cs="Times New Roman"/>
                <w:color w:val="auto"/>
                <w:kern w:val="21"/>
                <w:sz w:val="24"/>
                <w:szCs w:val="24"/>
                <w:lang w:eastAsia="zh-CN"/>
              </w:rPr>
              <w:t>“</w:t>
            </w:r>
            <w:r>
              <w:rPr>
                <w:rFonts w:hint="default" w:ascii="Times New Roman" w:hAnsi="Times New Roman" w:cs="Times New Roman"/>
                <w:color w:val="auto"/>
                <w:sz w:val="24"/>
                <w:szCs w:val="24"/>
                <w:lang w:eastAsia="zh-CN"/>
              </w:rPr>
              <w:t>十四五”主要污染物总量减排工作的通知》（</w:t>
            </w:r>
            <w:r>
              <w:rPr>
                <w:rFonts w:hint="eastAsia" w:ascii="Times New Roman" w:hAnsi="Times New Roman" w:cs="Times New Roman"/>
                <w:color w:val="auto"/>
                <w:sz w:val="24"/>
                <w:szCs w:val="24"/>
                <w:lang w:eastAsia="zh-CN"/>
              </w:rPr>
              <w:t>黑环办发</w:t>
            </w:r>
            <w:r>
              <w:rPr>
                <w:rFonts w:hint="default" w:ascii="Times New Roman" w:hAnsi="Times New Roman" w:cs="Times New Roman"/>
                <w:color w:val="auto"/>
                <w:sz w:val="24"/>
                <w:szCs w:val="24"/>
                <w:lang w:eastAsia="zh-CN"/>
              </w:rPr>
              <w:t>〔2021〕</w:t>
            </w:r>
            <w:r>
              <w:rPr>
                <w:rFonts w:hint="eastAsia" w:ascii="Times New Roman" w:hAnsi="Times New Roman" w:cs="Times New Roman"/>
                <w:color w:val="auto"/>
                <w:sz w:val="24"/>
                <w:szCs w:val="24"/>
                <w:lang w:val="en-US" w:eastAsia="zh-CN"/>
              </w:rPr>
              <w:t>79</w:t>
            </w:r>
            <w:r>
              <w:rPr>
                <w:rFonts w:hint="default" w:ascii="Times New Roman" w:hAnsi="Times New Roman" w:cs="Times New Roman"/>
                <w:color w:val="auto"/>
                <w:sz w:val="24"/>
                <w:szCs w:val="24"/>
                <w:lang w:eastAsia="zh-CN"/>
              </w:rPr>
              <w:t>号）中污染物排放总量控制管理要求，十四五期间主要控制污染物为氮氧化物、挥发性有机物、化学需氧量、氨氮。</w:t>
            </w:r>
          </w:p>
          <w:p w14:paraId="704918FC">
            <w:pPr>
              <w:adjustRightInd w:val="0"/>
              <w:snapToGrid w:val="0"/>
              <w:spacing w:line="360" w:lineRule="auto"/>
              <w:ind w:firstLine="480" w:firstLineChars="200"/>
              <w:jc w:val="left"/>
              <w:rPr>
                <w:rFonts w:hint="eastAsia" w:cs="Times New Roman"/>
                <w:color w:val="auto"/>
                <w:kern w:val="0"/>
                <w:sz w:val="24"/>
                <w:szCs w:val="24"/>
                <w:highlight w:val="none"/>
                <w:lang w:val="en-US" w:eastAsia="zh-CN"/>
              </w:rPr>
            </w:pPr>
            <w:r>
              <w:rPr>
                <w:rFonts w:hint="eastAsia"/>
                <w:color w:val="auto"/>
                <w:sz w:val="24"/>
                <w:szCs w:val="24"/>
                <w:lang w:eastAsia="zh-CN"/>
              </w:rPr>
              <w:t>原有</w:t>
            </w:r>
            <w:r>
              <w:rPr>
                <w:rFonts w:hint="eastAsia"/>
                <w:color w:val="auto"/>
                <w:sz w:val="24"/>
                <w:szCs w:val="24"/>
                <w:highlight w:val="none"/>
                <w:lang w:val="en-US" w:eastAsia="zh-CN"/>
              </w:rPr>
              <w:t>主要废气污染源</w:t>
            </w:r>
            <w:r>
              <w:rPr>
                <w:rFonts w:hint="eastAsia" w:ascii="Times New Roman" w:hAnsi="Times New Roman" w:cs="Times New Roman"/>
                <w:color w:val="auto"/>
                <w:kern w:val="0"/>
                <w:sz w:val="24"/>
                <w:szCs w:val="24"/>
                <w:lang w:val="en-US" w:eastAsia="zh-CN"/>
              </w:rPr>
              <w:t>为</w:t>
            </w:r>
            <w:r>
              <w:rPr>
                <w:rFonts w:hint="eastAsia" w:cs="Times New Roman"/>
                <w:color w:val="auto"/>
                <w:sz w:val="24"/>
                <w:szCs w:val="24"/>
                <w:lang w:val="en-US" w:eastAsia="zh-CN"/>
              </w:rPr>
              <w:t>供暖</w:t>
            </w:r>
            <w:r>
              <w:rPr>
                <w:rFonts w:hint="eastAsia" w:cs="Times New Roman"/>
                <w:color w:val="auto"/>
                <w:kern w:val="0"/>
                <w:sz w:val="24"/>
                <w:szCs w:val="24"/>
                <w:lang w:val="en-US" w:eastAsia="zh-CN"/>
              </w:rPr>
              <w:t>一台1.05</w:t>
            </w:r>
            <w:r>
              <w:rPr>
                <w:rFonts w:hint="eastAsia" w:cs="Times New Roman"/>
                <w:color w:val="auto"/>
                <w:sz w:val="24"/>
                <w:szCs w:val="24"/>
                <w:highlight w:val="none"/>
                <w:lang w:val="en-US" w:eastAsia="zh-CN"/>
              </w:rPr>
              <w:t>MW</w:t>
            </w:r>
            <w:r>
              <w:rPr>
                <w:rFonts w:hint="default" w:ascii="Times New Roman" w:hAnsi="Times New Roman" w:cs="Times New Roman"/>
                <w:color w:val="auto"/>
                <w:sz w:val="24"/>
                <w:szCs w:val="24"/>
                <w:lang w:val="en-US" w:eastAsia="zh-CN"/>
              </w:rPr>
              <w:t>燃煤</w:t>
            </w:r>
            <w:r>
              <w:rPr>
                <w:rFonts w:hint="eastAsia" w:cs="Times New Roman"/>
                <w:color w:val="auto"/>
                <w:sz w:val="24"/>
                <w:szCs w:val="24"/>
                <w:lang w:val="en-US" w:eastAsia="zh-CN"/>
              </w:rPr>
              <w:t>热风炉、冬季供暖和洗浴CHH0.7A 节能锅炉各一台</w:t>
            </w:r>
            <w:r>
              <w:rPr>
                <w:rFonts w:hint="eastAsia" w:ascii="Times New Roman" w:hAnsi="Times New Roman" w:cs="Times New Roman"/>
                <w:color w:val="auto"/>
                <w:kern w:val="0"/>
                <w:sz w:val="24"/>
                <w:szCs w:val="24"/>
                <w:lang w:val="en-US" w:eastAsia="zh-CN"/>
              </w:rPr>
              <w:t>，</w:t>
            </w:r>
            <w:r>
              <w:rPr>
                <w:rFonts w:hint="eastAsia" w:cs="Times New Roman"/>
                <w:color w:val="auto"/>
                <w:kern w:val="0"/>
                <w:sz w:val="24"/>
                <w:szCs w:val="24"/>
                <w:lang w:val="en-US" w:eastAsia="zh-CN"/>
              </w:rPr>
              <w:t>在环境影响评价期间未申请总量指标</w:t>
            </w:r>
            <w:r>
              <w:rPr>
                <w:rFonts w:hint="eastAsia" w:cs="Times New Roman"/>
                <w:color w:val="auto"/>
                <w:kern w:val="0"/>
                <w:sz w:val="24"/>
                <w:szCs w:val="24"/>
                <w:highlight w:val="none"/>
                <w:lang w:val="en-US" w:eastAsia="zh-CN"/>
              </w:rPr>
              <w:t>，</w:t>
            </w:r>
            <w:r>
              <w:rPr>
                <w:rFonts w:hint="eastAsia" w:cs="Times New Roman"/>
                <w:color w:val="auto"/>
                <w:kern w:val="0"/>
                <w:sz w:val="24"/>
                <w:szCs w:val="24"/>
                <w:lang w:val="en-US" w:eastAsia="zh-CN"/>
              </w:rPr>
              <w:t>现燃煤热风炉、燃煤洗浴、供暖锅炉均已拆除</w:t>
            </w:r>
            <w:r>
              <w:rPr>
                <w:rFonts w:hint="eastAsia" w:cs="Times New Roman"/>
                <w:color w:val="auto"/>
                <w:kern w:val="0"/>
                <w:sz w:val="24"/>
                <w:szCs w:val="24"/>
                <w:highlight w:val="none"/>
                <w:lang w:val="en-US" w:eastAsia="zh-CN"/>
              </w:rPr>
              <w:t>。根据排污许可2025年年报核算，《黑龙江省鸡西市城子河铁城煤矿资源整 合建设项目竣工环境保护验收调查报告》中监测结果核算，现有工程矿井供热热风炉排放总量如下表。</w:t>
            </w:r>
          </w:p>
          <w:p w14:paraId="08266450">
            <w:pPr>
              <w:adjustRightInd w:val="0"/>
              <w:snapToGrid w:val="0"/>
              <w:spacing w:line="360" w:lineRule="auto"/>
              <w:ind w:firstLine="480" w:firstLineChars="200"/>
              <w:jc w:val="left"/>
              <w:rPr>
                <w:rFonts w:hint="default"/>
                <w:color w:val="auto"/>
                <w:highlight w:val="none"/>
                <w:lang w:val="en-US" w:eastAsia="zh-CN"/>
              </w:rPr>
            </w:pPr>
            <w:r>
              <w:rPr>
                <w:rFonts w:hint="eastAsia" w:cs="Times New Roman"/>
                <w:color w:val="auto"/>
                <w:kern w:val="0"/>
                <w:sz w:val="24"/>
                <w:szCs w:val="24"/>
                <w:lang w:val="en-US" w:eastAsia="zh-CN"/>
              </w:rPr>
              <w:t>本项目建设一台5t/h生物质热风炉，1台5t/h</w:t>
            </w:r>
            <w:r>
              <w:rPr>
                <w:rFonts w:hint="default" w:ascii="Times New Roman Regular" w:hAnsi="Times New Roman Regular" w:cs="Times New Roman Regular"/>
                <w:color w:val="auto"/>
                <w:kern w:val="0"/>
                <w:sz w:val="24"/>
                <w:szCs w:val="24"/>
                <w:highlight w:val="none"/>
                <w:lang w:val="en-US" w:eastAsia="zh-Hans" w:bidi="ar-SA"/>
              </w:rPr>
              <w:t>生物质</w:t>
            </w:r>
            <w:r>
              <w:rPr>
                <w:rFonts w:hint="eastAsia" w:ascii="Times New Roman Regular" w:hAnsi="Times New Roman Regular" w:cs="Times New Roman Regular"/>
                <w:color w:val="auto"/>
                <w:kern w:val="0"/>
                <w:sz w:val="24"/>
                <w:szCs w:val="24"/>
                <w:highlight w:val="none"/>
                <w:lang w:val="en-US" w:eastAsia="zh-CN" w:bidi="ar-SA"/>
              </w:rPr>
              <w:t>热风炉</w:t>
            </w:r>
            <w:r>
              <w:rPr>
                <w:rFonts w:hint="default" w:ascii="Times New Roman Regular" w:hAnsi="Times New Roman Regular" w:cs="Times New Roman Regular"/>
                <w:color w:val="auto"/>
                <w:sz w:val="24"/>
                <w:szCs w:val="24"/>
                <w:highlight w:val="none"/>
                <w:lang w:eastAsia="zh-CN"/>
              </w:rPr>
              <w:t>预测排放</w:t>
            </w:r>
            <w:r>
              <w:rPr>
                <w:rFonts w:hint="default" w:ascii="Times New Roman Regular" w:hAnsi="Times New Roman Regular" w:cs="Times New Roman Regular"/>
                <w:color w:val="auto"/>
                <w:sz w:val="24"/>
                <w:szCs w:val="24"/>
                <w:highlight w:val="none"/>
              </w:rPr>
              <w:t>总量如下：</w:t>
            </w:r>
            <w:r>
              <w:rPr>
                <w:rFonts w:hint="eastAsia" w:cs="Times New Roman"/>
                <w:color w:val="auto"/>
                <w:kern w:val="0"/>
                <w:sz w:val="24"/>
                <w:szCs w:val="24"/>
                <w:highlight w:val="none"/>
                <w:lang w:val="en-US" w:eastAsia="zh-CN"/>
              </w:rPr>
              <w:t>颗粒物：0.73t/a、SO</w:t>
            </w:r>
            <w:r>
              <w:rPr>
                <w:rFonts w:hint="eastAsia" w:cs="Times New Roman"/>
                <w:color w:val="auto"/>
                <w:kern w:val="0"/>
                <w:sz w:val="24"/>
                <w:szCs w:val="24"/>
                <w:highlight w:val="none"/>
                <w:vertAlign w:val="subscript"/>
                <w:lang w:val="en-US" w:eastAsia="zh-CN"/>
              </w:rPr>
              <w:t>2</w:t>
            </w:r>
            <w:r>
              <w:rPr>
                <w:rFonts w:hint="eastAsia" w:cs="Times New Roman"/>
                <w:color w:val="auto"/>
                <w:kern w:val="0"/>
                <w:sz w:val="24"/>
                <w:szCs w:val="24"/>
                <w:highlight w:val="none"/>
                <w:lang w:val="en-US" w:eastAsia="zh-CN"/>
              </w:rPr>
              <w:t>:1.05t/a、NO</w:t>
            </w:r>
            <w:r>
              <w:rPr>
                <w:rFonts w:hint="eastAsia" w:cs="Times New Roman"/>
                <w:color w:val="auto"/>
                <w:kern w:val="0"/>
                <w:sz w:val="24"/>
                <w:szCs w:val="24"/>
                <w:highlight w:val="none"/>
                <w:vertAlign w:val="subscript"/>
                <w:lang w:val="en-US" w:eastAsia="zh-CN"/>
              </w:rPr>
              <w:t>X</w:t>
            </w:r>
            <w:r>
              <w:rPr>
                <w:rFonts w:hint="eastAsia" w:cs="Times New Roman"/>
                <w:color w:val="auto"/>
                <w:kern w:val="0"/>
                <w:sz w:val="24"/>
                <w:szCs w:val="24"/>
                <w:highlight w:val="none"/>
                <w:lang w:val="en-US" w:eastAsia="zh-CN"/>
              </w:rPr>
              <w:t>：2.05t/a；</w:t>
            </w:r>
          </w:p>
          <w:p w14:paraId="401425D1">
            <w:pPr>
              <w:pStyle w:val="12"/>
              <w:numPr>
                <w:ilvl w:val="0"/>
                <w:numId w:val="0"/>
              </w:numPr>
              <w:ind w:right="113" w:rightChars="0" w:firstLine="480" w:firstLineChars="200"/>
              <w:rPr>
                <w:rFonts w:hint="eastAsia" w:ascii="Times New Roman" w:hAnsi="Times New Roman" w:eastAsia="宋体" w:cs="Times New Roman"/>
                <w:b/>
                <w:bCs/>
                <w:color w:val="auto"/>
                <w:kern w:val="21"/>
                <w:sz w:val="21"/>
                <w:szCs w:val="21"/>
                <w:highlight w:val="none"/>
                <w:u w:val="none"/>
                <w:lang w:val="en-US" w:eastAsia="zh-CN"/>
              </w:rPr>
            </w:pPr>
            <w:r>
              <w:rPr>
                <w:rFonts w:hint="eastAsia" w:ascii="Times New Roman" w:hAnsi="Times New Roman" w:cs="Times New Roman"/>
                <w:color w:val="auto"/>
                <w:kern w:val="0"/>
                <w:sz w:val="24"/>
                <w:szCs w:val="24"/>
                <w:highlight w:val="none"/>
                <w:lang w:val="en-US" w:eastAsia="zh-CN"/>
              </w:rPr>
              <w:t>本项目</w:t>
            </w:r>
            <w:r>
              <w:rPr>
                <w:rFonts w:hint="eastAsia" w:cs="Times New Roman"/>
                <w:color w:val="auto"/>
                <w:sz w:val="24"/>
                <w:szCs w:val="24"/>
                <w:lang w:eastAsia="zh-CN"/>
              </w:rPr>
              <w:t>改扩建</w:t>
            </w:r>
            <w:r>
              <w:rPr>
                <w:rFonts w:hint="eastAsia" w:cs="Times New Roman"/>
                <w:color w:val="auto"/>
                <w:kern w:val="0"/>
                <w:sz w:val="24"/>
                <w:szCs w:val="24"/>
                <w:highlight w:val="none"/>
                <w:lang w:val="en-US" w:eastAsia="zh-CN"/>
              </w:rPr>
              <w:t>后“三本账”</w:t>
            </w:r>
            <w:r>
              <w:rPr>
                <w:rFonts w:hint="eastAsia" w:ascii="Times New Roman" w:hAnsi="Times New Roman" w:cs="Times New Roman"/>
                <w:color w:val="auto"/>
                <w:kern w:val="0"/>
                <w:sz w:val="24"/>
                <w:szCs w:val="24"/>
                <w:highlight w:val="none"/>
                <w:lang w:val="en-US" w:eastAsia="zh-CN"/>
              </w:rPr>
              <w:t>。</w:t>
            </w:r>
          </w:p>
          <w:p w14:paraId="23F361FE">
            <w:pPr>
              <w:pStyle w:val="16"/>
              <w:numPr>
                <w:ilvl w:val="0"/>
                <w:numId w:val="0"/>
              </w:numPr>
              <w:spacing w:line="240" w:lineRule="auto"/>
              <w:jc w:val="center"/>
              <w:rPr>
                <w:rFonts w:hint="eastAsia" w:ascii="Times New Roman" w:hAnsi="Times New Roman" w:eastAsia="宋体" w:cs="Times New Roman"/>
                <w:b/>
                <w:bCs/>
                <w:color w:val="auto"/>
                <w:kern w:val="21"/>
                <w:sz w:val="24"/>
                <w:szCs w:val="24"/>
                <w:highlight w:val="none"/>
                <w:u w:val="none"/>
                <w:lang w:val="en-US" w:eastAsia="zh-CN"/>
              </w:rPr>
            </w:pPr>
            <w:r>
              <w:rPr>
                <w:rFonts w:hint="eastAsia" w:ascii="Times New Roman" w:hAnsi="Times New Roman" w:eastAsia="宋体" w:cs="Times New Roman"/>
                <w:b/>
                <w:bCs/>
                <w:color w:val="auto"/>
                <w:kern w:val="21"/>
                <w:sz w:val="24"/>
                <w:szCs w:val="24"/>
                <w:highlight w:val="none"/>
                <w:u w:val="none"/>
                <w:lang w:val="en-US" w:eastAsia="zh-CN"/>
              </w:rPr>
              <w:t>表3-</w:t>
            </w:r>
            <w:r>
              <w:rPr>
                <w:rFonts w:hint="eastAsia" w:cs="Times New Roman"/>
                <w:b/>
                <w:bCs/>
                <w:color w:val="auto"/>
                <w:kern w:val="21"/>
                <w:sz w:val="24"/>
                <w:szCs w:val="24"/>
                <w:highlight w:val="none"/>
                <w:u w:val="none"/>
                <w:lang w:val="en-US" w:eastAsia="zh-CN"/>
              </w:rPr>
              <w:t>8</w:t>
            </w:r>
            <w:r>
              <w:rPr>
                <w:rFonts w:hint="eastAsia" w:ascii="Times New Roman" w:hAnsi="Times New Roman" w:eastAsia="宋体" w:cs="Times New Roman"/>
                <w:b/>
                <w:bCs/>
                <w:color w:val="auto"/>
                <w:kern w:val="21"/>
                <w:sz w:val="24"/>
                <w:szCs w:val="24"/>
                <w:highlight w:val="none"/>
                <w:u w:val="none"/>
                <w:lang w:val="en-US" w:eastAsia="zh-CN"/>
              </w:rPr>
              <w:t xml:space="preserve"> 改扩建“三本账” 单位：t/a</w:t>
            </w:r>
          </w:p>
          <w:tbl>
            <w:tblPr>
              <w:tblStyle w:val="30"/>
              <w:tblW w:w="505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03"/>
              <w:gridCol w:w="916"/>
              <w:gridCol w:w="913"/>
              <w:gridCol w:w="887"/>
              <w:gridCol w:w="913"/>
              <w:gridCol w:w="900"/>
              <w:gridCol w:w="1173"/>
              <w:gridCol w:w="968"/>
              <w:gridCol w:w="983"/>
            </w:tblGrid>
            <w:tr w14:paraId="699A26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restart"/>
                  <w:noWrap w:val="0"/>
                  <w:vAlign w:val="center"/>
                </w:tcPr>
                <w:p w14:paraId="0F8A32E9">
                  <w:pPr>
                    <w:keepNext w:val="0"/>
                    <w:keepLines w:val="0"/>
                    <w:pageBreakBefore w:val="0"/>
                    <w:kinsoku/>
                    <w:wordWrap/>
                    <w:overflowPunct/>
                    <w:topLinePunct w:val="0"/>
                    <w:autoSpaceDE/>
                    <w:autoSpaceDN/>
                    <w:bidi w:val="0"/>
                    <w:adjustRightInd/>
                    <w:spacing w:line="0" w:lineRule="atLeast"/>
                    <w:jc w:val="center"/>
                    <w:rPr>
                      <w:b/>
                      <w:bCs/>
                      <w:color w:val="auto"/>
                      <w:sz w:val="21"/>
                      <w:szCs w:val="21"/>
                      <w:highlight w:val="none"/>
                    </w:rPr>
                  </w:pPr>
                  <w:r>
                    <w:rPr>
                      <w:rFonts w:hint="eastAsia"/>
                      <w:b/>
                      <w:bCs/>
                      <w:color w:val="auto"/>
                      <w:sz w:val="21"/>
                      <w:szCs w:val="21"/>
                      <w:highlight w:val="none"/>
                    </w:rPr>
                    <w:t>项目</w:t>
                  </w:r>
                </w:p>
              </w:tc>
              <w:tc>
                <w:tcPr>
                  <w:tcW w:w="568" w:type="pct"/>
                  <w:vMerge w:val="restart"/>
                  <w:noWrap w:val="0"/>
                  <w:vAlign w:val="center"/>
                </w:tcPr>
                <w:p w14:paraId="0EE35DBE">
                  <w:pPr>
                    <w:keepNext w:val="0"/>
                    <w:keepLines w:val="0"/>
                    <w:pageBreakBefore w:val="0"/>
                    <w:kinsoku/>
                    <w:wordWrap/>
                    <w:overflowPunct/>
                    <w:topLinePunct w:val="0"/>
                    <w:autoSpaceDE/>
                    <w:autoSpaceDN/>
                    <w:bidi w:val="0"/>
                    <w:adjustRightInd/>
                    <w:spacing w:line="0" w:lineRule="atLeast"/>
                    <w:jc w:val="center"/>
                    <w:rPr>
                      <w:b/>
                      <w:bCs/>
                      <w:color w:val="auto"/>
                      <w:sz w:val="21"/>
                      <w:szCs w:val="21"/>
                      <w:highlight w:val="none"/>
                    </w:rPr>
                  </w:pPr>
                  <w:r>
                    <w:rPr>
                      <w:rFonts w:hint="eastAsia"/>
                      <w:b/>
                      <w:bCs/>
                      <w:color w:val="auto"/>
                      <w:sz w:val="21"/>
                      <w:szCs w:val="21"/>
                      <w:highlight w:val="none"/>
                    </w:rPr>
                    <w:t>名称</w:t>
                  </w:r>
                </w:p>
              </w:tc>
              <w:tc>
                <w:tcPr>
                  <w:tcW w:w="1117" w:type="pct"/>
                  <w:gridSpan w:val="2"/>
                  <w:noWrap w:val="0"/>
                  <w:vAlign w:val="center"/>
                </w:tcPr>
                <w:p w14:paraId="1B78BDBB">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现有工程</w:t>
                  </w:r>
                </w:p>
              </w:tc>
              <w:tc>
                <w:tcPr>
                  <w:tcW w:w="566" w:type="pct"/>
                  <w:noWrap w:val="0"/>
                  <w:vAlign w:val="center"/>
                </w:tcPr>
                <w:p w14:paraId="5F36DCEB">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本工程</w:t>
                  </w:r>
                </w:p>
              </w:tc>
              <w:tc>
                <w:tcPr>
                  <w:tcW w:w="2497" w:type="pct"/>
                  <w:gridSpan w:val="4"/>
                  <w:noWrap w:val="0"/>
                  <w:vAlign w:val="center"/>
                </w:tcPr>
                <w:p w14:paraId="3231756F">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总体工程</w:t>
                  </w:r>
                </w:p>
              </w:tc>
            </w:tr>
            <w:tr w14:paraId="467CDF1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continue"/>
                  <w:noWrap w:val="0"/>
                  <w:vAlign w:val="center"/>
                </w:tcPr>
                <w:p w14:paraId="4AE90F03">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p>
              </w:tc>
              <w:tc>
                <w:tcPr>
                  <w:tcW w:w="568" w:type="pct"/>
                  <w:vMerge w:val="continue"/>
                  <w:noWrap w:val="0"/>
                  <w:vAlign w:val="center"/>
                </w:tcPr>
                <w:p w14:paraId="08178F33">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p>
              </w:tc>
              <w:tc>
                <w:tcPr>
                  <w:tcW w:w="566" w:type="pct"/>
                  <w:noWrap w:val="0"/>
                  <w:vAlign w:val="center"/>
                </w:tcPr>
                <w:p w14:paraId="16756B8F">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实际排放量</w:t>
                  </w:r>
                </w:p>
              </w:tc>
              <w:tc>
                <w:tcPr>
                  <w:tcW w:w="550" w:type="pct"/>
                  <w:noWrap w:val="0"/>
                  <w:vAlign w:val="center"/>
                </w:tcPr>
                <w:p w14:paraId="5E549093">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许可排放量</w:t>
                  </w:r>
                </w:p>
              </w:tc>
              <w:tc>
                <w:tcPr>
                  <w:tcW w:w="566" w:type="pct"/>
                  <w:noWrap w:val="0"/>
                  <w:vAlign w:val="center"/>
                </w:tcPr>
                <w:p w14:paraId="52C91CAD">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预测排放量</w:t>
                  </w:r>
                </w:p>
              </w:tc>
              <w:tc>
                <w:tcPr>
                  <w:tcW w:w="558" w:type="pct"/>
                  <w:noWrap w:val="0"/>
                  <w:vAlign w:val="center"/>
                </w:tcPr>
                <w:p w14:paraId="2C154CB3">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“以新带老”削减量</w:t>
                  </w:r>
                </w:p>
              </w:tc>
              <w:tc>
                <w:tcPr>
                  <w:tcW w:w="728" w:type="pct"/>
                  <w:noWrap w:val="0"/>
                  <w:vAlign w:val="center"/>
                </w:tcPr>
                <w:p w14:paraId="075E1F12">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区域平衡替代本工程削减量</w:t>
                  </w:r>
                </w:p>
              </w:tc>
              <w:tc>
                <w:tcPr>
                  <w:tcW w:w="600" w:type="pct"/>
                  <w:noWrap w:val="0"/>
                  <w:vAlign w:val="center"/>
                </w:tcPr>
                <w:p w14:paraId="339A3743">
                  <w:pPr>
                    <w:keepNext w:val="0"/>
                    <w:keepLines w:val="0"/>
                    <w:pageBreakBefore w:val="0"/>
                    <w:kinsoku/>
                    <w:wordWrap/>
                    <w:overflowPunct/>
                    <w:topLinePunct w:val="0"/>
                    <w:autoSpaceDE/>
                    <w:autoSpaceDN/>
                    <w:bidi w:val="0"/>
                    <w:adjustRightInd/>
                    <w:spacing w:line="0" w:lineRule="atLeast"/>
                    <w:jc w:val="center"/>
                    <w:rPr>
                      <w:rFonts w:hint="eastAsia"/>
                      <w:b/>
                      <w:bCs/>
                      <w:color w:val="auto"/>
                      <w:sz w:val="21"/>
                      <w:szCs w:val="21"/>
                      <w:highlight w:val="none"/>
                    </w:rPr>
                  </w:pPr>
                  <w:r>
                    <w:rPr>
                      <w:rFonts w:hint="eastAsia"/>
                      <w:b/>
                      <w:bCs/>
                      <w:color w:val="auto"/>
                      <w:sz w:val="21"/>
                      <w:szCs w:val="21"/>
                      <w:highlight w:val="none"/>
                    </w:rPr>
                    <w:t>预测排放总量</w:t>
                  </w:r>
                </w:p>
              </w:tc>
              <w:tc>
                <w:tcPr>
                  <w:tcW w:w="610" w:type="pct"/>
                  <w:noWrap w:val="0"/>
                  <w:vAlign w:val="center"/>
                </w:tcPr>
                <w:p w14:paraId="3508CD22">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bCs/>
                      <w:color w:val="auto"/>
                      <w:kern w:val="0"/>
                      <w:sz w:val="21"/>
                      <w:szCs w:val="21"/>
                      <w:highlight w:val="none"/>
                      <w:lang w:val="en-US" w:eastAsia="zh-CN" w:bidi="ar-SA"/>
                    </w:rPr>
                  </w:pPr>
                  <w:r>
                    <w:rPr>
                      <w:rFonts w:hint="eastAsia" w:ascii="Times New Roman" w:hAnsi="Times New Roman" w:eastAsia="宋体" w:cs="Times New Roman"/>
                      <w:b/>
                      <w:bCs/>
                      <w:color w:val="auto"/>
                      <w:kern w:val="0"/>
                      <w:sz w:val="21"/>
                      <w:szCs w:val="21"/>
                      <w:highlight w:val="none"/>
                      <w:lang w:val="en-US" w:eastAsia="zh-CN" w:bidi="ar-SA"/>
                    </w:rPr>
                    <w:t>排放增减量</w:t>
                  </w:r>
                </w:p>
              </w:tc>
            </w:tr>
            <w:tr w14:paraId="2FA30E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restart"/>
                  <w:noWrap w:val="0"/>
                  <w:vAlign w:val="center"/>
                </w:tcPr>
                <w:p w14:paraId="54A18491">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rFonts w:hint="eastAsia"/>
                      <w:color w:val="auto"/>
                      <w:sz w:val="21"/>
                      <w:szCs w:val="21"/>
                      <w:highlight w:val="none"/>
                    </w:rPr>
                    <w:t>废气</w:t>
                  </w:r>
                </w:p>
              </w:tc>
              <w:tc>
                <w:tcPr>
                  <w:tcW w:w="568" w:type="pct"/>
                  <w:noWrap w:val="0"/>
                  <w:vAlign w:val="center"/>
                </w:tcPr>
                <w:p w14:paraId="0C342CB2">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rFonts w:hint="eastAsia"/>
                      <w:color w:val="auto"/>
                      <w:sz w:val="21"/>
                      <w:szCs w:val="21"/>
                      <w:highlight w:val="none"/>
                    </w:rPr>
                    <w:t>颗粒物</w:t>
                  </w:r>
                </w:p>
              </w:tc>
              <w:tc>
                <w:tcPr>
                  <w:tcW w:w="566" w:type="pct"/>
                  <w:noWrap w:val="0"/>
                  <w:vAlign w:val="center"/>
                </w:tcPr>
                <w:p w14:paraId="003B2CF0">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0.28</w:t>
                  </w:r>
                </w:p>
              </w:tc>
              <w:tc>
                <w:tcPr>
                  <w:tcW w:w="550" w:type="pct"/>
                  <w:noWrap w:val="0"/>
                  <w:vAlign w:val="center"/>
                </w:tcPr>
                <w:p w14:paraId="49C93C7E">
                  <w:pPr>
                    <w:keepNext w:val="0"/>
                    <w:keepLines w:val="0"/>
                    <w:pageBreakBefore w:val="0"/>
                    <w:kinsoku/>
                    <w:wordWrap/>
                    <w:overflowPunct/>
                    <w:topLinePunct w:val="0"/>
                    <w:autoSpaceDE/>
                    <w:autoSpaceDN/>
                    <w:bidi w:val="0"/>
                    <w:adjustRightInd/>
                    <w:spacing w:line="0" w:lineRule="atLeast"/>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566" w:type="pct"/>
                  <w:noWrap w:val="0"/>
                  <w:vAlign w:val="center"/>
                </w:tcPr>
                <w:p w14:paraId="1CD5D2B7">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cs="Times New Roman"/>
                      <w:color w:val="auto"/>
                      <w:sz w:val="21"/>
                      <w:szCs w:val="21"/>
                      <w:highlight w:val="red"/>
                      <w:lang w:val="en-US" w:eastAsia="zh-CN"/>
                    </w:rPr>
                  </w:pPr>
                  <w:r>
                    <w:rPr>
                      <w:rFonts w:hint="eastAsia" w:cs="Times New Roman"/>
                      <w:color w:val="auto"/>
                      <w:sz w:val="21"/>
                      <w:szCs w:val="21"/>
                      <w:highlight w:val="none"/>
                      <w:lang w:val="en-US" w:eastAsia="zh-CN"/>
                    </w:rPr>
                    <w:t>0.73</w:t>
                  </w:r>
                </w:p>
              </w:tc>
              <w:tc>
                <w:tcPr>
                  <w:tcW w:w="900" w:type="dxa"/>
                  <w:noWrap w:val="0"/>
                  <w:vAlign w:val="center"/>
                </w:tcPr>
                <w:p w14:paraId="5BE017C6">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red"/>
                      <w:lang w:val="en-US" w:eastAsia="zh-CN"/>
                    </w:rPr>
                  </w:pPr>
                  <w:r>
                    <w:rPr>
                      <w:rFonts w:hint="eastAsia"/>
                      <w:color w:val="auto"/>
                      <w:sz w:val="21"/>
                      <w:szCs w:val="21"/>
                      <w:highlight w:val="none"/>
                      <w:lang w:val="en-US" w:eastAsia="zh-CN"/>
                    </w:rPr>
                    <w:t>0.28</w:t>
                  </w:r>
                </w:p>
              </w:tc>
              <w:tc>
                <w:tcPr>
                  <w:tcW w:w="728" w:type="pct"/>
                  <w:noWrap w:val="0"/>
                  <w:vAlign w:val="center"/>
                </w:tcPr>
                <w:p w14:paraId="2AFF8D59">
                  <w:pPr>
                    <w:keepNext w:val="0"/>
                    <w:keepLines w:val="0"/>
                    <w:pageBreakBefore w:val="0"/>
                    <w:kinsoku/>
                    <w:wordWrap/>
                    <w:overflowPunct/>
                    <w:topLinePunct w:val="0"/>
                    <w:autoSpaceDE/>
                    <w:autoSpaceDN/>
                    <w:bidi w:val="0"/>
                    <w:adjustRightInd/>
                    <w:spacing w:line="0" w:lineRule="atLeast"/>
                    <w:jc w:val="center"/>
                    <w:rPr>
                      <w:rFonts w:hint="eastAsia"/>
                      <w:color w:val="auto"/>
                      <w:sz w:val="21"/>
                      <w:szCs w:val="21"/>
                      <w:highlight w:val="none"/>
                    </w:rPr>
                  </w:pPr>
                  <w:r>
                    <w:rPr>
                      <w:rFonts w:hint="eastAsia"/>
                      <w:color w:val="auto"/>
                      <w:sz w:val="21"/>
                      <w:szCs w:val="21"/>
                      <w:highlight w:val="none"/>
                    </w:rPr>
                    <w:t>0</w:t>
                  </w:r>
                </w:p>
              </w:tc>
              <w:tc>
                <w:tcPr>
                  <w:tcW w:w="968" w:type="dxa"/>
                  <w:noWrap w:val="0"/>
                  <w:vAlign w:val="center"/>
                </w:tcPr>
                <w:p w14:paraId="6B0DCF2F">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color w:val="auto"/>
                      <w:sz w:val="21"/>
                      <w:szCs w:val="21"/>
                      <w:highlight w:val="red"/>
                      <w:lang w:val="en-US"/>
                    </w:rPr>
                  </w:pPr>
                  <w:r>
                    <w:rPr>
                      <w:rFonts w:hint="eastAsia" w:cs="Times New Roman"/>
                      <w:color w:val="auto"/>
                      <w:sz w:val="21"/>
                      <w:szCs w:val="21"/>
                      <w:highlight w:val="none"/>
                      <w:lang w:val="en-US" w:eastAsia="zh-CN"/>
                    </w:rPr>
                    <w:t>0.73</w:t>
                  </w:r>
                </w:p>
              </w:tc>
              <w:tc>
                <w:tcPr>
                  <w:tcW w:w="610" w:type="pct"/>
                  <w:noWrap w:val="0"/>
                  <w:vAlign w:val="center"/>
                </w:tcPr>
                <w:p w14:paraId="0E08AAFF">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+0.45</w:t>
                  </w:r>
                </w:p>
              </w:tc>
            </w:tr>
            <w:tr w14:paraId="5635A8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continue"/>
                  <w:noWrap w:val="0"/>
                  <w:vAlign w:val="center"/>
                </w:tcPr>
                <w:p w14:paraId="0058A89B">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p>
              </w:tc>
              <w:tc>
                <w:tcPr>
                  <w:tcW w:w="568" w:type="pct"/>
                  <w:noWrap w:val="0"/>
                  <w:vAlign w:val="center"/>
                </w:tcPr>
                <w:p w14:paraId="3916BE1B">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color w:val="auto"/>
                      <w:sz w:val="21"/>
                      <w:szCs w:val="21"/>
                      <w:highlight w:val="none"/>
                    </w:rPr>
                    <w:t>SO</w:t>
                  </w:r>
                  <w:r>
                    <w:rPr>
                      <w:color w:val="auto"/>
                      <w:sz w:val="21"/>
                      <w:szCs w:val="21"/>
                      <w:highlight w:val="none"/>
                      <w:vertAlign w:val="subscript"/>
                    </w:rPr>
                    <w:t>2</w:t>
                  </w:r>
                </w:p>
              </w:tc>
              <w:tc>
                <w:tcPr>
                  <w:tcW w:w="566" w:type="pct"/>
                  <w:noWrap w:val="0"/>
                  <w:vAlign w:val="center"/>
                </w:tcPr>
                <w:p w14:paraId="091692DF">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0.84</w:t>
                  </w:r>
                </w:p>
              </w:tc>
              <w:tc>
                <w:tcPr>
                  <w:tcW w:w="550" w:type="pct"/>
                  <w:noWrap w:val="0"/>
                  <w:vAlign w:val="center"/>
                </w:tcPr>
                <w:p w14:paraId="28171E78">
                  <w:pPr>
                    <w:keepNext w:val="0"/>
                    <w:keepLines w:val="0"/>
                    <w:pageBreakBefore w:val="0"/>
                    <w:kinsoku/>
                    <w:wordWrap/>
                    <w:overflowPunct/>
                    <w:topLinePunct w:val="0"/>
                    <w:autoSpaceDE/>
                    <w:autoSpaceDN/>
                    <w:bidi w:val="0"/>
                    <w:adjustRightInd/>
                    <w:spacing w:line="0" w:lineRule="atLeast"/>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913" w:type="dxa"/>
                  <w:noWrap w:val="0"/>
                  <w:vAlign w:val="center"/>
                </w:tcPr>
                <w:p w14:paraId="5894F614">
                  <w:pPr>
                    <w:pStyle w:val="71"/>
                    <w:spacing w:line="240" w:lineRule="auto"/>
                    <w:jc w:val="center"/>
                    <w:rPr>
                      <w:rFonts w:hint="default" w:ascii="Times New Roman" w:hAnsi="Times New Roman" w:cs="Times New Roman"/>
                      <w:color w:val="auto"/>
                      <w:sz w:val="21"/>
                      <w:szCs w:val="21"/>
                      <w:highlight w:val="red"/>
                      <w:lang w:val="en-US" w:eastAsia="zh-CN"/>
                    </w:rPr>
                  </w:pPr>
                  <w:r>
                    <w:rPr>
                      <w:rFonts w:hint="eastAsia" w:eastAsia="宋体" w:cs="Times New Roman"/>
                      <w:color w:val="auto"/>
                      <w:kern w:val="2"/>
                      <w:sz w:val="21"/>
                      <w:szCs w:val="21"/>
                      <w:u w:val="none"/>
                      <w:lang w:val="en-US" w:eastAsia="zh-CN" w:bidi="ar-SA"/>
                    </w:rPr>
                    <w:t>1.05</w:t>
                  </w:r>
                </w:p>
              </w:tc>
              <w:tc>
                <w:tcPr>
                  <w:tcW w:w="900" w:type="dxa"/>
                  <w:noWrap w:val="0"/>
                  <w:vAlign w:val="center"/>
                </w:tcPr>
                <w:p w14:paraId="736D410E">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red"/>
                      <w:lang w:val="en-US" w:eastAsia="zh-CN"/>
                    </w:rPr>
                  </w:pPr>
                  <w:r>
                    <w:rPr>
                      <w:rFonts w:hint="eastAsia"/>
                      <w:color w:val="auto"/>
                      <w:sz w:val="21"/>
                      <w:szCs w:val="21"/>
                      <w:highlight w:val="none"/>
                      <w:lang w:val="en-US" w:eastAsia="zh-CN"/>
                    </w:rPr>
                    <w:t>0.84</w:t>
                  </w:r>
                </w:p>
              </w:tc>
              <w:tc>
                <w:tcPr>
                  <w:tcW w:w="728" w:type="pct"/>
                  <w:noWrap w:val="0"/>
                  <w:vAlign w:val="center"/>
                </w:tcPr>
                <w:p w14:paraId="69ACAF34">
                  <w:pPr>
                    <w:keepNext w:val="0"/>
                    <w:keepLines w:val="0"/>
                    <w:pageBreakBefore w:val="0"/>
                    <w:kinsoku/>
                    <w:wordWrap/>
                    <w:overflowPunct/>
                    <w:topLinePunct w:val="0"/>
                    <w:autoSpaceDE/>
                    <w:autoSpaceDN/>
                    <w:bidi w:val="0"/>
                    <w:adjustRightInd/>
                    <w:spacing w:line="0" w:lineRule="atLeast"/>
                    <w:jc w:val="center"/>
                    <w:rPr>
                      <w:rFonts w:hint="eastAsia"/>
                      <w:color w:val="auto"/>
                      <w:sz w:val="21"/>
                      <w:szCs w:val="21"/>
                      <w:highlight w:val="none"/>
                    </w:rPr>
                  </w:pPr>
                  <w:r>
                    <w:rPr>
                      <w:rFonts w:hint="eastAsia"/>
                      <w:color w:val="auto"/>
                      <w:sz w:val="21"/>
                      <w:szCs w:val="21"/>
                      <w:highlight w:val="none"/>
                    </w:rPr>
                    <w:t>0</w:t>
                  </w:r>
                </w:p>
              </w:tc>
              <w:tc>
                <w:tcPr>
                  <w:tcW w:w="968" w:type="dxa"/>
                  <w:noWrap w:val="0"/>
                  <w:vAlign w:val="center"/>
                </w:tcPr>
                <w:p w14:paraId="66C35505">
                  <w:pPr>
                    <w:pStyle w:val="71"/>
                    <w:spacing w:line="240" w:lineRule="auto"/>
                    <w:jc w:val="center"/>
                    <w:rPr>
                      <w:rFonts w:hint="default"/>
                      <w:color w:val="auto"/>
                      <w:sz w:val="21"/>
                      <w:szCs w:val="21"/>
                      <w:highlight w:val="red"/>
                      <w:lang w:val="en-US"/>
                    </w:rPr>
                  </w:pPr>
                  <w:r>
                    <w:rPr>
                      <w:rFonts w:hint="eastAsia" w:eastAsia="宋体" w:cs="Times New Roman"/>
                      <w:color w:val="auto"/>
                      <w:kern w:val="2"/>
                      <w:sz w:val="21"/>
                      <w:szCs w:val="21"/>
                      <w:u w:val="none"/>
                      <w:lang w:val="en-US" w:eastAsia="zh-CN" w:bidi="ar-SA"/>
                    </w:rPr>
                    <w:t>1.05</w:t>
                  </w:r>
                </w:p>
              </w:tc>
              <w:tc>
                <w:tcPr>
                  <w:tcW w:w="610" w:type="pct"/>
                  <w:noWrap w:val="0"/>
                  <w:vAlign w:val="center"/>
                </w:tcPr>
                <w:p w14:paraId="3A9E49C7">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+0.21</w:t>
                  </w:r>
                </w:p>
              </w:tc>
            </w:tr>
            <w:tr w14:paraId="799AF3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continue"/>
                  <w:noWrap w:val="0"/>
                  <w:vAlign w:val="center"/>
                </w:tcPr>
                <w:p w14:paraId="491B5737">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p>
              </w:tc>
              <w:tc>
                <w:tcPr>
                  <w:tcW w:w="568" w:type="pct"/>
                  <w:noWrap w:val="0"/>
                  <w:vAlign w:val="center"/>
                </w:tcPr>
                <w:p w14:paraId="4D580C45">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r>
                    <w:rPr>
                      <w:color w:val="auto"/>
                      <w:sz w:val="21"/>
                      <w:szCs w:val="21"/>
                      <w:highlight w:val="none"/>
                    </w:rPr>
                    <w:t>NO</w:t>
                  </w:r>
                  <w:r>
                    <w:rPr>
                      <w:color w:val="auto"/>
                      <w:sz w:val="21"/>
                      <w:szCs w:val="21"/>
                      <w:highlight w:val="none"/>
                      <w:vertAlign w:val="subscript"/>
                    </w:rPr>
                    <w:t>x</w:t>
                  </w:r>
                </w:p>
              </w:tc>
              <w:tc>
                <w:tcPr>
                  <w:tcW w:w="566" w:type="pct"/>
                  <w:noWrap w:val="0"/>
                  <w:vAlign w:val="center"/>
                </w:tcPr>
                <w:p w14:paraId="4D840147">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3.75</w:t>
                  </w:r>
                </w:p>
              </w:tc>
              <w:tc>
                <w:tcPr>
                  <w:tcW w:w="550" w:type="pct"/>
                  <w:noWrap w:val="0"/>
                  <w:vAlign w:val="center"/>
                </w:tcPr>
                <w:p w14:paraId="0B4F1E1A">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ascii="Times New Roman" w:hAnsi="Times New Roman" w:eastAsia="宋体" w:cs="Times New Roman"/>
                      <w:b w:val="0"/>
                      <w:bCs w:val="0"/>
                      <w:color w:val="auto"/>
                      <w:kern w:val="0"/>
                      <w:sz w:val="21"/>
                      <w:szCs w:val="21"/>
                      <w:highlight w:val="none"/>
                      <w:lang w:val="en-US" w:eastAsia="zh-CN" w:bidi="ar-SA"/>
                    </w:rPr>
                    <w:t>/</w:t>
                  </w:r>
                </w:p>
              </w:tc>
              <w:tc>
                <w:tcPr>
                  <w:tcW w:w="913" w:type="dxa"/>
                  <w:noWrap w:val="0"/>
                  <w:vAlign w:val="center"/>
                </w:tcPr>
                <w:p w14:paraId="3260A2BD">
                  <w:pPr>
                    <w:pStyle w:val="71"/>
                    <w:spacing w:line="240" w:lineRule="auto"/>
                    <w:jc w:val="center"/>
                    <w:rPr>
                      <w:rFonts w:hint="default" w:ascii="Times New Roman" w:hAnsi="Times New Roman" w:cs="Times New Roman"/>
                      <w:color w:val="auto"/>
                      <w:sz w:val="21"/>
                      <w:szCs w:val="21"/>
                      <w:highlight w:val="red"/>
                      <w:lang w:val="en-US" w:eastAsia="zh-CN"/>
                    </w:rPr>
                  </w:pPr>
                  <w:r>
                    <w:rPr>
                      <w:rFonts w:hint="eastAsia" w:eastAsia="宋体" w:cs="Times New Roman"/>
                      <w:color w:val="auto"/>
                      <w:kern w:val="2"/>
                      <w:sz w:val="21"/>
                      <w:szCs w:val="21"/>
                      <w:u w:val="none"/>
                      <w:lang w:val="en-US" w:eastAsia="zh-CN" w:bidi="ar-SA"/>
                    </w:rPr>
                    <w:t>2.05</w:t>
                  </w:r>
                </w:p>
              </w:tc>
              <w:tc>
                <w:tcPr>
                  <w:tcW w:w="900" w:type="dxa"/>
                  <w:noWrap w:val="0"/>
                  <w:vAlign w:val="center"/>
                </w:tcPr>
                <w:p w14:paraId="499857D5">
                  <w:pPr>
                    <w:keepNext w:val="0"/>
                    <w:keepLines w:val="0"/>
                    <w:pageBreakBefore w:val="0"/>
                    <w:kinsoku/>
                    <w:wordWrap/>
                    <w:overflowPunct/>
                    <w:topLinePunct w:val="0"/>
                    <w:autoSpaceDE/>
                    <w:autoSpaceDN/>
                    <w:bidi w:val="0"/>
                    <w:adjustRightInd/>
                    <w:spacing w:line="0" w:lineRule="atLeast"/>
                    <w:jc w:val="center"/>
                    <w:rPr>
                      <w:rFonts w:hint="default" w:eastAsia="宋体"/>
                      <w:color w:val="auto"/>
                      <w:sz w:val="21"/>
                      <w:szCs w:val="21"/>
                      <w:highlight w:val="red"/>
                      <w:lang w:val="en-US" w:eastAsia="zh-CN"/>
                    </w:rPr>
                  </w:pPr>
                  <w:r>
                    <w:rPr>
                      <w:rFonts w:hint="eastAsia"/>
                      <w:color w:val="auto"/>
                      <w:sz w:val="21"/>
                      <w:szCs w:val="21"/>
                      <w:highlight w:val="none"/>
                      <w:lang w:val="en-US" w:eastAsia="zh-CN"/>
                    </w:rPr>
                    <w:t>3.75</w:t>
                  </w:r>
                </w:p>
              </w:tc>
              <w:tc>
                <w:tcPr>
                  <w:tcW w:w="728" w:type="pct"/>
                  <w:noWrap w:val="0"/>
                  <w:vAlign w:val="center"/>
                </w:tcPr>
                <w:p w14:paraId="5BA78177">
                  <w:pPr>
                    <w:keepNext w:val="0"/>
                    <w:keepLines w:val="0"/>
                    <w:pageBreakBefore w:val="0"/>
                    <w:kinsoku/>
                    <w:wordWrap/>
                    <w:overflowPunct/>
                    <w:topLinePunct w:val="0"/>
                    <w:autoSpaceDE/>
                    <w:autoSpaceDN/>
                    <w:bidi w:val="0"/>
                    <w:adjustRightInd/>
                    <w:spacing w:line="0" w:lineRule="atLeast"/>
                    <w:jc w:val="center"/>
                    <w:rPr>
                      <w:rFonts w:hint="eastAsia"/>
                      <w:color w:val="auto"/>
                      <w:sz w:val="21"/>
                      <w:szCs w:val="21"/>
                      <w:highlight w:val="none"/>
                    </w:rPr>
                  </w:pPr>
                  <w:r>
                    <w:rPr>
                      <w:rFonts w:hint="eastAsia" w:cs="Times New Roman"/>
                      <w:b w:val="0"/>
                      <w:bCs w:val="0"/>
                      <w:color w:val="auto"/>
                      <w:kern w:val="0"/>
                      <w:sz w:val="21"/>
                      <w:szCs w:val="21"/>
                      <w:highlight w:val="none"/>
                      <w:lang w:val="en-US" w:eastAsia="zh-CN" w:bidi="ar-SA"/>
                    </w:rPr>
                    <w:t>0</w:t>
                  </w:r>
                </w:p>
              </w:tc>
              <w:tc>
                <w:tcPr>
                  <w:tcW w:w="968" w:type="dxa"/>
                  <w:noWrap w:val="0"/>
                  <w:vAlign w:val="center"/>
                </w:tcPr>
                <w:p w14:paraId="2F5AB48C">
                  <w:pPr>
                    <w:pStyle w:val="71"/>
                    <w:spacing w:line="240" w:lineRule="auto"/>
                    <w:jc w:val="center"/>
                    <w:rPr>
                      <w:rFonts w:hint="default"/>
                      <w:color w:val="auto"/>
                      <w:sz w:val="21"/>
                      <w:szCs w:val="21"/>
                      <w:highlight w:val="red"/>
                      <w:lang w:val="en-US"/>
                    </w:rPr>
                  </w:pPr>
                  <w:r>
                    <w:rPr>
                      <w:rFonts w:hint="eastAsia" w:eastAsia="宋体" w:cs="Times New Roman"/>
                      <w:color w:val="auto"/>
                      <w:kern w:val="2"/>
                      <w:sz w:val="21"/>
                      <w:szCs w:val="21"/>
                      <w:u w:val="none"/>
                      <w:lang w:val="en-US" w:eastAsia="zh-CN" w:bidi="ar-SA"/>
                    </w:rPr>
                    <w:t>2.05</w:t>
                  </w:r>
                </w:p>
              </w:tc>
              <w:tc>
                <w:tcPr>
                  <w:tcW w:w="610" w:type="pct"/>
                  <w:noWrap w:val="0"/>
                  <w:vAlign w:val="center"/>
                </w:tcPr>
                <w:p w14:paraId="2CA19C1E">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-1.70</w:t>
                  </w:r>
                </w:p>
              </w:tc>
            </w:tr>
            <w:tr w14:paraId="367EB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noWrap w:val="0"/>
                  <w:vAlign w:val="center"/>
                </w:tcPr>
                <w:p w14:paraId="3485911A">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eastAsia="zh-CN"/>
                    </w:rPr>
                  </w:pPr>
                  <w:r>
                    <w:rPr>
                      <w:rFonts w:hint="eastAsia"/>
                      <w:color w:val="auto"/>
                      <w:sz w:val="21"/>
                      <w:szCs w:val="21"/>
                      <w:highlight w:val="none"/>
                      <w:lang w:eastAsia="zh-CN"/>
                    </w:rPr>
                    <w:t>废水</w:t>
                  </w:r>
                </w:p>
              </w:tc>
              <w:tc>
                <w:tcPr>
                  <w:tcW w:w="568" w:type="pct"/>
                  <w:noWrap w:val="0"/>
                  <w:vAlign w:val="center"/>
                </w:tcPr>
                <w:p w14:paraId="49E7547A">
                  <w:pPr>
                    <w:keepNext w:val="0"/>
                    <w:keepLines w:val="0"/>
                    <w:pageBreakBefore w:val="0"/>
                    <w:kinsoku/>
                    <w:wordWrap/>
                    <w:overflowPunct/>
                    <w:topLinePunct w:val="0"/>
                    <w:autoSpaceDE/>
                    <w:autoSpaceDN/>
                    <w:bidi w:val="0"/>
                    <w:adjustRightInd/>
                    <w:spacing w:line="0" w:lineRule="atLeast"/>
                    <w:jc w:val="center"/>
                    <w:rPr>
                      <w:rFonts w:hint="eastAsia"/>
                      <w:color w:val="auto"/>
                      <w:sz w:val="21"/>
                      <w:szCs w:val="21"/>
                      <w:highlight w:val="none"/>
                      <w:lang w:eastAsia="zh-CN"/>
                    </w:rPr>
                  </w:pPr>
                  <w:r>
                    <w:rPr>
                      <w:rFonts w:hint="eastAsia"/>
                      <w:color w:val="auto"/>
                      <w:sz w:val="21"/>
                      <w:szCs w:val="21"/>
                      <w:highlight w:val="none"/>
                      <w:lang w:eastAsia="zh-CN"/>
                    </w:rPr>
                    <w:t>生活</w:t>
                  </w:r>
                </w:p>
                <w:p w14:paraId="08BFB2A4">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eastAsia="zh-CN"/>
                    </w:rPr>
                  </w:pPr>
                  <w:r>
                    <w:rPr>
                      <w:rFonts w:hint="eastAsia"/>
                      <w:color w:val="auto"/>
                      <w:sz w:val="21"/>
                      <w:szCs w:val="21"/>
                      <w:highlight w:val="none"/>
                      <w:lang w:eastAsia="zh-CN"/>
                    </w:rPr>
                    <w:t>污水</w:t>
                  </w:r>
                </w:p>
              </w:tc>
              <w:tc>
                <w:tcPr>
                  <w:tcW w:w="566" w:type="pct"/>
                  <w:noWrap w:val="0"/>
                  <w:vAlign w:val="center"/>
                </w:tcPr>
                <w:p w14:paraId="2507E974">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red"/>
                      <w:u w:val="none"/>
                      <w:lang w:val="en-US" w:eastAsia="zh-CN" w:bidi="ar-SA"/>
                    </w:rPr>
                  </w:pPr>
                  <w:r>
                    <w:rPr>
                      <w:rFonts w:hint="eastAsia" w:cs="Times New Roman"/>
                      <w:i w:val="0"/>
                      <w:iCs w:val="0"/>
                      <w:color w:val="auto"/>
                      <w:kern w:val="0"/>
                      <w:sz w:val="21"/>
                      <w:szCs w:val="21"/>
                      <w:highlight w:val="none"/>
                      <w:u w:val="none"/>
                      <w:lang w:val="en-US" w:eastAsia="zh-CN" w:bidi="ar"/>
                    </w:rPr>
                    <w:t>58.24</w:t>
                  </w:r>
                </w:p>
              </w:tc>
              <w:tc>
                <w:tcPr>
                  <w:tcW w:w="550" w:type="pct"/>
                  <w:noWrap w:val="0"/>
                  <w:vAlign w:val="center"/>
                </w:tcPr>
                <w:p w14:paraId="604E584D">
                  <w:pPr>
                    <w:keepNext w:val="0"/>
                    <w:keepLines w:val="0"/>
                    <w:pageBreakBefore w:val="0"/>
                    <w:kinsoku/>
                    <w:wordWrap/>
                    <w:overflowPunct/>
                    <w:topLinePunct w:val="0"/>
                    <w:autoSpaceDE/>
                    <w:autoSpaceDN/>
                    <w:bidi w:val="0"/>
                    <w:adjustRightInd/>
                    <w:spacing w:line="0" w:lineRule="atLeast"/>
                    <w:jc w:val="center"/>
                    <w:rPr>
                      <w:rFonts w:hint="default"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566" w:type="pct"/>
                  <w:noWrap w:val="0"/>
                  <w:vAlign w:val="center"/>
                </w:tcPr>
                <w:p w14:paraId="409F6966">
                  <w:pPr>
                    <w:keepNext w:val="0"/>
                    <w:keepLines w:val="0"/>
                    <w:widowControl/>
                    <w:suppressLineNumbers w:val="0"/>
                    <w:jc w:val="center"/>
                    <w:textAlignment w:val="center"/>
                    <w:rPr>
                      <w:rFonts w:hint="default" w:ascii="Times New Roman" w:hAnsi="Times New Roman" w:eastAsia="宋体" w:cs="Times New Roman"/>
                      <w:i w:val="0"/>
                      <w:iCs w:val="0"/>
                      <w:color w:val="auto"/>
                      <w:kern w:val="2"/>
                      <w:sz w:val="21"/>
                      <w:szCs w:val="21"/>
                      <w:highlight w:val="red"/>
                      <w:u w:val="none"/>
                      <w:lang w:val="en-US" w:eastAsia="zh-CN" w:bidi="ar-SA"/>
                    </w:rPr>
                  </w:pPr>
                  <w:r>
                    <w:rPr>
                      <w:rFonts w:hint="eastAsia" w:cs="Times New Roman"/>
                      <w:i w:val="0"/>
                      <w:iCs w:val="0"/>
                      <w:color w:val="auto"/>
                      <w:kern w:val="0"/>
                      <w:sz w:val="21"/>
                      <w:szCs w:val="21"/>
                      <w:highlight w:val="none"/>
                      <w:u w:val="none"/>
                      <w:lang w:val="en-US" w:eastAsia="zh-CN" w:bidi="ar"/>
                    </w:rPr>
                    <w:t>0</w:t>
                  </w:r>
                </w:p>
              </w:tc>
              <w:tc>
                <w:tcPr>
                  <w:tcW w:w="558" w:type="pct"/>
                  <w:noWrap w:val="0"/>
                  <w:vAlign w:val="center"/>
                </w:tcPr>
                <w:p w14:paraId="4026A167">
                  <w:pPr>
                    <w:keepNext w:val="0"/>
                    <w:keepLines w:val="0"/>
                    <w:pageBreakBefore w:val="0"/>
                    <w:kinsoku/>
                    <w:wordWrap/>
                    <w:overflowPunct/>
                    <w:topLinePunct w:val="0"/>
                    <w:autoSpaceDE/>
                    <w:autoSpaceDN/>
                    <w:bidi w:val="0"/>
                    <w:adjustRightInd/>
                    <w:spacing w:line="0" w:lineRule="atLeast"/>
                    <w:jc w:val="center"/>
                    <w:rPr>
                      <w:rFonts w:hint="default"/>
                      <w:color w:val="auto"/>
                      <w:sz w:val="21"/>
                      <w:szCs w:val="21"/>
                      <w:highlight w:val="red"/>
                      <w:lang w:val="en-US" w:eastAsia="zh-CN"/>
                    </w:rPr>
                  </w:pPr>
                  <w:r>
                    <w:rPr>
                      <w:rFonts w:hint="eastAsia"/>
                      <w:color w:val="auto"/>
                      <w:sz w:val="21"/>
                      <w:szCs w:val="21"/>
                      <w:highlight w:val="none"/>
                      <w:lang w:val="en-US" w:eastAsia="zh-CN"/>
                    </w:rPr>
                    <w:t>0</w:t>
                  </w:r>
                </w:p>
              </w:tc>
              <w:tc>
                <w:tcPr>
                  <w:tcW w:w="728" w:type="pct"/>
                  <w:noWrap w:val="0"/>
                  <w:vAlign w:val="center"/>
                </w:tcPr>
                <w:p w14:paraId="483D067E">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0</w:t>
                  </w:r>
                </w:p>
              </w:tc>
              <w:tc>
                <w:tcPr>
                  <w:tcW w:w="600" w:type="pct"/>
                  <w:noWrap w:val="0"/>
                  <w:vAlign w:val="center"/>
                </w:tcPr>
                <w:p w14:paraId="7694CE05">
                  <w:pPr>
                    <w:keepNext w:val="0"/>
                    <w:keepLines w:val="0"/>
                    <w:widowControl/>
                    <w:suppressLineNumbers w:val="0"/>
                    <w:jc w:val="center"/>
                    <w:textAlignment w:val="center"/>
                    <w:rPr>
                      <w:rFonts w:hint="eastAsia" w:ascii="Times New Roman" w:hAnsi="Times New Roman" w:eastAsia="宋体" w:cs="Times New Roman"/>
                      <w:i w:val="0"/>
                      <w:iCs w:val="0"/>
                      <w:color w:val="auto"/>
                      <w:kern w:val="2"/>
                      <w:sz w:val="21"/>
                      <w:szCs w:val="21"/>
                      <w:highlight w:val="red"/>
                      <w:u w:val="none"/>
                      <w:lang w:val="en-US" w:eastAsia="zh-CN" w:bidi="ar-SA"/>
                    </w:rPr>
                  </w:pPr>
                  <w:r>
                    <w:rPr>
                      <w:rFonts w:hint="eastAsia" w:cs="Times New Roman"/>
                      <w:i w:val="0"/>
                      <w:iCs w:val="0"/>
                      <w:color w:val="auto"/>
                      <w:kern w:val="0"/>
                      <w:sz w:val="21"/>
                      <w:szCs w:val="21"/>
                      <w:highlight w:val="none"/>
                      <w:u w:val="none"/>
                      <w:lang w:val="en-US" w:eastAsia="zh-CN" w:bidi="ar"/>
                    </w:rPr>
                    <w:t>58.24</w:t>
                  </w:r>
                </w:p>
              </w:tc>
              <w:tc>
                <w:tcPr>
                  <w:tcW w:w="610" w:type="pct"/>
                  <w:noWrap w:val="0"/>
                  <w:vAlign w:val="center"/>
                </w:tcPr>
                <w:p w14:paraId="31C2BB4E">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cs="Times New Roman"/>
                      <w:i w:val="0"/>
                      <w:iCs w:val="0"/>
                      <w:color w:val="auto"/>
                      <w:kern w:val="0"/>
                      <w:sz w:val="21"/>
                      <w:szCs w:val="21"/>
                      <w:highlight w:val="red"/>
                      <w:u w:val="none"/>
                      <w:lang w:val="en-US" w:eastAsia="zh-CN" w:bidi="ar"/>
                    </w:rPr>
                  </w:pPr>
                  <w:r>
                    <w:rPr>
                      <w:rFonts w:hint="eastAsia" w:cs="Times New Roman"/>
                      <w:i w:val="0"/>
                      <w:iCs w:val="0"/>
                      <w:color w:val="auto"/>
                      <w:kern w:val="0"/>
                      <w:sz w:val="21"/>
                      <w:szCs w:val="21"/>
                      <w:highlight w:val="none"/>
                      <w:u w:val="none"/>
                      <w:lang w:val="en-US" w:eastAsia="zh-CN" w:bidi="ar"/>
                    </w:rPr>
                    <w:t>0</w:t>
                  </w:r>
                </w:p>
              </w:tc>
            </w:tr>
            <w:tr w14:paraId="6631E3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restart"/>
                  <w:noWrap w:val="0"/>
                  <w:vAlign w:val="center"/>
                </w:tcPr>
                <w:p w14:paraId="4823895F">
                  <w:pPr>
                    <w:keepNext w:val="0"/>
                    <w:keepLines w:val="0"/>
                    <w:pageBreakBefore w:val="0"/>
                    <w:kinsoku/>
                    <w:wordWrap/>
                    <w:overflowPunct/>
                    <w:topLinePunct w:val="0"/>
                    <w:autoSpaceDE/>
                    <w:autoSpaceDN/>
                    <w:bidi w:val="0"/>
                    <w:adjustRightInd/>
                    <w:spacing w:line="0" w:lineRule="atLeast"/>
                    <w:jc w:val="center"/>
                    <w:rPr>
                      <w:rFonts w:hint="eastAsia" w:eastAsia="宋体"/>
                      <w:color w:val="auto"/>
                      <w:sz w:val="21"/>
                      <w:szCs w:val="21"/>
                      <w:highlight w:val="none"/>
                      <w:lang w:eastAsia="zh-CN"/>
                    </w:rPr>
                  </w:pPr>
                  <w:r>
                    <w:rPr>
                      <w:rFonts w:hint="eastAsia"/>
                      <w:color w:val="auto"/>
                      <w:sz w:val="21"/>
                      <w:szCs w:val="21"/>
                      <w:highlight w:val="none"/>
                      <w:lang w:eastAsia="zh-CN"/>
                    </w:rPr>
                    <w:t>固废</w:t>
                  </w:r>
                </w:p>
              </w:tc>
              <w:tc>
                <w:tcPr>
                  <w:tcW w:w="568" w:type="pct"/>
                  <w:noWrap w:val="0"/>
                  <w:vAlign w:val="center"/>
                </w:tcPr>
                <w:p w14:paraId="697E26E6">
                  <w:pPr>
                    <w:keepNext w:val="0"/>
                    <w:keepLines w:val="0"/>
                    <w:widowControl/>
                    <w:suppressLineNumbers w:val="0"/>
                    <w:jc w:val="center"/>
                    <w:textAlignment w:val="center"/>
                    <w:rPr>
                      <w:color w:val="auto"/>
                      <w:sz w:val="21"/>
                      <w:szCs w:val="21"/>
                      <w:highlight w:val="none"/>
                    </w:rPr>
                  </w:pPr>
                  <w:r>
                    <w:rPr>
                      <w:rFonts w:hint="eastAsia" w:ascii="宋体" w:hAnsi="宋体" w:eastAsia="宋体" w:cs="宋体"/>
                      <w:i w:val="0"/>
                      <w:iCs w:val="0"/>
                      <w:color w:val="auto"/>
                      <w:kern w:val="0"/>
                      <w:sz w:val="21"/>
                      <w:szCs w:val="21"/>
                      <w:u w:val="none"/>
                      <w:lang w:val="en-US" w:eastAsia="zh-CN" w:bidi="ar"/>
                    </w:rPr>
                    <w:t>灰渣</w:t>
                  </w:r>
                </w:p>
              </w:tc>
              <w:tc>
                <w:tcPr>
                  <w:tcW w:w="566" w:type="pct"/>
                  <w:noWrap w:val="0"/>
                  <w:vAlign w:val="center"/>
                </w:tcPr>
                <w:p w14:paraId="4D562BC0">
                  <w:pPr>
                    <w:keepNext w:val="0"/>
                    <w:keepLines w:val="0"/>
                    <w:widowControl/>
                    <w:suppressLineNumbers w:val="0"/>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108</w:t>
                  </w:r>
                </w:p>
              </w:tc>
              <w:tc>
                <w:tcPr>
                  <w:tcW w:w="550" w:type="pct"/>
                  <w:noWrap w:val="0"/>
                  <w:vAlign w:val="center"/>
                </w:tcPr>
                <w:p w14:paraId="186B8EE9">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566" w:type="pct"/>
                  <w:noWrap w:val="0"/>
                  <w:vAlign w:val="center"/>
                </w:tcPr>
                <w:p w14:paraId="366AE878">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default" w:cs="Times New Roman"/>
                      <w:i w:val="0"/>
                      <w:iCs w:val="0"/>
                      <w:color w:val="auto"/>
                      <w:kern w:val="0"/>
                      <w:sz w:val="21"/>
                      <w:szCs w:val="21"/>
                      <w:highlight w:val="none"/>
                      <w:u w:val="none"/>
                      <w:lang w:val="en-US" w:eastAsia="zh-CN" w:bidi="ar"/>
                    </w:rPr>
                    <w:t>387.71</w:t>
                  </w:r>
                </w:p>
              </w:tc>
              <w:tc>
                <w:tcPr>
                  <w:tcW w:w="558" w:type="pct"/>
                  <w:noWrap w:val="0"/>
                  <w:vAlign w:val="center"/>
                </w:tcPr>
                <w:p w14:paraId="03BBEFFF">
                  <w:pPr>
                    <w:keepNext w:val="0"/>
                    <w:keepLines w:val="0"/>
                    <w:widowControl/>
                    <w:suppressLineNumbers w:val="0"/>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108</w:t>
                  </w:r>
                </w:p>
              </w:tc>
              <w:tc>
                <w:tcPr>
                  <w:tcW w:w="728" w:type="pct"/>
                  <w:noWrap w:val="0"/>
                  <w:vAlign w:val="center"/>
                </w:tcPr>
                <w:p w14:paraId="28FC39A3">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0</w:t>
                  </w:r>
                </w:p>
              </w:tc>
              <w:tc>
                <w:tcPr>
                  <w:tcW w:w="600" w:type="pct"/>
                  <w:noWrap w:val="0"/>
                  <w:vAlign w:val="center"/>
                </w:tcPr>
                <w:p w14:paraId="6B89E7B0">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default" w:cs="Times New Roman"/>
                      <w:i w:val="0"/>
                      <w:iCs w:val="0"/>
                      <w:color w:val="auto"/>
                      <w:kern w:val="0"/>
                      <w:sz w:val="21"/>
                      <w:szCs w:val="21"/>
                      <w:highlight w:val="none"/>
                      <w:u w:val="none"/>
                      <w:lang w:val="en-US" w:eastAsia="zh-CN" w:bidi="ar"/>
                    </w:rPr>
                    <w:t>387.71</w:t>
                  </w:r>
                </w:p>
              </w:tc>
              <w:tc>
                <w:tcPr>
                  <w:tcW w:w="610" w:type="pct"/>
                  <w:noWrap w:val="0"/>
                  <w:vAlign w:val="center"/>
                </w:tcPr>
                <w:p w14:paraId="53F461C7">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+279.71</w:t>
                  </w:r>
                </w:p>
              </w:tc>
            </w:tr>
            <w:tr w14:paraId="28B9CF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continue"/>
                  <w:noWrap w:val="0"/>
                  <w:vAlign w:val="center"/>
                </w:tcPr>
                <w:p w14:paraId="408F9229">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p>
              </w:tc>
              <w:tc>
                <w:tcPr>
                  <w:tcW w:w="568" w:type="pct"/>
                  <w:noWrap w:val="0"/>
                  <w:vAlign w:val="center"/>
                </w:tcPr>
                <w:p w14:paraId="5C5541C0">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生活</w:t>
                  </w:r>
                </w:p>
                <w:p w14:paraId="324C207F">
                  <w:pPr>
                    <w:keepNext w:val="0"/>
                    <w:keepLines w:val="0"/>
                    <w:widowControl/>
                    <w:suppressLineNumbers w:val="0"/>
                    <w:jc w:val="center"/>
                    <w:textAlignment w:val="center"/>
                    <w:rPr>
                      <w:color w:val="auto"/>
                      <w:sz w:val="21"/>
                      <w:szCs w:val="21"/>
                      <w:highlight w:val="none"/>
                    </w:rPr>
                  </w:pPr>
                  <w:r>
                    <w:rPr>
                      <w:rFonts w:hint="eastAsia" w:ascii="宋体" w:hAnsi="宋体" w:eastAsia="宋体" w:cs="宋体"/>
                      <w:i w:val="0"/>
                      <w:iCs w:val="0"/>
                      <w:color w:val="auto"/>
                      <w:kern w:val="0"/>
                      <w:sz w:val="21"/>
                      <w:szCs w:val="21"/>
                      <w:u w:val="none"/>
                      <w:lang w:val="en-US" w:eastAsia="zh-CN" w:bidi="ar"/>
                    </w:rPr>
                    <w:t>垃圾</w:t>
                  </w:r>
                </w:p>
              </w:tc>
              <w:tc>
                <w:tcPr>
                  <w:tcW w:w="566" w:type="pct"/>
                  <w:noWrap w:val="0"/>
                  <w:vAlign w:val="center"/>
                </w:tcPr>
                <w:p w14:paraId="44C4B8C1">
                  <w:pPr>
                    <w:keepNext w:val="0"/>
                    <w:keepLines w:val="0"/>
                    <w:widowControl/>
                    <w:suppressLineNumbers w:val="0"/>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42</w:t>
                  </w:r>
                </w:p>
              </w:tc>
              <w:tc>
                <w:tcPr>
                  <w:tcW w:w="550" w:type="pct"/>
                  <w:noWrap w:val="0"/>
                  <w:vAlign w:val="center"/>
                </w:tcPr>
                <w:p w14:paraId="58898781">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566" w:type="pct"/>
                  <w:noWrap w:val="0"/>
                  <w:vAlign w:val="center"/>
                </w:tcPr>
                <w:p w14:paraId="1DE2C66D">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c>
                <w:tcPr>
                  <w:tcW w:w="558" w:type="pct"/>
                  <w:noWrap w:val="0"/>
                  <w:vAlign w:val="center"/>
                </w:tcPr>
                <w:p w14:paraId="780599E4">
                  <w:pPr>
                    <w:keepNext w:val="0"/>
                    <w:keepLines w:val="0"/>
                    <w:widowControl/>
                    <w:suppressLineNumbers w:val="0"/>
                    <w:jc w:val="center"/>
                    <w:textAlignment w:val="center"/>
                    <w:rPr>
                      <w:rFonts w:hint="default"/>
                      <w:color w:val="auto"/>
                      <w:sz w:val="21"/>
                      <w:szCs w:val="21"/>
                      <w:highlight w:val="none"/>
                      <w:lang w:val="en-US" w:eastAsia="zh-CN"/>
                    </w:rPr>
                  </w:pPr>
                  <w:r>
                    <w:rPr>
                      <w:rFonts w:hint="eastAsia" w:cs="Times New Roman"/>
                      <w:i w:val="0"/>
                      <w:iCs w:val="0"/>
                      <w:color w:val="auto"/>
                      <w:kern w:val="0"/>
                      <w:sz w:val="21"/>
                      <w:szCs w:val="21"/>
                      <w:highlight w:val="none"/>
                      <w:u w:val="none"/>
                      <w:lang w:val="en-US" w:eastAsia="zh-CN" w:bidi="ar"/>
                    </w:rPr>
                    <w:t>0</w:t>
                  </w:r>
                </w:p>
              </w:tc>
              <w:tc>
                <w:tcPr>
                  <w:tcW w:w="728" w:type="pct"/>
                  <w:noWrap w:val="0"/>
                  <w:vAlign w:val="center"/>
                </w:tcPr>
                <w:p w14:paraId="3828541F">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0</w:t>
                  </w:r>
                </w:p>
              </w:tc>
              <w:tc>
                <w:tcPr>
                  <w:tcW w:w="600" w:type="pct"/>
                  <w:noWrap w:val="0"/>
                  <w:vAlign w:val="center"/>
                </w:tcPr>
                <w:p w14:paraId="01658357">
                  <w:pPr>
                    <w:keepNext w:val="0"/>
                    <w:keepLines w:val="0"/>
                    <w:widowControl/>
                    <w:suppressLineNumbers w:val="0"/>
                    <w:jc w:val="center"/>
                    <w:textAlignment w:val="center"/>
                    <w:rPr>
                      <w:rFonts w:hint="default"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42</w:t>
                  </w:r>
                </w:p>
              </w:tc>
              <w:tc>
                <w:tcPr>
                  <w:tcW w:w="610" w:type="pct"/>
                  <w:noWrap w:val="0"/>
                  <w:vAlign w:val="center"/>
                </w:tcPr>
                <w:p w14:paraId="015DB87C">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none"/>
                      <w:u w:val="none"/>
                      <w:lang w:val="en-US" w:eastAsia="zh-CN" w:bidi="ar"/>
                    </w:rPr>
                  </w:pPr>
                  <w:r>
                    <w:rPr>
                      <w:rFonts w:hint="eastAsia" w:cs="Times New Roman"/>
                      <w:i w:val="0"/>
                      <w:iCs w:val="0"/>
                      <w:color w:val="auto"/>
                      <w:kern w:val="0"/>
                      <w:sz w:val="21"/>
                      <w:szCs w:val="21"/>
                      <w:highlight w:val="none"/>
                      <w:u w:val="none"/>
                      <w:lang w:val="en-US" w:eastAsia="zh-CN" w:bidi="ar"/>
                    </w:rPr>
                    <w:t>0</w:t>
                  </w:r>
                </w:p>
              </w:tc>
            </w:tr>
            <w:tr w14:paraId="718C0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250" w:type="pct"/>
                  <w:vMerge w:val="continue"/>
                  <w:noWrap w:val="0"/>
                  <w:vAlign w:val="center"/>
                </w:tcPr>
                <w:p w14:paraId="790C5B0B">
                  <w:pPr>
                    <w:keepNext w:val="0"/>
                    <w:keepLines w:val="0"/>
                    <w:pageBreakBefore w:val="0"/>
                    <w:kinsoku/>
                    <w:wordWrap/>
                    <w:overflowPunct/>
                    <w:topLinePunct w:val="0"/>
                    <w:autoSpaceDE/>
                    <w:autoSpaceDN/>
                    <w:bidi w:val="0"/>
                    <w:adjustRightInd/>
                    <w:spacing w:line="0" w:lineRule="atLeast"/>
                    <w:jc w:val="center"/>
                    <w:rPr>
                      <w:color w:val="auto"/>
                      <w:sz w:val="21"/>
                      <w:szCs w:val="21"/>
                      <w:highlight w:val="none"/>
                    </w:rPr>
                  </w:pPr>
                </w:p>
              </w:tc>
              <w:tc>
                <w:tcPr>
                  <w:tcW w:w="568" w:type="pct"/>
                  <w:noWrap w:val="0"/>
                  <w:vAlign w:val="center"/>
                </w:tcPr>
                <w:p w14:paraId="677DB057">
                  <w:pPr>
                    <w:keepNext w:val="0"/>
                    <w:keepLines w:val="0"/>
                    <w:widowControl/>
                    <w:suppressLineNumbers w:val="0"/>
                    <w:jc w:val="center"/>
                    <w:textAlignment w:val="center"/>
                    <w:rPr>
                      <w:color w:val="auto"/>
                      <w:sz w:val="21"/>
                      <w:szCs w:val="21"/>
                      <w:highlight w:val="none"/>
                    </w:rPr>
                  </w:pPr>
                  <w:r>
                    <w:rPr>
                      <w:rFonts w:hint="eastAsia" w:ascii="宋体" w:hAnsi="宋体" w:eastAsia="宋体" w:cs="宋体"/>
                      <w:i w:val="0"/>
                      <w:iCs w:val="0"/>
                      <w:color w:val="auto"/>
                      <w:kern w:val="0"/>
                      <w:sz w:val="21"/>
                      <w:szCs w:val="21"/>
                      <w:u w:val="none"/>
                      <w:lang w:val="en-US" w:eastAsia="zh-CN" w:bidi="ar"/>
                    </w:rPr>
                    <w:t>矸石</w:t>
                  </w:r>
                </w:p>
              </w:tc>
              <w:tc>
                <w:tcPr>
                  <w:tcW w:w="566" w:type="pct"/>
                  <w:noWrap w:val="0"/>
                  <w:vAlign w:val="center"/>
                </w:tcPr>
                <w:p w14:paraId="2BC04056">
                  <w:pPr>
                    <w:keepNext w:val="0"/>
                    <w:keepLines w:val="0"/>
                    <w:widowControl/>
                    <w:suppressLineNumbers w:val="0"/>
                    <w:jc w:val="center"/>
                    <w:textAlignment w:val="center"/>
                    <w:rPr>
                      <w:rFonts w:hint="eastAsia"/>
                      <w:color w:val="auto"/>
                      <w:sz w:val="21"/>
                      <w:szCs w:val="21"/>
                      <w:highlight w:val="red"/>
                      <w:lang w:val="en-US" w:eastAsia="zh-CN"/>
                    </w:rPr>
                  </w:pPr>
                  <w:r>
                    <w:rPr>
                      <w:rFonts w:hint="eastAsia" w:cs="Times New Roman"/>
                      <w:i w:val="0"/>
                      <w:iCs w:val="0"/>
                      <w:color w:val="auto"/>
                      <w:kern w:val="0"/>
                      <w:sz w:val="21"/>
                      <w:szCs w:val="21"/>
                      <w:highlight w:val="none"/>
                      <w:u w:val="none"/>
                      <w:lang w:val="en-US" w:eastAsia="zh-CN" w:bidi="ar"/>
                    </w:rPr>
                    <w:t>15</w:t>
                  </w:r>
                  <w:r>
                    <w:rPr>
                      <w:rFonts w:hint="default" w:ascii="Times New Roman" w:hAnsi="Times New Roman" w:eastAsia="宋体" w:cs="Times New Roman"/>
                      <w:i w:val="0"/>
                      <w:iCs w:val="0"/>
                      <w:color w:val="auto"/>
                      <w:kern w:val="0"/>
                      <w:sz w:val="21"/>
                      <w:szCs w:val="21"/>
                      <w:highlight w:val="none"/>
                      <w:u w:val="none"/>
                      <w:lang w:val="en-US" w:eastAsia="zh-CN" w:bidi="ar"/>
                    </w:rPr>
                    <w:t>000</w:t>
                  </w:r>
                </w:p>
              </w:tc>
              <w:tc>
                <w:tcPr>
                  <w:tcW w:w="550" w:type="pct"/>
                  <w:noWrap w:val="0"/>
                  <w:vAlign w:val="center"/>
                </w:tcPr>
                <w:p w14:paraId="7CDC93B7">
                  <w:pPr>
                    <w:keepNext w:val="0"/>
                    <w:keepLines w:val="0"/>
                    <w:pageBreakBefore w:val="0"/>
                    <w:kinsoku/>
                    <w:wordWrap/>
                    <w:overflowPunct/>
                    <w:topLinePunct w:val="0"/>
                    <w:autoSpaceDE/>
                    <w:autoSpaceDN/>
                    <w:bidi w:val="0"/>
                    <w:adjustRightInd/>
                    <w:spacing w:line="0" w:lineRule="atLeast"/>
                    <w:jc w:val="center"/>
                    <w:rPr>
                      <w:rFonts w:hint="eastAsia" w:ascii="Times New Roman" w:hAnsi="Times New Roman" w:eastAsia="宋体" w:cs="Times New Roman"/>
                      <w:b w:val="0"/>
                      <w:bCs w:val="0"/>
                      <w:color w:val="auto"/>
                      <w:kern w:val="0"/>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w:t>
                  </w:r>
                </w:p>
              </w:tc>
              <w:tc>
                <w:tcPr>
                  <w:tcW w:w="566" w:type="pct"/>
                  <w:noWrap w:val="0"/>
                  <w:vAlign w:val="center"/>
                </w:tcPr>
                <w:p w14:paraId="636371BC">
                  <w:pPr>
                    <w:keepNext w:val="0"/>
                    <w:keepLines w:val="0"/>
                    <w:widowControl/>
                    <w:suppressLineNumbers w:val="0"/>
                    <w:jc w:val="center"/>
                    <w:textAlignment w:val="center"/>
                    <w:rPr>
                      <w:rFonts w:hint="eastAsia" w:cs="Times New Roman"/>
                      <w:i w:val="0"/>
                      <w:iCs w:val="0"/>
                      <w:color w:val="auto"/>
                      <w:kern w:val="0"/>
                      <w:sz w:val="21"/>
                      <w:szCs w:val="21"/>
                      <w:highlight w:val="red"/>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0</w:t>
                  </w:r>
                </w:p>
              </w:tc>
              <w:tc>
                <w:tcPr>
                  <w:tcW w:w="558" w:type="pct"/>
                  <w:noWrap w:val="0"/>
                  <w:vAlign w:val="center"/>
                </w:tcPr>
                <w:p w14:paraId="5907CAD9">
                  <w:pPr>
                    <w:keepNext w:val="0"/>
                    <w:keepLines w:val="0"/>
                    <w:widowControl/>
                    <w:suppressLineNumbers w:val="0"/>
                    <w:jc w:val="center"/>
                    <w:textAlignment w:val="center"/>
                    <w:rPr>
                      <w:rFonts w:hint="eastAsia"/>
                      <w:color w:val="auto"/>
                      <w:sz w:val="21"/>
                      <w:szCs w:val="21"/>
                      <w:highlight w:val="red"/>
                      <w:lang w:val="en-US" w:eastAsia="zh-CN"/>
                    </w:rPr>
                  </w:pPr>
                  <w:r>
                    <w:rPr>
                      <w:rFonts w:hint="eastAsia" w:cs="Times New Roman"/>
                      <w:i w:val="0"/>
                      <w:iCs w:val="0"/>
                      <w:color w:val="auto"/>
                      <w:kern w:val="0"/>
                      <w:sz w:val="21"/>
                      <w:szCs w:val="21"/>
                      <w:highlight w:val="none"/>
                      <w:u w:val="none"/>
                      <w:lang w:val="en-US" w:eastAsia="zh-CN" w:bidi="ar"/>
                    </w:rPr>
                    <w:t>0</w:t>
                  </w:r>
                </w:p>
              </w:tc>
              <w:tc>
                <w:tcPr>
                  <w:tcW w:w="728" w:type="pct"/>
                  <w:noWrap w:val="0"/>
                  <w:vAlign w:val="center"/>
                </w:tcPr>
                <w:p w14:paraId="0DE1813C">
                  <w:pPr>
                    <w:keepNext w:val="0"/>
                    <w:keepLines w:val="0"/>
                    <w:widowControl/>
                    <w:suppressLineNumbers w:val="0"/>
                    <w:jc w:val="center"/>
                    <w:textAlignment w:val="center"/>
                    <w:rPr>
                      <w:rFonts w:hint="eastAsia"/>
                      <w:color w:val="auto"/>
                      <w:sz w:val="21"/>
                      <w:szCs w:val="21"/>
                      <w:highlight w:val="none"/>
                    </w:rPr>
                  </w:pPr>
                  <w:r>
                    <w:rPr>
                      <w:rFonts w:hint="eastAsia"/>
                      <w:color w:val="auto"/>
                      <w:sz w:val="21"/>
                      <w:szCs w:val="21"/>
                      <w:highlight w:val="none"/>
                      <w:lang w:val="en-US" w:eastAsia="zh-CN"/>
                    </w:rPr>
                    <w:t>0</w:t>
                  </w:r>
                </w:p>
              </w:tc>
              <w:tc>
                <w:tcPr>
                  <w:tcW w:w="600" w:type="pct"/>
                  <w:noWrap w:val="0"/>
                  <w:vAlign w:val="center"/>
                </w:tcPr>
                <w:p w14:paraId="293F3CD5">
                  <w:pPr>
                    <w:keepNext w:val="0"/>
                    <w:keepLines w:val="0"/>
                    <w:widowControl/>
                    <w:suppressLineNumbers w:val="0"/>
                    <w:jc w:val="center"/>
                    <w:textAlignment w:val="center"/>
                    <w:rPr>
                      <w:rFonts w:hint="default" w:cs="Times New Roman"/>
                      <w:i w:val="0"/>
                      <w:iCs w:val="0"/>
                      <w:color w:val="auto"/>
                      <w:kern w:val="0"/>
                      <w:sz w:val="21"/>
                      <w:szCs w:val="21"/>
                      <w:highlight w:val="red"/>
                      <w:u w:val="none"/>
                      <w:lang w:val="en-US" w:eastAsia="zh-CN" w:bidi="ar"/>
                    </w:rPr>
                  </w:pPr>
                  <w:r>
                    <w:rPr>
                      <w:rFonts w:hint="eastAsia" w:cs="Times New Roman"/>
                      <w:i w:val="0"/>
                      <w:iCs w:val="0"/>
                      <w:color w:val="auto"/>
                      <w:kern w:val="0"/>
                      <w:sz w:val="21"/>
                      <w:szCs w:val="21"/>
                      <w:highlight w:val="none"/>
                      <w:u w:val="none"/>
                      <w:lang w:val="en-US" w:eastAsia="zh-CN" w:bidi="ar"/>
                    </w:rPr>
                    <w:t>15000</w:t>
                  </w:r>
                </w:p>
              </w:tc>
              <w:tc>
                <w:tcPr>
                  <w:tcW w:w="610" w:type="pct"/>
                  <w:noWrap w:val="0"/>
                  <w:vAlign w:val="center"/>
                </w:tcPr>
                <w:p w14:paraId="423A079E">
                  <w:pPr>
                    <w:keepNext w:val="0"/>
                    <w:keepLines w:val="0"/>
                    <w:widowControl/>
                    <w:suppressLineNumbers w:val="0"/>
                    <w:jc w:val="center"/>
                    <w:textAlignment w:val="center"/>
                    <w:rPr>
                      <w:rFonts w:hint="default" w:ascii="Times New Roman" w:hAnsi="Times New Roman" w:cs="Times New Roman"/>
                      <w:i w:val="0"/>
                      <w:iCs w:val="0"/>
                      <w:color w:val="auto"/>
                      <w:kern w:val="0"/>
                      <w:sz w:val="21"/>
                      <w:szCs w:val="21"/>
                      <w:highlight w:val="red"/>
                      <w:u w:val="none"/>
                      <w:lang w:val="en-US" w:eastAsia="zh-CN" w:bidi="ar"/>
                    </w:rPr>
                  </w:pPr>
                  <w:r>
                    <w:rPr>
                      <w:rFonts w:hint="eastAsia" w:cs="Times New Roman"/>
                      <w:i w:val="0"/>
                      <w:iCs w:val="0"/>
                      <w:color w:val="auto"/>
                      <w:kern w:val="0"/>
                      <w:sz w:val="21"/>
                      <w:szCs w:val="21"/>
                      <w:highlight w:val="none"/>
                      <w:u w:val="none"/>
                      <w:lang w:val="en-US" w:eastAsia="zh-CN" w:bidi="ar"/>
                    </w:rPr>
                    <w:t>0</w:t>
                  </w:r>
                </w:p>
              </w:tc>
            </w:tr>
          </w:tbl>
          <w:p w14:paraId="604C8112">
            <w:pPr>
              <w:adjustRightInd w:val="0"/>
              <w:snapToGrid w:val="0"/>
              <w:spacing w:line="360" w:lineRule="auto"/>
              <w:ind w:firstLine="480" w:firstLineChars="200"/>
              <w:jc w:val="left"/>
              <w:rPr>
                <w:rFonts w:hint="default"/>
                <w:color w:val="auto"/>
                <w:highlight w:val="none"/>
                <w:lang w:val="en-US" w:eastAsia="zh-CN"/>
              </w:rPr>
            </w:pPr>
            <w:r>
              <w:rPr>
                <w:rFonts w:hint="eastAsia"/>
                <w:color w:val="auto"/>
                <w:sz w:val="24"/>
                <w:szCs w:val="24"/>
                <w:shd w:val="clear"/>
                <w:lang w:val="en-US" w:eastAsia="zh-CN"/>
              </w:rPr>
              <w:t>本项目技改之后，全厂热风炉排放量为：</w:t>
            </w:r>
            <w:r>
              <w:rPr>
                <w:rFonts w:hint="eastAsia" w:cs="Times New Roman"/>
                <w:color w:val="auto"/>
                <w:kern w:val="0"/>
                <w:sz w:val="24"/>
                <w:szCs w:val="24"/>
                <w:highlight w:val="none"/>
                <w:shd w:val="clear"/>
                <w:lang w:val="en-US" w:eastAsia="zh-CN"/>
              </w:rPr>
              <w:t>颗粒物：0.73t/a、SO</w:t>
            </w:r>
            <w:r>
              <w:rPr>
                <w:rFonts w:hint="eastAsia" w:cs="Times New Roman"/>
                <w:color w:val="auto"/>
                <w:kern w:val="0"/>
                <w:sz w:val="24"/>
                <w:szCs w:val="24"/>
                <w:highlight w:val="none"/>
                <w:shd w:val="clear"/>
                <w:vertAlign w:val="subscript"/>
                <w:lang w:val="en-US" w:eastAsia="zh-CN"/>
              </w:rPr>
              <w:t>2</w:t>
            </w:r>
            <w:r>
              <w:rPr>
                <w:rFonts w:hint="eastAsia" w:cs="Times New Roman"/>
                <w:color w:val="auto"/>
                <w:kern w:val="0"/>
                <w:sz w:val="24"/>
                <w:szCs w:val="24"/>
                <w:highlight w:val="none"/>
                <w:shd w:val="clear"/>
                <w:lang w:val="en-US" w:eastAsia="zh-CN"/>
              </w:rPr>
              <w:t>:1.05t/a、NO</w:t>
            </w:r>
            <w:r>
              <w:rPr>
                <w:rFonts w:hint="eastAsia" w:cs="Times New Roman"/>
                <w:color w:val="auto"/>
                <w:kern w:val="0"/>
                <w:sz w:val="24"/>
                <w:szCs w:val="24"/>
                <w:highlight w:val="none"/>
                <w:shd w:val="clear"/>
                <w:vertAlign w:val="subscript"/>
                <w:lang w:val="en-US" w:eastAsia="zh-CN"/>
              </w:rPr>
              <w:t>X</w:t>
            </w:r>
            <w:r>
              <w:rPr>
                <w:rFonts w:hint="eastAsia" w:cs="Times New Roman"/>
                <w:color w:val="auto"/>
                <w:kern w:val="0"/>
                <w:sz w:val="24"/>
                <w:szCs w:val="24"/>
                <w:highlight w:val="none"/>
                <w:shd w:val="clear"/>
                <w:lang w:val="en-US" w:eastAsia="zh-CN"/>
              </w:rPr>
              <w:t>：2.05t/a；</w:t>
            </w:r>
          </w:p>
          <w:p w14:paraId="40E99CE0">
            <w:pPr>
              <w:pStyle w:val="16"/>
              <w:numPr>
                <w:ilvl w:val="0"/>
                <w:numId w:val="0"/>
              </w:numPr>
              <w:rPr>
                <w:rFonts w:hint="default"/>
                <w:color w:val="auto"/>
                <w:lang w:val="en-US" w:eastAsia="zh-CN"/>
              </w:rPr>
            </w:pPr>
          </w:p>
          <w:p w14:paraId="22C4B377">
            <w:pPr>
              <w:pStyle w:val="16"/>
              <w:numPr>
                <w:ilvl w:val="0"/>
                <w:numId w:val="0"/>
              </w:numPr>
              <w:rPr>
                <w:rFonts w:hint="default"/>
                <w:color w:val="auto"/>
                <w:lang w:val="en-US" w:eastAsia="zh-CN"/>
              </w:rPr>
            </w:pPr>
          </w:p>
          <w:p w14:paraId="253CBE11">
            <w:pPr>
              <w:pStyle w:val="16"/>
              <w:numPr>
                <w:ilvl w:val="0"/>
                <w:numId w:val="0"/>
              </w:numPr>
              <w:rPr>
                <w:rFonts w:hint="default"/>
                <w:color w:val="auto"/>
                <w:lang w:val="en-US" w:eastAsia="zh-CN"/>
              </w:rPr>
            </w:pPr>
          </w:p>
          <w:p w14:paraId="3A8FABBE">
            <w:pPr>
              <w:pStyle w:val="16"/>
              <w:numPr>
                <w:ilvl w:val="0"/>
                <w:numId w:val="0"/>
              </w:numPr>
              <w:rPr>
                <w:rFonts w:hint="default"/>
                <w:color w:val="auto"/>
                <w:lang w:val="en-US" w:eastAsia="zh-CN"/>
              </w:rPr>
            </w:pPr>
          </w:p>
          <w:p w14:paraId="0A079F26">
            <w:pPr>
              <w:pStyle w:val="16"/>
              <w:numPr>
                <w:ilvl w:val="0"/>
                <w:numId w:val="0"/>
              </w:numPr>
              <w:rPr>
                <w:rFonts w:hint="default"/>
                <w:color w:val="auto"/>
                <w:lang w:val="en-US" w:eastAsia="zh-CN"/>
              </w:rPr>
            </w:pPr>
          </w:p>
          <w:p w14:paraId="36A4BC18">
            <w:pPr>
              <w:pStyle w:val="16"/>
              <w:numPr>
                <w:ilvl w:val="0"/>
                <w:numId w:val="0"/>
              </w:numPr>
              <w:rPr>
                <w:rFonts w:hint="default"/>
                <w:color w:val="auto"/>
                <w:lang w:val="en-US" w:eastAsia="zh-CN"/>
              </w:rPr>
            </w:pPr>
          </w:p>
          <w:p w14:paraId="3B2FB443">
            <w:pPr>
              <w:pStyle w:val="16"/>
              <w:numPr>
                <w:ilvl w:val="0"/>
                <w:numId w:val="0"/>
              </w:numPr>
              <w:rPr>
                <w:rFonts w:hint="default"/>
                <w:color w:val="auto"/>
                <w:lang w:val="en-US" w:eastAsia="zh-CN"/>
              </w:rPr>
            </w:pPr>
          </w:p>
          <w:p w14:paraId="71ABF336">
            <w:pPr>
              <w:pStyle w:val="16"/>
              <w:numPr>
                <w:ilvl w:val="0"/>
                <w:numId w:val="0"/>
              </w:numPr>
              <w:rPr>
                <w:rFonts w:hint="default"/>
                <w:color w:val="auto"/>
                <w:lang w:val="en-US" w:eastAsia="zh-CN"/>
              </w:rPr>
            </w:pPr>
          </w:p>
          <w:p w14:paraId="5F595460">
            <w:pPr>
              <w:pStyle w:val="16"/>
              <w:numPr>
                <w:ilvl w:val="0"/>
                <w:numId w:val="0"/>
              </w:numPr>
              <w:rPr>
                <w:rFonts w:hint="default"/>
                <w:color w:val="auto"/>
                <w:lang w:val="en-US" w:eastAsia="zh-CN"/>
              </w:rPr>
            </w:pPr>
          </w:p>
          <w:p w14:paraId="47DEBFC8">
            <w:pPr>
              <w:pStyle w:val="16"/>
              <w:numPr>
                <w:ilvl w:val="0"/>
                <w:numId w:val="0"/>
              </w:numPr>
              <w:rPr>
                <w:rFonts w:hint="default"/>
                <w:color w:val="auto"/>
                <w:lang w:val="en-US" w:eastAsia="zh-CN"/>
              </w:rPr>
            </w:pPr>
          </w:p>
          <w:p w14:paraId="6EA60F9F">
            <w:pPr>
              <w:pStyle w:val="16"/>
              <w:numPr>
                <w:ilvl w:val="0"/>
                <w:numId w:val="0"/>
              </w:numPr>
              <w:rPr>
                <w:rFonts w:hint="default"/>
                <w:color w:val="auto"/>
                <w:lang w:val="en-US" w:eastAsia="zh-CN"/>
              </w:rPr>
            </w:pPr>
          </w:p>
          <w:p w14:paraId="575BF1EF">
            <w:pPr>
              <w:pStyle w:val="16"/>
              <w:numPr>
                <w:ilvl w:val="0"/>
                <w:numId w:val="0"/>
              </w:numPr>
              <w:rPr>
                <w:rFonts w:hint="default"/>
                <w:color w:val="auto"/>
                <w:lang w:val="en-US" w:eastAsia="zh-CN"/>
              </w:rPr>
            </w:pPr>
          </w:p>
          <w:p w14:paraId="48AE9849">
            <w:pPr>
              <w:pStyle w:val="16"/>
              <w:numPr>
                <w:ilvl w:val="0"/>
                <w:numId w:val="0"/>
              </w:numPr>
              <w:rPr>
                <w:rFonts w:hint="default"/>
                <w:color w:val="auto"/>
                <w:lang w:val="en-US" w:eastAsia="zh-CN"/>
              </w:rPr>
            </w:pPr>
          </w:p>
          <w:p w14:paraId="0E4D2573">
            <w:pPr>
              <w:pStyle w:val="16"/>
              <w:numPr>
                <w:ilvl w:val="0"/>
                <w:numId w:val="0"/>
              </w:numPr>
              <w:rPr>
                <w:rFonts w:hint="default"/>
                <w:color w:val="auto"/>
                <w:lang w:val="en-US" w:eastAsia="zh-CN"/>
              </w:rPr>
            </w:pPr>
          </w:p>
          <w:p w14:paraId="419E7D15">
            <w:pPr>
              <w:pStyle w:val="16"/>
              <w:numPr>
                <w:ilvl w:val="0"/>
                <w:numId w:val="0"/>
              </w:numPr>
              <w:rPr>
                <w:rFonts w:hint="default"/>
                <w:color w:val="auto"/>
                <w:lang w:val="en-US" w:eastAsia="zh-CN"/>
              </w:rPr>
            </w:pPr>
          </w:p>
          <w:p w14:paraId="08E1FFB7">
            <w:pPr>
              <w:pStyle w:val="16"/>
              <w:numPr>
                <w:ilvl w:val="0"/>
                <w:numId w:val="0"/>
              </w:numPr>
              <w:rPr>
                <w:rFonts w:hint="default"/>
                <w:color w:val="auto"/>
                <w:lang w:val="en-US" w:eastAsia="zh-CN"/>
              </w:rPr>
            </w:pPr>
          </w:p>
          <w:p w14:paraId="00C7249B">
            <w:pPr>
              <w:pStyle w:val="16"/>
              <w:numPr>
                <w:ilvl w:val="0"/>
                <w:numId w:val="0"/>
              </w:numPr>
              <w:rPr>
                <w:rFonts w:hint="default"/>
                <w:color w:val="auto"/>
                <w:lang w:val="en-US" w:eastAsia="zh-CN"/>
              </w:rPr>
            </w:pPr>
          </w:p>
          <w:p w14:paraId="7C25ECD7">
            <w:pPr>
              <w:pStyle w:val="16"/>
              <w:numPr>
                <w:ilvl w:val="0"/>
                <w:numId w:val="0"/>
              </w:numPr>
              <w:rPr>
                <w:rFonts w:hint="default"/>
                <w:color w:val="auto"/>
                <w:lang w:val="en-US" w:eastAsia="zh-CN"/>
              </w:rPr>
            </w:pPr>
          </w:p>
          <w:p w14:paraId="4390679D">
            <w:pPr>
              <w:pStyle w:val="16"/>
              <w:numPr>
                <w:ilvl w:val="0"/>
                <w:numId w:val="0"/>
              </w:numPr>
              <w:rPr>
                <w:rFonts w:hint="default"/>
                <w:color w:val="auto"/>
                <w:lang w:val="en-US" w:eastAsia="zh-CN"/>
              </w:rPr>
            </w:pPr>
          </w:p>
          <w:p w14:paraId="4EE8E5F6">
            <w:pPr>
              <w:pStyle w:val="16"/>
              <w:numPr>
                <w:ilvl w:val="0"/>
                <w:numId w:val="0"/>
              </w:numPr>
              <w:rPr>
                <w:rFonts w:hint="default"/>
                <w:color w:val="auto"/>
                <w:lang w:val="en-US" w:eastAsia="zh-CN"/>
              </w:rPr>
            </w:pPr>
          </w:p>
          <w:p w14:paraId="219D6A4A">
            <w:pPr>
              <w:pStyle w:val="16"/>
              <w:numPr>
                <w:ilvl w:val="0"/>
                <w:numId w:val="0"/>
              </w:numPr>
              <w:rPr>
                <w:rFonts w:hint="default"/>
                <w:color w:val="auto"/>
                <w:lang w:val="en-US" w:eastAsia="zh-CN"/>
              </w:rPr>
            </w:pPr>
          </w:p>
          <w:p w14:paraId="1E45ECF3">
            <w:pPr>
              <w:pStyle w:val="16"/>
              <w:numPr>
                <w:ilvl w:val="0"/>
                <w:numId w:val="0"/>
              </w:numPr>
              <w:rPr>
                <w:rFonts w:hint="default"/>
                <w:color w:val="auto"/>
                <w:lang w:val="en-US" w:eastAsia="zh-CN"/>
              </w:rPr>
            </w:pPr>
          </w:p>
          <w:p w14:paraId="60668848">
            <w:pPr>
              <w:pStyle w:val="16"/>
              <w:numPr>
                <w:ilvl w:val="0"/>
                <w:numId w:val="0"/>
              </w:numPr>
              <w:rPr>
                <w:rFonts w:hint="default"/>
                <w:color w:val="auto"/>
                <w:lang w:val="en-US" w:eastAsia="zh-CN"/>
              </w:rPr>
            </w:pPr>
          </w:p>
          <w:p w14:paraId="29F4EA97">
            <w:pPr>
              <w:pStyle w:val="16"/>
              <w:numPr>
                <w:ilvl w:val="0"/>
                <w:numId w:val="0"/>
              </w:numPr>
              <w:rPr>
                <w:rFonts w:hint="default"/>
                <w:color w:val="auto"/>
                <w:lang w:val="en-US" w:eastAsia="zh-CN"/>
              </w:rPr>
            </w:pPr>
          </w:p>
          <w:p w14:paraId="71190B9B">
            <w:pPr>
              <w:pStyle w:val="16"/>
              <w:numPr>
                <w:ilvl w:val="0"/>
                <w:numId w:val="0"/>
              </w:numPr>
              <w:rPr>
                <w:rFonts w:hint="default"/>
                <w:color w:val="auto"/>
                <w:lang w:val="en-US" w:eastAsia="zh-CN"/>
              </w:rPr>
            </w:pPr>
          </w:p>
        </w:tc>
      </w:tr>
    </w:tbl>
    <w:p w14:paraId="24C5ADBD">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eastAsia="黑体" w:cs="Times New Roman"/>
          <w:snapToGrid w:val="0"/>
          <w:color w:val="auto"/>
          <w:sz w:val="36"/>
          <w:szCs w:val="36"/>
        </w:rPr>
        <w:br w:type="page"/>
      </w:r>
      <w:bookmarkStart w:id="4" w:name="_Toc15146"/>
      <w:r>
        <w:rPr>
          <w:rFonts w:hint="default" w:ascii="Times New Roman" w:hAnsi="Times New Roman" w:eastAsia="黑体" w:cs="Times New Roman"/>
          <w:snapToGrid w:val="0"/>
          <w:color w:val="auto"/>
          <w:sz w:val="30"/>
          <w:szCs w:val="30"/>
        </w:rPr>
        <w:t>四、主要环境影响和保护措施</w:t>
      </w:r>
      <w:bookmarkEnd w:id="4"/>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41"/>
      </w:tblGrid>
      <w:tr w14:paraId="398B9F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noWrap w:val="0"/>
            <w:tcMar>
              <w:left w:w="28" w:type="dxa"/>
              <w:right w:w="28" w:type="dxa"/>
            </w:tcMar>
            <w:vAlign w:val="center"/>
          </w:tcPr>
          <w:p w14:paraId="65EC3836">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施工</w:t>
            </w:r>
          </w:p>
          <w:p w14:paraId="76BA6D6A">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期环</w:t>
            </w:r>
          </w:p>
          <w:p w14:paraId="374918F4">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境保</w:t>
            </w:r>
          </w:p>
          <w:p w14:paraId="5FC46FFB">
            <w:pPr>
              <w:pStyle w:val="26"/>
              <w:adjustRightInd w:val="0"/>
              <w:snapToGrid w:val="0"/>
              <w:spacing w:before="0" w:beforeAutospacing="0" w:after="0" w:afterAutospacing="0"/>
              <w:jc w:val="center"/>
              <w:rPr>
                <w:rFonts w:hint="default" w:ascii="Times New Roman" w:hAnsi="Times New Roman" w:cs="Times New Roman"/>
                <w:color w:val="auto"/>
                <w:kern w:val="2"/>
                <w:sz w:val="24"/>
                <w:szCs w:val="24"/>
              </w:rPr>
            </w:pPr>
            <w:r>
              <w:rPr>
                <w:rFonts w:hint="default" w:ascii="Times New Roman" w:hAnsi="Times New Roman" w:cs="Times New Roman"/>
                <w:color w:val="auto"/>
                <w:kern w:val="2"/>
                <w:sz w:val="24"/>
                <w:szCs w:val="24"/>
              </w:rPr>
              <w:t>护措</w:t>
            </w:r>
          </w:p>
          <w:p w14:paraId="0CEB2E36">
            <w:pPr>
              <w:pStyle w:val="26"/>
              <w:adjustRightInd w:val="0"/>
              <w:snapToGrid w:val="0"/>
              <w:spacing w:before="0" w:beforeAutospacing="0" w:after="0" w:afterAutospacing="0"/>
              <w:jc w:val="center"/>
              <w:rPr>
                <w:rFonts w:hint="default" w:ascii="Times New Roman" w:hAnsi="Times New Roman" w:cs="Times New Roman"/>
                <w:bCs/>
                <w:color w:val="auto"/>
                <w:kern w:val="2"/>
                <w:sz w:val="21"/>
                <w:szCs w:val="21"/>
              </w:rPr>
            </w:pPr>
            <w:r>
              <w:rPr>
                <w:rFonts w:hint="default" w:ascii="Times New Roman" w:hAnsi="Times New Roman" w:cs="Times New Roman"/>
                <w:color w:val="auto"/>
                <w:kern w:val="2"/>
                <w:sz w:val="24"/>
                <w:szCs w:val="24"/>
              </w:rPr>
              <w:t>施</w:t>
            </w:r>
          </w:p>
        </w:tc>
        <w:tc>
          <w:tcPr>
            <w:tcW w:w="8141" w:type="dxa"/>
            <w:noWrap w:val="0"/>
            <w:vAlign w:val="center"/>
          </w:tcPr>
          <w:p w14:paraId="2E153EFA">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一、</w:t>
            </w:r>
            <w:r>
              <w:rPr>
                <w:rFonts w:hint="default" w:ascii="Times New Roman" w:hAnsi="Times New Roman" w:cs="Times New Roman"/>
                <w:b/>
                <w:color w:val="auto"/>
                <w:sz w:val="24"/>
              </w:rPr>
              <w:t>环境空气</w:t>
            </w:r>
          </w:p>
          <w:p w14:paraId="601EAC0D">
            <w:pPr>
              <w:spacing w:line="360" w:lineRule="auto"/>
              <w:ind w:firstLine="480" w:firstLineChars="200"/>
              <w:rPr>
                <w:rFonts w:hint="eastAsia" w:ascii="Times New Roman" w:hAnsi="Times New Roman" w:cs="Times New Roman"/>
                <w:color w:val="auto"/>
                <w:kern w:val="2"/>
                <w:sz w:val="24"/>
                <w:szCs w:val="24"/>
                <w:lang w:val="en-US" w:eastAsia="zh-CN" w:bidi="ar-SA"/>
              </w:rPr>
            </w:pPr>
            <w:r>
              <w:rPr>
                <w:rFonts w:hint="default" w:ascii="Times New Roman" w:hAnsi="Times New Roman" w:cs="Times New Roman"/>
                <w:color w:val="auto"/>
                <w:sz w:val="24"/>
              </w:rPr>
              <w:t>施工扬尘来自于土地清理，大部分是由车辆在工地的来往行驶引起的。扬尘的排放与施工场地的面积和施工活动频率成比例，与土壤的泥沙颗粒含量成正比的，还与当地气象条件如风速、湿度、日照等有关。施工期的扬尘按同类项目的监测数据进行类比分析计算，施工工地扬尘浓度约为0.5～0.7mg/m</w:t>
            </w:r>
            <w:r>
              <w:rPr>
                <w:rFonts w:hint="default" w:ascii="Times New Roman" w:hAnsi="Times New Roman" w:cs="Times New Roman"/>
                <w:color w:val="auto"/>
                <w:sz w:val="24"/>
                <w:vertAlign w:val="superscript"/>
              </w:rPr>
              <w:t>3</w:t>
            </w:r>
            <w:r>
              <w:rPr>
                <w:rFonts w:hint="default" w:ascii="Times New Roman" w:hAnsi="Times New Roman" w:cs="Times New Roman"/>
                <w:color w:val="auto"/>
                <w:sz w:val="24"/>
              </w:rPr>
              <w:t>。</w:t>
            </w:r>
            <w:r>
              <w:rPr>
                <w:rFonts w:hint="eastAsia" w:cs="Times New Roman"/>
                <w:color w:val="auto"/>
                <w:sz w:val="24"/>
                <w:lang w:eastAsia="zh-CN"/>
              </w:rPr>
              <w:t>施工期扬尘执行《大气污染物综合排放标准》</w:t>
            </w:r>
            <w:r>
              <w:rPr>
                <w:rFonts w:hint="eastAsia" w:cs="Times New Roman"/>
                <w:color w:val="auto"/>
                <w:sz w:val="24"/>
                <w:lang w:val="en-US" w:eastAsia="zh-CN"/>
              </w:rPr>
              <w:t>GB16297-1996标准限值要求</w:t>
            </w:r>
            <w:r>
              <w:rPr>
                <w:rFonts w:hint="eastAsia" w:ascii="Times New Roman" w:hAnsi="Times New Roman" w:cs="Times New Roman"/>
                <w:color w:val="auto"/>
                <w:kern w:val="2"/>
                <w:sz w:val="24"/>
                <w:szCs w:val="24"/>
                <w:lang w:val="en-US" w:eastAsia="zh-CN" w:bidi="ar-SA"/>
              </w:rPr>
              <w:t>。</w:t>
            </w:r>
          </w:p>
          <w:p w14:paraId="00D49873">
            <w:pPr>
              <w:spacing w:line="360" w:lineRule="auto"/>
              <w:ind w:firstLine="480" w:firstLineChars="200"/>
              <w:rPr>
                <w:rFonts w:hint="default" w:ascii="Times New Roman" w:hAnsi="Times New Roman" w:cs="Times New Roman"/>
                <w:color w:val="auto"/>
                <w:kern w:val="2"/>
                <w:sz w:val="24"/>
                <w:szCs w:val="24"/>
                <w:lang w:val="en-US" w:eastAsia="zh-CN" w:bidi="ar-SA"/>
              </w:rPr>
            </w:pPr>
            <w:r>
              <w:rPr>
                <w:rFonts w:hint="default" w:ascii="Times New Roman" w:hAnsi="Times New Roman" w:cs="Times New Roman"/>
                <w:color w:val="auto"/>
                <w:kern w:val="2"/>
                <w:sz w:val="24"/>
                <w:szCs w:val="24"/>
                <w:lang w:val="en-US" w:eastAsia="zh-CN" w:bidi="ar-SA"/>
              </w:rPr>
              <w:t>治理措施：</w:t>
            </w:r>
          </w:p>
          <w:p w14:paraId="27682881">
            <w:pPr>
              <w:spacing w:line="360" w:lineRule="auto"/>
              <w:ind w:firstLine="480" w:firstLineChars="200"/>
              <w:rPr>
                <w:rFonts w:hint="default" w:ascii="Times New Roman" w:hAnsi="Times New Roman" w:cs="Times New Roman"/>
                <w:color w:val="auto"/>
                <w:kern w:val="2"/>
                <w:sz w:val="24"/>
                <w:szCs w:val="24"/>
                <w:lang w:val="en-US" w:eastAsia="zh-CN" w:bidi="ar-SA"/>
              </w:rPr>
            </w:pPr>
            <w:r>
              <w:rPr>
                <w:rFonts w:hint="eastAsia" w:ascii="微软雅黑" w:hAnsi="微软雅黑" w:eastAsia="微软雅黑" w:cs="微软雅黑"/>
                <w:color w:val="auto"/>
                <w:kern w:val="2"/>
                <w:sz w:val="24"/>
                <w:szCs w:val="24"/>
                <w:lang w:val="en-US" w:eastAsia="zh-CN" w:bidi="ar-SA"/>
              </w:rPr>
              <w:t>①</w:t>
            </w:r>
            <w:r>
              <w:rPr>
                <w:rFonts w:hint="default" w:ascii="Times New Roman" w:hAnsi="Times New Roman" w:cs="Times New Roman"/>
                <w:color w:val="auto"/>
                <w:kern w:val="2"/>
                <w:sz w:val="24"/>
                <w:szCs w:val="24"/>
                <w:lang w:val="en-US" w:eastAsia="zh-CN" w:bidi="ar-SA"/>
              </w:rPr>
              <w:t>装修及设备安装产生少量粉尘，制定合理的施工计划，采取集中力量逐段施工方法，缩短施工周期，减少施工现场的工作面，减轻施工扬尘对环境的影响。</w:t>
            </w:r>
          </w:p>
          <w:p w14:paraId="3C4F30C6">
            <w:pPr>
              <w:spacing w:line="360" w:lineRule="auto"/>
              <w:ind w:firstLine="480" w:firstLineChars="200"/>
              <w:rPr>
                <w:rFonts w:hint="default" w:ascii="Times New Roman" w:hAnsi="Times New Roman" w:cs="Times New Roman"/>
                <w:color w:val="auto"/>
                <w:kern w:val="2"/>
                <w:sz w:val="24"/>
                <w:szCs w:val="24"/>
                <w:lang w:val="en-US" w:eastAsia="zh-CN" w:bidi="ar-SA"/>
              </w:rPr>
            </w:pPr>
            <w:r>
              <w:rPr>
                <w:rFonts w:hint="eastAsia" w:ascii="微软雅黑" w:hAnsi="微软雅黑" w:eastAsia="微软雅黑" w:cs="微软雅黑"/>
                <w:color w:val="auto"/>
                <w:kern w:val="2"/>
                <w:sz w:val="24"/>
                <w:szCs w:val="24"/>
                <w:lang w:val="en-US" w:eastAsia="zh-CN" w:bidi="ar-SA"/>
              </w:rPr>
              <w:t>②</w:t>
            </w:r>
            <w:r>
              <w:rPr>
                <w:rFonts w:hint="default" w:ascii="Times New Roman" w:hAnsi="Times New Roman" w:cs="Times New Roman"/>
                <w:color w:val="auto"/>
                <w:kern w:val="2"/>
                <w:sz w:val="24"/>
                <w:szCs w:val="24"/>
                <w:lang w:val="en-US" w:eastAsia="zh-CN" w:bidi="ar-SA"/>
              </w:rPr>
              <w:t>施工车辆运输路线选择尽量避绕人口密集区、学校、医院等敏感点。</w:t>
            </w:r>
          </w:p>
          <w:p w14:paraId="1329C49C">
            <w:pPr>
              <w:spacing w:line="360" w:lineRule="auto"/>
              <w:ind w:firstLine="480" w:firstLineChars="200"/>
              <w:rPr>
                <w:rFonts w:hint="default" w:ascii="Times New Roman" w:hAnsi="Times New Roman" w:cs="Times New Roman"/>
                <w:color w:val="auto"/>
                <w:kern w:val="2"/>
                <w:sz w:val="24"/>
                <w:szCs w:val="24"/>
                <w:lang w:val="en-US" w:eastAsia="zh-CN" w:bidi="ar-SA"/>
              </w:rPr>
            </w:pPr>
            <w:r>
              <w:rPr>
                <w:rFonts w:hint="eastAsia" w:ascii="微软雅黑" w:hAnsi="微软雅黑" w:eastAsia="微软雅黑" w:cs="微软雅黑"/>
                <w:color w:val="auto"/>
                <w:kern w:val="2"/>
                <w:sz w:val="24"/>
                <w:szCs w:val="24"/>
                <w:lang w:val="en-US" w:eastAsia="zh-CN" w:bidi="ar-SA"/>
              </w:rPr>
              <w:t>③</w:t>
            </w:r>
            <w:r>
              <w:rPr>
                <w:rFonts w:hint="default" w:ascii="Times New Roman" w:hAnsi="Times New Roman" w:cs="Times New Roman"/>
                <w:color w:val="auto"/>
                <w:kern w:val="2"/>
                <w:sz w:val="24"/>
                <w:szCs w:val="24"/>
                <w:lang w:val="en-US" w:eastAsia="zh-CN" w:bidi="ar-SA"/>
              </w:rPr>
              <w:t>在施工场地上设置专人负责建筑垃圾、建筑材料的处置、清运和堆放，堆放场地加盖篷布，防止扬尘。</w:t>
            </w:r>
          </w:p>
          <w:p w14:paraId="3262D83F">
            <w:pPr>
              <w:spacing w:line="360" w:lineRule="auto"/>
              <w:ind w:firstLine="480" w:firstLineChars="200"/>
              <w:rPr>
                <w:rFonts w:hint="default" w:ascii="Times New Roman" w:hAnsi="Times New Roman" w:cs="Times New Roman"/>
                <w:color w:val="auto"/>
                <w:kern w:val="2"/>
                <w:sz w:val="24"/>
                <w:szCs w:val="24"/>
                <w:lang w:val="en-US" w:eastAsia="zh-CN" w:bidi="ar-SA"/>
              </w:rPr>
            </w:pPr>
            <w:r>
              <w:rPr>
                <w:rFonts w:hint="eastAsia" w:ascii="微软雅黑" w:hAnsi="微软雅黑" w:eastAsia="微软雅黑" w:cs="微软雅黑"/>
                <w:color w:val="auto"/>
                <w:kern w:val="2"/>
                <w:sz w:val="24"/>
                <w:szCs w:val="24"/>
                <w:lang w:val="en-US" w:eastAsia="zh-CN" w:bidi="ar-SA"/>
              </w:rPr>
              <w:t>④</w:t>
            </w:r>
            <w:r>
              <w:rPr>
                <w:rFonts w:hint="default" w:ascii="Times New Roman" w:hAnsi="Times New Roman" w:cs="Times New Roman"/>
                <w:color w:val="auto"/>
                <w:kern w:val="2"/>
                <w:sz w:val="24"/>
                <w:szCs w:val="24"/>
                <w:lang w:val="en-US" w:eastAsia="zh-CN" w:bidi="ar-SA"/>
              </w:rPr>
              <w:t>对建筑垃圾应及时处理、清运、以减少占地，防止扬尘污染，改善施工场地的环境。</w:t>
            </w:r>
          </w:p>
          <w:p w14:paraId="5132C446">
            <w:pPr>
              <w:tabs>
                <w:tab w:val="left" w:pos="2760"/>
              </w:tabs>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二、</w:t>
            </w:r>
            <w:r>
              <w:rPr>
                <w:rFonts w:hint="default" w:ascii="Times New Roman" w:hAnsi="Times New Roman" w:cs="Times New Roman"/>
                <w:b/>
                <w:color w:val="auto"/>
                <w:sz w:val="24"/>
              </w:rPr>
              <w:t>水环境</w:t>
            </w:r>
            <w:r>
              <w:rPr>
                <w:rFonts w:hint="default" w:ascii="Times New Roman" w:hAnsi="Times New Roman" w:cs="Times New Roman"/>
                <w:b/>
                <w:color w:val="auto"/>
                <w:sz w:val="24"/>
              </w:rPr>
              <w:tab/>
            </w:r>
          </w:p>
          <w:p w14:paraId="15784093">
            <w:pPr>
              <w:spacing w:line="360" w:lineRule="auto"/>
              <w:ind w:firstLine="480" w:firstLineChars="200"/>
              <w:rPr>
                <w:rFonts w:hint="default" w:ascii="Times New Roman" w:hAnsi="Times New Roman" w:eastAsia="宋体" w:cs="Times New Roman"/>
                <w:color w:val="auto"/>
                <w:sz w:val="24"/>
                <w:highlight w:val="none"/>
                <w:lang w:eastAsia="zh-CN"/>
              </w:rPr>
            </w:pPr>
            <w:r>
              <w:rPr>
                <w:rFonts w:hint="default" w:ascii="Times New Roman" w:hAnsi="Times New Roman" w:eastAsia="宋体" w:cs="Times New Roman"/>
                <w:color w:val="auto"/>
                <w:sz w:val="24"/>
                <w:szCs w:val="24"/>
                <w:highlight w:val="none"/>
                <w:lang w:val="en-US" w:eastAsia="zh-CN"/>
              </w:rPr>
              <w:t>施工期项目劳动定员</w:t>
            </w:r>
            <w:r>
              <w:rPr>
                <w:rFonts w:hint="eastAsia" w:cs="Times New Roman"/>
                <w:color w:val="auto"/>
                <w:sz w:val="24"/>
                <w:szCs w:val="24"/>
                <w:highlight w:val="none"/>
                <w:lang w:val="en-US" w:eastAsia="zh-CN"/>
              </w:rPr>
              <w:t>5</w:t>
            </w:r>
            <w:r>
              <w:rPr>
                <w:rFonts w:hint="default" w:ascii="Times New Roman" w:hAnsi="Times New Roman" w:eastAsia="宋体" w:cs="Times New Roman"/>
                <w:color w:val="auto"/>
                <w:sz w:val="24"/>
                <w:szCs w:val="24"/>
                <w:highlight w:val="none"/>
                <w:lang w:val="en-US" w:eastAsia="zh-CN"/>
              </w:rPr>
              <w:t>人，根据</w:t>
            </w:r>
            <w:r>
              <w:rPr>
                <w:rFonts w:hint="default" w:ascii="Times New Roman" w:hAnsi="Times New Roman" w:eastAsia="宋体" w:cs="Times New Roman"/>
                <w:color w:val="auto"/>
                <w:kern w:val="0"/>
                <w:sz w:val="24"/>
              </w:rPr>
              <w:t>黑龙江省地方标准第四版《用水定额》（DB23/T 727-2025）</w:t>
            </w:r>
            <w:r>
              <w:rPr>
                <w:rFonts w:hint="default" w:ascii="Times New Roman" w:hAnsi="Times New Roman" w:eastAsia="宋体" w:cs="Times New Roman"/>
                <w:color w:val="auto"/>
                <w:sz w:val="24"/>
                <w:szCs w:val="24"/>
                <w:highlight w:val="none"/>
                <w:lang w:val="en-US" w:eastAsia="zh-CN"/>
              </w:rPr>
              <w:t>规定的用水量，按照</w:t>
            </w:r>
            <w:r>
              <w:rPr>
                <w:rFonts w:hint="eastAsia" w:cs="Times New Roman"/>
                <w:color w:val="auto"/>
                <w:sz w:val="24"/>
                <w:szCs w:val="24"/>
                <w:highlight w:val="none"/>
                <w:lang w:val="en-US" w:eastAsia="zh-CN"/>
              </w:rPr>
              <w:t>80</w:t>
            </w:r>
            <w:r>
              <w:rPr>
                <w:rFonts w:hint="default" w:ascii="Times New Roman" w:hAnsi="Times New Roman" w:eastAsia="宋体" w:cs="Times New Roman"/>
                <w:color w:val="auto"/>
                <w:sz w:val="24"/>
                <w:szCs w:val="24"/>
                <w:highlight w:val="none"/>
                <w:lang w:val="en-US" w:eastAsia="zh-CN"/>
              </w:rPr>
              <w:t>L/（人•d）计算，</w:t>
            </w:r>
            <w:r>
              <w:rPr>
                <w:rFonts w:hint="eastAsia" w:cs="Times New Roman"/>
                <w:color w:val="auto"/>
                <w:sz w:val="24"/>
                <w:szCs w:val="24"/>
                <w:highlight w:val="none"/>
                <w:lang w:val="en-US" w:eastAsia="zh-CN"/>
              </w:rPr>
              <w:t>施工期90天。</w:t>
            </w:r>
            <w:r>
              <w:rPr>
                <w:rFonts w:hint="default" w:ascii="Times New Roman" w:hAnsi="Times New Roman" w:eastAsia="宋体" w:cs="Times New Roman"/>
                <w:color w:val="auto"/>
                <w:sz w:val="24"/>
                <w:szCs w:val="24"/>
                <w:highlight w:val="none"/>
                <w:lang w:val="en-US" w:eastAsia="zh-CN"/>
              </w:rPr>
              <w:t>用水量为0.</w:t>
            </w:r>
            <w:r>
              <w:rPr>
                <w:rFonts w:hint="eastAsia" w:cs="Times New Roman"/>
                <w:color w:val="auto"/>
                <w:sz w:val="24"/>
                <w:szCs w:val="24"/>
                <w:highlight w:val="none"/>
                <w:lang w:val="en-US" w:eastAsia="zh-CN"/>
              </w:rPr>
              <w:t>4</w:t>
            </w:r>
            <w:r>
              <w:rPr>
                <w:rFonts w:hint="default"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，36t/a</w:t>
            </w:r>
            <w:r>
              <w:rPr>
                <w:rFonts w:hint="default" w:ascii="Times New Roman" w:hAnsi="Times New Roman" w:cs="Times New Roman"/>
                <w:color w:val="auto"/>
                <w:sz w:val="24"/>
                <w:lang w:val="en-US" w:eastAsia="zh-CN"/>
              </w:rPr>
              <w:t>；</w:t>
            </w:r>
            <w:r>
              <w:rPr>
                <w:rFonts w:hint="default" w:ascii="Times New Roman" w:hAnsi="Times New Roman" w:eastAsia="宋体" w:cs="Times New Roman"/>
                <w:color w:val="auto"/>
                <w:sz w:val="24"/>
                <w:szCs w:val="24"/>
                <w:highlight w:val="none"/>
                <w:lang w:val="en-US" w:eastAsia="zh-CN"/>
              </w:rPr>
              <w:t>排水量约为用水量的80%，生活污水的排放量为0.</w:t>
            </w:r>
            <w:r>
              <w:rPr>
                <w:rFonts w:hint="eastAsia" w:cs="Times New Roman"/>
                <w:color w:val="auto"/>
                <w:sz w:val="24"/>
                <w:szCs w:val="24"/>
                <w:highlight w:val="none"/>
                <w:lang w:val="en-US" w:eastAsia="zh-CN"/>
              </w:rPr>
              <w:t>32</w:t>
            </w:r>
            <w:r>
              <w:rPr>
                <w:rFonts w:hint="default" w:ascii="Times New Roman" w:hAnsi="Times New Roman" w:eastAsia="宋体" w:cs="Times New Roman"/>
                <w:color w:val="auto"/>
                <w:sz w:val="24"/>
                <w:szCs w:val="24"/>
                <w:highlight w:val="none"/>
                <w:lang w:val="en-US" w:eastAsia="zh-CN"/>
              </w:rPr>
              <w:t>t/d，</w:t>
            </w:r>
            <w:r>
              <w:rPr>
                <w:rFonts w:hint="eastAsia" w:cs="Times New Roman"/>
                <w:color w:val="auto"/>
                <w:sz w:val="24"/>
                <w:szCs w:val="24"/>
                <w:highlight w:val="none"/>
                <w:lang w:val="en-US" w:eastAsia="zh-CN"/>
              </w:rPr>
              <w:t>28.8</w:t>
            </w:r>
            <w:r>
              <w:rPr>
                <w:rFonts w:hint="default" w:ascii="Times New Roman" w:hAnsi="Times New Roman" w:eastAsia="宋体" w:cs="Times New Roman"/>
                <w:color w:val="auto"/>
                <w:sz w:val="24"/>
                <w:szCs w:val="24"/>
                <w:highlight w:val="none"/>
                <w:lang w:val="en-US" w:eastAsia="zh-CN"/>
              </w:rPr>
              <w:t>t/a，</w:t>
            </w:r>
            <w:r>
              <w:rPr>
                <w:rFonts w:hint="default" w:ascii="Times New Roman" w:hAnsi="Times New Roman" w:cs="Times New Roman"/>
                <w:color w:val="auto"/>
                <w:sz w:val="24"/>
                <w:szCs w:val="24"/>
                <w:highlight w:val="none"/>
                <w:lang w:val="en-US" w:eastAsia="zh-CN"/>
              </w:rPr>
              <w:t>施工期</w:t>
            </w:r>
            <w:r>
              <w:rPr>
                <w:rFonts w:hint="default" w:ascii="Times New Roman" w:hAnsi="Times New Roman" w:cs="Times New Roman"/>
                <w:color w:val="auto"/>
                <w:sz w:val="24"/>
                <w:highlight w:val="none"/>
                <w:lang w:eastAsia="zh-CN"/>
              </w:rPr>
              <w:t>废水</w:t>
            </w:r>
            <w:r>
              <w:rPr>
                <w:rFonts w:hint="eastAsia" w:cs="Times New Roman"/>
                <w:color w:val="auto"/>
                <w:sz w:val="24"/>
                <w:highlight w:val="none"/>
                <w:lang w:eastAsia="zh-CN"/>
              </w:rPr>
              <w:t>为施工人员生活污水，</w:t>
            </w:r>
            <w:r>
              <w:rPr>
                <w:rFonts w:hint="eastAsia" w:cs="Times New Roman"/>
                <w:color w:val="auto"/>
                <w:sz w:val="24"/>
                <w:szCs w:val="24"/>
                <w:highlight w:val="none"/>
                <w:lang w:val="en-US" w:eastAsia="zh-CN"/>
              </w:rPr>
              <w:t>排入生活污水一体化处理设备处理达标后全部回用作为地面降尘和绿化用水</w:t>
            </w:r>
            <w:r>
              <w:rPr>
                <w:rFonts w:hint="default" w:ascii="Times New Roman" w:hAnsi="Times New Roman" w:cs="Times New Roman"/>
                <w:color w:val="auto"/>
                <w:sz w:val="24"/>
                <w:highlight w:val="none"/>
                <w:lang w:eastAsia="zh-CN"/>
              </w:rPr>
              <w:t>。</w:t>
            </w:r>
          </w:p>
          <w:p w14:paraId="54073C42">
            <w:pPr>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三、</w:t>
            </w:r>
            <w:r>
              <w:rPr>
                <w:rFonts w:hint="default" w:ascii="Times New Roman" w:hAnsi="Times New Roman" w:cs="Times New Roman"/>
                <w:b/>
                <w:color w:val="auto"/>
                <w:sz w:val="24"/>
              </w:rPr>
              <w:t>噪声</w:t>
            </w:r>
          </w:p>
          <w:p w14:paraId="4D9C99F0">
            <w:p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施工期噪声主要来自各类施工机械及运输车辆，噪声值一般为70~90dB(A)，施工期间会对周围环境产生一定的影响，选取低噪声设备，采取减振、隔声措施，</w:t>
            </w:r>
            <w:r>
              <w:rPr>
                <w:rFonts w:hint="eastAsia" w:cs="Times New Roman"/>
                <w:color w:val="auto"/>
                <w:sz w:val="24"/>
                <w:szCs w:val="24"/>
                <w:highlight w:val="none"/>
                <w:lang w:val="en-US" w:eastAsia="zh-CN"/>
              </w:rPr>
              <w:t>合理安排施工时间、作业时在高噪声设备周围设置屏蔽、</w:t>
            </w:r>
            <w:r>
              <w:rPr>
                <w:rFonts w:hint="default" w:ascii="Times New Roman" w:hAnsi="Times New Roman" w:eastAsia="宋体" w:cs="Times New Roman"/>
                <w:color w:val="auto"/>
                <w:sz w:val="24"/>
                <w:szCs w:val="24"/>
                <w:highlight w:val="none"/>
                <w:lang w:val="en-US" w:eastAsia="zh-CN"/>
              </w:rPr>
              <w:t>站内限速行驶。</w:t>
            </w:r>
            <w:r>
              <w:rPr>
                <w:rFonts w:hint="eastAsia" w:cs="Times New Roman"/>
                <w:color w:val="auto"/>
                <w:sz w:val="24"/>
                <w:szCs w:val="24"/>
                <w:highlight w:val="none"/>
                <w:lang w:val="en-US" w:eastAsia="zh-CN"/>
              </w:rPr>
              <w:t>施工期噪声执行</w:t>
            </w:r>
            <w:r>
              <w:rPr>
                <w:rFonts w:hint="default" w:ascii="Times New Roman" w:hAnsi="Times New Roman" w:cs="Times New Roman"/>
                <w:color w:val="auto"/>
                <w:kern w:val="2"/>
                <w:sz w:val="24"/>
                <w:szCs w:val="24"/>
                <w:lang w:val="en-US" w:eastAsia="zh-CN" w:bidi="ar-SA"/>
              </w:rPr>
              <w:t>《建筑施工噪声排放标准》（GB12523-2025）标准限值</w:t>
            </w:r>
            <w:r>
              <w:rPr>
                <w:rFonts w:hint="eastAsia" w:ascii="Times New Roman" w:hAnsi="Times New Roman" w:cs="Times New Roman"/>
                <w:color w:val="auto"/>
                <w:kern w:val="2"/>
                <w:sz w:val="24"/>
                <w:szCs w:val="24"/>
                <w:lang w:val="en-US" w:eastAsia="zh-CN" w:bidi="ar-SA"/>
              </w:rPr>
              <w:t>。</w:t>
            </w:r>
          </w:p>
          <w:p w14:paraId="00DCD6E4">
            <w:pPr>
              <w:spacing w:line="360" w:lineRule="auto"/>
              <w:ind w:firstLine="482" w:firstLineChars="200"/>
              <w:rPr>
                <w:rFonts w:hint="default" w:ascii="Times New Roman" w:hAnsi="Times New Roman" w:cs="Times New Roman"/>
                <w:color w:val="auto"/>
                <w:sz w:val="24"/>
              </w:rPr>
            </w:pPr>
            <w:r>
              <w:rPr>
                <w:rFonts w:hint="default" w:ascii="Times New Roman" w:hAnsi="Times New Roman" w:cs="Times New Roman"/>
                <w:b/>
                <w:color w:val="auto"/>
                <w:sz w:val="24"/>
                <w:lang w:val="en-US" w:eastAsia="zh-CN"/>
              </w:rPr>
              <w:t>四、</w:t>
            </w:r>
            <w:r>
              <w:rPr>
                <w:rFonts w:hint="default" w:ascii="Times New Roman" w:hAnsi="Times New Roman" w:cs="Times New Roman"/>
                <w:b/>
                <w:color w:val="auto"/>
                <w:sz w:val="24"/>
              </w:rPr>
              <w:t>固体废物</w:t>
            </w:r>
          </w:p>
          <w:p w14:paraId="66A6029E">
            <w:pPr>
              <w:pStyle w:val="62"/>
              <w:numPr>
                <w:ilvl w:val="0"/>
                <w:numId w:val="0"/>
              </w:numPr>
              <w:adjustRightInd w:val="0"/>
              <w:snapToGrid w:val="0"/>
              <w:spacing w:before="120" w:beforeLines="50" w:line="360" w:lineRule="auto"/>
              <w:ind w:firstLine="480" w:firstLineChars="200"/>
              <w:jc w:val="both"/>
              <w:rPr>
                <w:rFonts w:hint="default" w:ascii="Times New Roman" w:hAnsi="Times New Roman" w:cs="Times New Roman"/>
                <w:color w:val="auto"/>
                <w:sz w:val="24"/>
                <w:lang w:eastAsia="zh-CN"/>
              </w:rPr>
            </w:pPr>
            <w:r>
              <w:rPr>
                <w:rFonts w:hint="default" w:ascii="Times New Roman" w:hAnsi="Times New Roman" w:cs="Times New Roman"/>
                <w:color w:val="auto"/>
                <w:sz w:val="24"/>
              </w:rPr>
              <w:t>固体废物主要为生活垃圾</w:t>
            </w:r>
            <w:r>
              <w:rPr>
                <w:rFonts w:hint="default" w:ascii="Times New Roman" w:hAnsi="Times New Roman" w:cs="Times New Roman"/>
                <w:color w:val="auto"/>
                <w:sz w:val="24"/>
                <w:lang w:eastAsia="zh-CN"/>
              </w:rPr>
              <w:t>和</w:t>
            </w:r>
            <w:r>
              <w:rPr>
                <w:rFonts w:hint="default" w:ascii="Times New Roman" w:hAnsi="Times New Roman" w:cs="Times New Roman"/>
                <w:color w:val="auto"/>
                <w:sz w:val="24"/>
              </w:rPr>
              <w:t>建筑垃圾</w:t>
            </w:r>
            <w:r>
              <w:rPr>
                <w:rFonts w:hint="default" w:ascii="Times New Roman" w:hAnsi="Times New Roman" w:cs="Times New Roman"/>
                <w:color w:val="auto"/>
                <w:sz w:val="24"/>
                <w:highlight w:val="none"/>
              </w:rPr>
              <w:t>，生活垃圾按0.4kg/人·天计算，施工人数为</w:t>
            </w:r>
            <w:r>
              <w:rPr>
                <w:rFonts w:hint="eastAsia" w:cs="Times New Roman"/>
                <w:color w:val="auto"/>
                <w:sz w:val="24"/>
                <w:highlight w:val="none"/>
                <w:lang w:val="en-US" w:eastAsia="zh-CN"/>
              </w:rPr>
              <w:t>5</w:t>
            </w:r>
            <w:r>
              <w:rPr>
                <w:rFonts w:hint="default" w:ascii="Times New Roman" w:hAnsi="Times New Roman" w:cs="Times New Roman"/>
                <w:color w:val="auto"/>
                <w:sz w:val="24"/>
                <w:highlight w:val="none"/>
              </w:rPr>
              <w:t>人，施工期</w:t>
            </w:r>
            <w:r>
              <w:rPr>
                <w:rFonts w:hint="default" w:ascii="Times New Roman" w:hAnsi="Times New Roman" w:cs="Times New Roman"/>
                <w:color w:val="auto"/>
                <w:sz w:val="24"/>
                <w:highlight w:val="none"/>
                <w:lang w:eastAsia="zh-CN"/>
              </w:rPr>
              <w:t>为</w:t>
            </w:r>
            <w:r>
              <w:rPr>
                <w:rFonts w:hint="eastAsia" w:cs="Times New Roman"/>
                <w:color w:val="auto"/>
                <w:sz w:val="24"/>
                <w:highlight w:val="none"/>
                <w:lang w:val="en-US" w:eastAsia="zh-CN"/>
              </w:rPr>
              <w:t>90</w:t>
            </w:r>
            <w:r>
              <w:rPr>
                <w:rFonts w:hint="default" w:ascii="Times New Roman" w:hAnsi="Times New Roman" w:cs="Times New Roman"/>
                <w:color w:val="auto"/>
                <w:sz w:val="24"/>
                <w:highlight w:val="none"/>
                <w:lang w:val="en-US" w:eastAsia="zh-CN"/>
              </w:rPr>
              <w:t>天，</w:t>
            </w:r>
            <w:r>
              <w:rPr>
                <w:rFonts w:hint="default" w:ascii="Times New Roman" w:hAnsi="Times New Roman" w:cs="Times New Roman"/>
                <w:color w:val="auto"/>
                <w:sz w:val="24"/>
                <w:highlight w:val="none"/>
              </w:rPr>
              <w:t>产生量为</w:t>
            </w:r>
            <w:r>
              <w:rPr>
                <w:rFonts w:hint="default" w:ascii="Times New Roman" w:hAnsi="Times New Roman" w:cs="Times New Roman"/>
                <w:color w:val="auto"/>
                <w:sz w:val="24"/>
                <w:highlight w:val="none"/>
                <w:lang w:val="en-US" w:eastAsia="zh-CN"/>
              </w:rPr>
              <w:t>0.00</w:t>
            </w:r>
            <w:r>
              <w:rPr>
                <w:rFonts w:hint="eastAsia" w:cs="Times New Roman"/>
                <w:color w:val="auto"/>
                <w:sz w:val="24"/>
                <w:highlight w:val="none"/>
                <w:lang w:val="en-US" w:eastAsia="zh-CN"/>
              </w:rPr>
              <w:t>2</w:t>
            </w:r>
            <w:r>
              <w:rPr>
                <w:rFonts w:hint="default" w:ascii="Times New Roman" w:hAnsi="Times New Roman" w:cs="Times New Roman"/>
                <w:color w:val="auto"/>
                <w:sz w:val="24"/>
                <w:highlight w:val="none"/>
                <w:lang w:val="en-US" w:eastAsia="zh-CN"/>
              </w:rPr>
              <w:t>t/d，0.1</w:t>
            </w:r>
            <w:r>
              <w:rPr>
                <w:rFonts w:hint="eastAsia" w:cs="Times New Roman"/>
                <w:color w:val="auto"/>
                <w:sz w:val="24"/>
                <w:highlight w:val="none"/>
                <w:lang w:val="en-US" w:eastAsia="zh-CN"/>
              </w:rPr>
              <w:t>8</w:t>
            </w:r>
            <w:r>
              <w:rPr>
                <w:rFonts w:hint="default" w:ascii="Times New Roman" w:hAnsi="Times New Roman" w:cs="Times New Roman"/>
                <w:color w:val="auto"/>
                <w:sz w:val="24"/>
                <w:highlight w:val="none"/>
              </w:rPr>
              <w:t>t</w:t>
            </w:r>
            <w:r>
              <w:rPr>
                <w:rFonts w:hint="default" w:ascii="Times New Roman" w:hAnsi="Times New Roman" w:cs="Times New Roman"/>
                <w:color w:val="auto"/>
                <w:sz w:val="24"/>
                <w:highlight w:val="none"/>
                <w:lang w:val="en-US" w:eastAsia="zh-CN"/>
              </w:rPr>
              <w:t>/a</w:t>
            </w:r>
            <w:r>
              <w:rPr>
                <w:rFonts w:hint="default" w:ascii="Times New Roman" w:hAnsi="Times New Roman" w:cs="Times New Roman"/>
                <w:color w:val="auto"/>
                <w:sz w:val="24"/>
                <w:highlight w:val="none"/>
              </w:rPr>
              <w:t>；建筑垃圾应尽可能利用或及时运送到行政主管部门指定地点；</w:t>
            </w:r>
            <w:r>
              <w:rPr>
                <w:rFonts w:hint="default" w:ascii="Times New Roman" w:hAnsi="Times New Roman" w:cs="Times New Roman"/>
                <w:color w:val="auto"/>
                <w:sz w:val="24"/>
              </w:rPr>
              <w:t>生活垃圾</w:t>
            </w:r>
            <w:r>
              <w:rPr>
                <w:rFonts w:hint="default" w:ascii="Times New Roman" w:hAnsi="Times New Roman" w:cs="Times New Roman"/>
                <w:color w:val="auto"/>
                <w:sz w:val="24"/>
                <w:lang w:eastAsia="zh-CN"/>
              </w:rPr>
              <w:t>集中收集后由环卫部门</w:t>
            </w:r>
            <w:r>
              <w:rPr>
                <w:rFonts w:hint="default" w:ascii="Times New Roman" w:hAnsi="Times New Roman" w:cs="Times New Roman"/>
                <w:color w:val="auto"/>
                <w:sz w:val="24"/>
              </w:rPr>
              <w:t>统一处理</w:t>
            </w:r>
            <w:r>
              <w:rPr>
                <w:rFonts w:hint="default" w:ascii="Times New Roman" w:hAnsi="Times New Roman" w:cs="Times New Roman"/>
                <w:color w:val="auto"/>
                <w:sz w:val="24"/>
                <w:lang w:eastAsia="zh-CN"/>
              </w:rPr>
              <w:t>。</w:t>
            </w:r>
          </w:p>
        </w:tc>
      </w:tr>
      <w:tr w14:paraId="2705BCA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746" w:type="dxa"/>
            <w:noWrap w:val="0"/>
            <w:tcMar>
              <w:left w:w="28" w:type="dxa"/>
              <w:right w:w="28" w:type="dxa"/>
            </w:tcMar>
            <w:vAlign w:val="center"/>
          </w:tcPr>
          <w:p w14:paraId="1C72E59A">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运营</w:t>
            </w:r>
          </w:p>
          <w:p w14:paraId="0DA23AA0">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期环</w:t>
            </w:r>
          </w:p>
          <w:p w14:paraId="72C45CBB">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境影</w:t>
            </w:r>
          </w:p>
          <w:p w14:paraId="43BBD4D1">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响和</w:t>
            </w:r>
          </w:p>
          <w:p w14:paraId="500E5A75">
            <w:pPr>
              <w:adjustRightInd w:val="0"/>
              <w:snapToGrid w:val="0"/>
              <w:jc w:val="center"/>
              <w:rPr>
                <w:rFonts w:hint="default" w:ascii="Times New Roman" w:hAnsi="Times New Roman" w:cs="Times New Roman"/>
                <w:bCs/>
                <w:color w:val="auto"/>
                <w:sz w:val="24"/>
                <w:szCs w:val="24"/>
              </w:rPr>
            </w:pPr>
            <w:r>
              <w:rPr>
                <w:rFonts w:hint="default" w:ascii="Times New Roman" w:hAnsi="Times New Roman" w:cs="Times New Roman"/>
                <w:bCs/>
                <w:color w:val="auto"/>
                <w:sz w:val="24"/>
                <w:szCs w:val="24"/>
              </w:rPr>
              <w:t>保护</w:t>
            </w:r>
          </w:p>
          <w:p w14:paraId="2C8FA240">
            <w:pPr>
              <w:adjustRightInd w:val="0"/>
              <w:snapToGrid w:val="0"/>
              <w:jc w:val="center"/>
              <w:rPr>
                <w:rFonts w:hint="default" w:ascii="Times New Roman" w:hAnsi="Times New Roman" w:cs="Times New Roman"/>
                <w:bCs/>
                <w:color w:val="auto"/>
                <w:szCs w:val="21"/>
              </w:rPr>
            </w:pPr>
            <w:r>
              <w:rPr>
                <w:rFonts w:hint="default" w:ascii="Times New Roman" w:hAnsi="Times New Roman" w:cs="Times New Roman"/>
                <w:bCs/>
                <w:color w:val="auto"/>
                <w:sz w:val="24"/>
                <w:szCs w:val="24"/>
              </w:rPr>
              <w:t>措施</w:t>
            </w:r>
          </w:p>
        </w:tc>
        <w:tc>
          <w:tcPr>
            <w:tcW w:w="8141" w:type="dxa"/>
            <w:noWrap w:val="0"/>
            <w:vAlign w:val="center"/>
          </w:tcPr>
          <w:p w14:paraId="65D1F76C">
            <w:pPr>
              <w:numPr>
                <w:ilvl w:val="0"/>
                <w:numId w:val="0"/>
              </w:numPr>
              <w:adjustRightInd w:val="0"/>
              <w:snapToGrid w:val="0"/>
              <w:spacing w:line="360" w:lineRule="auto"/>
              <w:jc w:val="both"/>
              <w:rPr>
                <w:rFonts w:hint="default" w:ascii="Times New Roman" w:hAnsi="Times New Roman" w:cs="Times New Roman"/>
                <w:b/>
                <w:bCs/>
                <w:color w:val="auto"/>
                <w:sz w:val="24"/>
                <w:szCs w:val="24"/>
                <w:lang w:eastAsia="zh-CN"/>
              </w:rPr>
            </w:pPr>
            <w:r>
              <w:rPr>
                <w:rFonts w:hint="default" w:ascii="Times New Roman" w:hAnsi="Times New Roman" w:cs="Times New Roman"/>
                <w:b/>
                <w:bCs/>
                <w:color w:val="auto"/>
                <w:sz w:val="24"/>
                <w:szCs w:val="24"/>
                <w:lang w:eastAsia="zh-CN"/>
              </w:rPr>
              <w:t>一</w:t>
            </w:r>
            <w:r>
              <w:rPr>
                <w:rFonts w:hint="default" w:ascii="Times New Roman" w:hAnsi="Times New Roman" w:cs="Times New Roman"/>
                <w:b/>
                <w:bCs/>
                <w:color w:val="auto"/>
                <w:sz w:val="24"/>
                <w:szCs w:val="24"/>
                <w:highlight w:val="none"/>
                <w:lang w:eastAsia="zh-CN"/>
              </w:rPr>
              <w:t>、废气</w:t>
            </w:r>
          </w:p>
          <w:p w14:paraId="6D65BBB7">
            <w:pPr>
              <w:pStyle w:val="7"/>
              <w:numPr>
                <w:ilvl w:val="0"/>
                <w:numId w:val="8"/>
              </w:numPr>
              <w:spacing w:line="360" w:lineRule="auto"/>
              <w:ind w:left="-60" w:leftChars="0" w:firstLine="480" w:firstLineChars="0"/>
              <w:jc w:val="both"/>
              <w:rPr>
                <w:rFonts w:hint="default" w:ascii="Times New Roman" w:hAnsi="Times New Roman" w:eastAsia="宋体" w:cs="Times New Roman"/>
                <w:b w:val="0"/>
                <w:bCs w:val="0"/>
                <w:color w:val="auto"/>
                <w:kern w:val="2"/>
                <w:sz w:val="24"/>
                <w:szCs w:val="24"/>
                <w:highlight w:val="none"/>
                <w:lang w:val="en-US" w:eastAsia="zh-CN" w:bidi="ar-SA"/>
              </w:rPr>
            </w:pPr>
            <w:r>
              <w:rPr>
                <w:rFonts w:hint="default" w:ascii="Times New Roman" w:hAnsi="Times New Roman" w:eastAsia="宋体" w:cs="Times New Roman"/>
                <w:b w:val="0"/>
                <w:bCs w:val="0"/>
                <w:color w:val="auto"/>
                <w:kern w:val="2"/>
                <w:sz w:val="24"/>
                <w:szCs w:val="24"/>
                <w:highlight w:val="none"/>
                <w:lang w:val="en-US" w:eastAsia="zh-CN" w:bidi="ar-SA"/>
              </w:rPr>
              <w:t>污染物的产生及排放情况</w:t>
            </w:r>
          </w:p>
          <w:p w14:paraId="62512263">
            <w:pPr>
              <w:numPr>
                <w:ilvl w:val="0"/>
                <w:numId w:val="0"/>
              </w:numPr>
              <w:spacing w:line="360" w:lineRule="auto"/>
              <w:ind w:firstLine="480" w:firstLineChars="200"/>
              <w:jc w:val="both"/>
              <w:rPr>
                <w:rFonts w:hint="default" w:ascii="Times New Roman" w:hAnsi="Times New Roman" w:cs="Times New Roman"/>
                <w:b w:val="0"/>
                <w:bCs w:val="0"/>
                <w:color w:val="auto"/>
                <w:sz w:val="24"/>
                <w:szCs w:val="24"/>
                <w:highlight w:val="none"/>
                <w:u w:val="none"/>
                <w:lang w:eastAsia="zh-CN"/>
              </w:rPr>
            </w:pPr>
            <w:r>
              <w:rPr>
                <w:rFonts w:hint="default" w:ascii="Times New Roman" w:hAnsi="Times New Roman" w:cs="Times New Roman"/>
                <w:b w:val="0"/>
                <w:bCs w:val="0"/>
                <w:color w:val="auto"/>
                <w:kern w:val="2"/>
                <w:sz w:val="24"/>
                <w:szCs w:val="24"/>
                <w:highlight w:val="none"/>
                <w:lang w:val="en-US" w:eastAsia="zh-CN" w:bidi="ar-SA"/>
              </w:rPr>
              <w:t>项目一台5t/h燃烧产生的</w:t>
            </w:r>
            <w:r>
              <w:rPr>
                <w:rFonts w:hint="eastAsia" w:cs="Times New Roman"/>
                <w:b w:val="0"/>
                <w:bCs w:val="0"/>
                <w:color w:val="auto"/>
                <w:kern w:val="2"/>
                <w:sz w:val="24"/>
                <w:szCs w:val="24"/>
                <w:highlight w:val="none"/>
                <w:lang w:val="en-US" w:eastAsia="zh-CN" w:bidi="ar-SA"/>
              </w:rPr>
              <w:t>有组织</w:t>
            </w:r>
            <w:r>
              <w:rPr>
                <w:rFonts w:hint="default" w:ascii="Times New Roman" w:hAnsi="Times New Roman" w:cs="Times New Roman"/>
                <w:b w:val="0"/>
                <w:bCs w:val="0"/>
                <w:color w:val="auto"/>
                <w:kern w:val="2"/>
                <w:sz w:val="24"/>
                <w:szCs w:val="24"/>
                <w:highlight w:val="none"/>
                <w:lang w:val="en-US" w:eastAsia="zh-CN" w:bidi="ar-SA"/>
              </w:rPr>
              <w:t>污染因子主要为颗粒物、</w:t>
            </w:r>
            <w:r>
              <w:rPr>
                <w:rFonts w:hint="default" w:ascii="Times New Roman" w:hAnsi="Times New Roman" w:cs="Times New Roman"/>
                <w:color w:val="auto"/>
                <w:sz w:val="24"/>
                <w:highlight w:val="none"/>
              </w:rPr>
              <w:t>SO</w:t>
            </w:r>
            <w:r>
              <w:rPr>
                <w:rFonts w:hint="default" w:ascii="Times New Roman" w:hAnsi="Times New Roman" w:cs="Times New Roman"/>
                <w:color w:val="auto"/>
                <w:sz w:val="24"/>
                <w:highlight w:val="none"/>
                <w:vertAlign w:val="subscript"/>
              </w:rPr>
              <w:t>2</w:t>
            </w:r>
            <w:r>
              <w:rPr>
                <w:rFonts w:hint="default" w:ascii="Times New Roman" w:hAnsi="Times New Roman" w:cs="Times New Roman"/>
                <w:color w:val="auto"/>
                <w:sz w:val="24"/>
                <w:highlight w:val="none"/>
              </w:rPr>
              <w:t>、NOx</w:t>
            </w:r>
            <w:r>
              <w:rPr>
                <w:rFonts w:hint="default" w:ascii="Times New Roman" w:hAnsi="Times New Roman" w:cs="Times New Roman"/>
                <w:color w:val="auto"/>
                <w:sz w:val="24"/>
                <w:highlight w:val="none"/>
                <w:lang w:eastAsia="zh-CN"/>
              </w:rPr>
              <w:t>，</w:t>
            </w:r>
            <w:r>
              <w:rPr>
                <w:rFonts w:hint="eastAsia" w:cs="Times New Roman"/>
                <w:color w:val="auto"/>
                <w:sz w:val="24"/>
                <w:highlight w:val="none"/>
                <w:lang w:eastAsia="zh-CN"/>
              </w:rPr>
              <w:t>热风炉</w:t>
            </w:r>
            <w:r>
              <w:rPr>
                <w:rFonts w:hint="default" w:ascii="Times New Roman" w:hAnsi="Times New Roman" w:cs="Times New Roman"/>
                <w:color w:val="auto"/>
                <w:sz w:val="24"/>
                <w:highlight w:val="none"/>
                <w:lang w:eastAsia="zh-CN"/>
              </w:rPr>
              <w:t>燃烧废气经</w:t>
            </w:r>
            <w:r>
              <w:rPr>
                <w:rFonts w:hint="eastAsia"/>
                <w:color w:val="auto"/>
                <w:sz w:val="24"/>
                <w:szCs w:val="24"/>
                <w:highlight w:val="none"/>
                <w:lang w:val="en-US" w:eastAsia="zh-CN"/>
              </w:rPr>
              <w:t>配套的</w:t>
            </w:r>
            <w:r>
              <w:rPr>
                <w:rFonts w:hint="default" w:ascii="Times New Roman" w:hAnsi="Times New Roman" w:cs="Times New Roman"/>
                <w:color w:val="auto"/>
                <w:sz w:val="24"/>
                <w:highlight w:val="none"/>
                <w:lang w:eastAsia="zh-CN"/>
              </w:rPr>
              <w:t>布袋除尘器处理后，通</w:t>
            </w:r>
            <w:r>
              <w:rPr>
                <w:rFonts w:hint="default" w:ascii="Times New Roman" w:hAnsi="Times New Roman" w:cs="Times New Roman"/>
                <w:color w:val="auto"/>
                <w:sz w:val="24"/>
                <w:szCs w:val="24"/>
                <w:highlight w:val="none"/>
                <w:lang w:eastAsia="zh-CN"/>
              </w:rPr>
              <w:t>过</w:t>
            </w:r>
            <w:r>
              <w:rPr>
                <w:rFonts w:hint="eastAsia" w:cs="Times New Roman"/>
                <w:color w:val="auto"/>
                <w:sz w:val="24"/>
                <w:szCs w:val="24"/>
                <w:highlight w:val="none"/>
                <w:lang w:val="en-US" w:eastAsia="zh-CN"/>
              </w:rPr>
              <w:t>20</w:t>
            </w:r>
            <w:r>
              <w:rPr>
                <w:rFonts w:hint="default" w:ascii="Times New Roman" w:hAnsi="Times New Roman" w:cs="Times New Roman"/>
                <w:color w:val="auto"/>
                <w:sz w:val="24"/>
                <w:szCs w:val="24"/>
                <w:highlight w:val="none"/>
                <w:lang w:val="en-US" w:eastAsia="zh-CN"/>
              </w:rPr>
              <w:t>m烟囱</w:t>
            </w:r>
            <w:r>
              <w:rPr>
                <w:rFonts w:hint="eastAsia"/>
                <w:color w:val="auto"/>
                <w:sz w:val="24"/>
                <w:szCs w:val="24"/>
                <w:highlight w:val="none"/>
              </w:rPr>
              <w:t>DA001</w:t>
            </w:r>
            <w:r>
              <w:rPr>
                <w:rFonts w:hint="default" w:ascii="Times New Roman" w:hAnsi="Times New Roman" w:cs="Times New Roman"/>
                <w:color w:val="auto"/>
                <w:sz w:val="24"/>
                <w:szCs w:val="24"/>
                <w:highlight w:val="none"/>
                <w:lang w:val="en-US" w:eastAsia="zh-CN"/>
              </w:rPr>
              <w:t>排放</w:t>
            </w:r>
            <w:r>
              <w:rPr>
                <w:rFonts w:hint="eastAsia" w:cs="Times New Roman"/>
                <w:color w:val="auto"/>
                <w:sz w:val="24"/>
                <w:szCs w:val="24"/>
                <w:highlight w:val="none"/>
                <w:lang w:val="en-US" w:eastAsia="zh-CN"/>
              </w:rPr>
              <w:t>，</w:t>
            </w:r>
            <w:r>
              <w:rPr>
                <w:rFonts w:hint="eastAsia" w:cs="Times New Roman"/>
                <w:color w:val="auto"/>
                <w:sz w:val="24"/>
                <w:szCs w:val="24"/>
                <w:highlight w:val="none"/>
                <w:u w:val="none"/>
                <w:lang w:val="en-US" w:eastAsia="zh-CN"/>
              </w:rPr>
              <w:t>满足《工业炉窑大气污染物排放标准》（GB9078-1996）二级标准。</w:t>
            </w:r>
          </w:p>
          <w:p w14:paraId="2881E73A">
            <w:pPr>
              <w:pStyle w:val="12"/>
              <w:numPr>
                <w:ilvl w:val="0"/>
                <w:numId w:val="9"/>
              </w:numPr>
              <w:ind w:firstLine="480" w:firstLineChars="200"/>
              <w:rPr>
                <w:rFonts w:hint="default" w:ascii="Times New Roman" w:hAnsi="Times New Roman" w:cs="Times New Roman"/>
                <w:b w:val="0"/>
                <w:bCs w:val="0"/>
                <w:color w:val="auto"/>
                <w:sz w:val="24"/>
                <w:szCs w:val="24"/>
                <w:highlight w:val="none"/>
                <w:u w:val="none"/>
                <w:lang w:eastAsia="zh-CN"/>
              </w:rPr>
            </w:pPr>
            <w:r>
              <w:rPr>
                <w:rFonts w:hint="default" w:ascii="Times New Roman" w:hAnsi="Times New Roman" w:cs="Times New Roman"/>
                <w:b w:val="0"/>
                <w:bCs w:val="0"/>
                <w:color w:val="auto"/>
                <w:sz w:val="24"/>
                <w:szCs w:val="24"/>
                <w:highlight w:val="none"/>
                <w:u w:val="none"/>
                <w:lang w:eastAsia="zh-CN"/>
              </w:rPr>
              <w:t>锅炉烟气</w:t>
            </w:r>
          </w:p>
          <w:p w14:paraId="48C200EC">
            <w:pPr>
              <w:pStyle w:val="16"/>
              <w:numPr>
                <w:ilvl w:val="0"/>
                <w:numId w:val="0"/>
              </w:numPr>
              <w:spacing w:line="360" w:lineRule="auto"/>
              <w:ind w:leftChars="200"/>
              <w:rPr>
                <w:rFonts w:hint="default" w:ascii="Times New Roman" w:hAnsi="Times New Roman" w:cs="Times New Roman"/>
                <w:b w:val="0"/>
                <w:bCs w:val="0"/>
                <w:color w:val="auto"/>
                <w:kern w:val="0"/>
                <w:sz w:val="24"/>
                <w:szCs w:val="24"/>
                <w:highlight w:val="none"/>
                <w:lang w:val="en-US" w:eastAsia="zh-CN" w:bidi="ar-SA"/>
              </w:rPr>
            </w:pPr>
            <w:r>
              <w:rPr>
                <w:rFonts w:hint="default" w:ascii="Times New Roman" w:hAnsi="Times New Roman" w:cs="Times New Roman"/>
                <w:b w:val="0"/>
                <w:bCs w:val="0"/>
                <w:color w:val="auto"/>
                <w:kern w:val="0"/>
                <w:sz w:val="24"/>
                <w:szCs w:val="24"/>
                <w:highlight w:val="none"/>
                <w:lang w:val="en-US" w:eastAsia="zh-CN" w:bidi="ar-SA"/>
              </w:rPr>
              <w:t>1）一台5t/h生物质热风炉</w:t>
            </w:r>
          </w:p>
          <w:p w14:paraId="7C2C7BBC">
            <w:pPr>
              <w:pStyle w:val="16"/>
              <w:numPr>
                <w:ilvl w:val="0"/>
                <w:numId w:val="0"/>
              </w:numPr>
              <w:spacing w:line="360" w:lineRule="auto"/>
              <w:ind w:left="0" w:leftChars="0" w:firstLine="480" w:firstLineChars="200"/>
              <w:jc w:val="both"/>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年运行</w:t>
            </w:r>
            <w:r>
              <w:rPr>
                <w:rFonts w:hint="eastAsia" w:cs="Times New Roman"/>
                <w:b w:val="0"/>
                <w:bCs w:val="0"/>
                <w:color w:val="auto"/>
                <w:kern w:val="2"/>
                <w:sz w:val="24"/>
                <w:szCs w:val="24"/>
                <w:lang w:val="en-US" w:eastAsia="zh-CN" w:bidi="ar-SA"/>
              </w:rPr>
              <w:t>120</w:t>
            </w:r>
            <w:r>
              <w:rPr>
                <w:rFonts w:hint="default" w:ascii="Times New Roman" w:hAnsi="Times New Roman" w:eastAsia="宋体" w:cs="Times New Roman"/>
                <w:b w:val="0"/>
                <w:bCs w:val="0"/>
                <w:color w:val="auto"/>
                <w:kern w:val="2"/>
                <w:sz w:val="24"/>
                <w:szCs w:val="24"/>
                <w:lang w:val="en-US" w:eastAsia="zh-CN" w:bidi="ar-SA"/>
              </w:rPr>
              <w:t>d，每日运行</w:t>
            </w:r>
            <w:r>
              <w:rPr>
                <w:rFonts w:hint="eastAsia" w:ascii="Times New Roman" w:hAnsi="Times New Roman" w:eastAsia="宋体" w:cs="Times New Roman"/>
                <w:b w:val="0"/>
                <w:bCs w:val="0"/>
                <w:color w:val="auto"/>
                <w:kern w:val="2"/>
                <w:sz w:val="24"/>
                <w:szCs w:val="24"/>
                <w:lang w:val="en-US" w:eastAsia="zh-CN" w:bidi="ar-SA"/>
              </w:rPr>
              <w:t>16</w:t>
            </w:r>
            <w:r>
              <w:rPr>
                <w:rFonts w:hint="default" w:ascii="Times New Roman" w:hAnsi="Times New Roman" w:eastAsia="宋体" w:cs="Times New Roman"/>
                <w:b w:val="0"/>
                <w:bCs w:val="0"/>
                <w:color w:val="auto"/>
                <w:kern w:val="2"/>
                <w:sz w:val="24"/>
                <w:szCs w:val="24"/>
                <w:lang w:val="en-US" w:eastAsia="zh-CN" w:bidi="ar-SA"/>
              </w:rPr>
              <w:t>h，</w:t>
            </w:r>
            <w:r>
              <w:rPr>
                <w:rFonts w:hint="eastAsia" w:cs="Times New Roman"/>
                <w:b w:val="0"/>
                <w:bCs w:val="0"/>
                <w:color w:val="auto"/>
                <w:kern w:val="2"/>
                <w:sz w:val="24"/>
                <w:szCs w:val="24"/>
                <w:lang w:val="en-US" w:eastAsia="zh-CN" w:bidi="ar-SA"/>
              </w:rPr>
              <w:t>年</w:t>
            </w:r>
            <w:r>
              <w:rPr>
                <w:rFonts w:hint="eastAsia" w:ascii="Times New Roman" w:hAnsi="Times New Roman" w:eastAsia="宋体" w:cs="Times New Roman"/>
                <w:b w:val="0"/>
                <w:bCs w:val="0"/>
                <w:color w:val="auto"/>
                <w:kern w:val="2"/>
                <w:sz w:val="24"/>
                <w:szCs w:val="24"/>
                <w:lang w:val="en-US" w:eastAsia="zh-CN" w:bidi="ar-SA"/>
              </w:rPr>
              <w:t>工作</w:t>
            </w:r>
            <w:r>
              <w:rPr>
                <w:rFonts w:hint="eastAsia" w:cs="Times New Roman"/>
                <w:b w:val="0"/>
                <w:bCs w:val="0"/>
                <w:color w:val="auto"/>
                <w:kern w:val="2"/>
                <w:sz w:val="24"/>
                <w:szCs w:val="24"/>
                <w:lang w:val="en-US" w:eastAsia="zh-CN" w:bidi="ar-SA"/>
              </w:rPr>
              <w:t>1920</w:t>
            </w:r>
            <w:r>
              <w:rPr>
                <w:rFonts w:hint="eastAsia" w:ascii="Times New Roman" w:hAnsi="Times New Roman" w:eastAsia="宋体" w:cs="Times New Roman"/>
                <w:b w:val="0"/>
                <w:bCs w:val="0"/>
                <w:color w:val="auto"/>
                <w:kern w:val="2"/>
                <w:sz w:val="24"/>
                <w:szCs w:val="24"/>
                <w:lang w:val="en-US" w:eastAsia="zh-CN" w:bidi="ar-SA"/>
              </w:rPr>
              <w:t>h；1t/h锅炉输出功率约为0.7MW，1MW输出功率所需热量为3.6×103MJ</w:t>
            </w:r>
            <w:r>
              <w:rPr>
                <w:rFonts w:hint="eastAsia" w:cs="Times New Roman"/>
                <w:b w:val="0"/>
                <w:bCs w:val="0"/>
                <w:color w:val="auto"/>
                <w:kern w:val="2"/>
                <w:sz w:val="24"/>
                <w:szCs w:val="24"/>
                <w:lang w:val="en-US" w:eastAsia="zh-CN" w:bidi="ar-SA"/>
              </w:rPr>
              <w:t>，即：</w:t>
            </w:r>
            <w:r>
              <w:rPr>
                <w:rFonts w:hint="default" w:ascii="Times New Roman" w:hAnsi="Times New Roman" w:eastAsia="宋体" w:cs="Times New Roman"/>
                <w:b w:val="0"/>
                <w:bCs w:val="0"/>
                <w:color w:val="auto"/>
                <w:kern w:val="2"/>
                <w:sz w:val="24"/>
                <w:szCs w:val="24"/>
                <w:lang w:val="en-US" w:eastAsia="zh-CN" w:bidi="ar-SA"/>
              </w:rPr>
              <w:t>年消耗生物质</w:t>
            </w:r>
            <w:r>
              <w:rPr>
                <w:rFonts w:hint="eastAsia" w:ascii="Times New Roman" w:hAnsi="Times New Roman" w:eastAsia="宋体" w:cs="Times New Roman"/>
                <w:b w:val="0"/>
                <w:bCs w:val="0"/>
                <w:color w:val="auto"/>
                <w:kern w:val="2"/>
                <w:sz w:val="24"/>
                <w:szCs w:val="24"/>
                <w:lang w:val="en-US" w:eastAsia="zh-CN" w:bidi="ar-SA"/>
              </w:rPr>
              <w:t>量=</w:t>
            </w:r>
            <w:r>
              <w:rPr>
                <w:rFonts w:hint="eastAsia" w:cs="Times New Roman"/>
                <w:b w:val="0"/>
                <w:bCs w:val="0"/>
                <w:color w:val="auto"/>
                <w:kern w:val="2"/>
                <w:sz w:val="24"/>
                <w:szCs w:val="24"/>
                <w:lang w:val="en-US" w:eastAsia="zh-CN" w:bidi="ar-SA"/>
              </w:rPr>
              <w:t>锅炉功率</w:t>
            </w:r>
            <w:r>
              <w:rPr>
                <w:rFonts w:hint="eastAsia" w:ascii="Times New Roman" w:hAnsi="Times New Roman" w:eastAsia="宋体" w:cs="Times New Roman"/>
                <w:b w:val="0"/>
                <w:bCs w:val="0"/>
                <w:color w:val="auto"/>
                <w:kern w:val="2"/>
                <w:sz w:val="24"/>
                <w:szCs w:val="24"/>
                <w:lang w:val="en-US" w:eastAsia="zh-CN" w:bidi="ar-SA"/>
              </w:rPr>
              <w:t>/燃料热值/锅炉燃烧效率=</w:t>
            </w:r>
            <w:r>
              <w:rPr>
                <w:rFonts w:hint="eastAsia" w:cs="Times New Roman"/>
                <w:b w:val="0"/>
                <w:bCs w:val="0"/>
                <w:color w:val="auto"/>
                <w:kern w:val="2"/>
                <w:sz w:val="24"/>
                <w:szCs w:val="24"/>
                <w:lang w:val="en-US" w:eastAsia="zh-CN" w:bidi="ar-SA"/>
              </w:rPr>
              <w:t>5*0.7*3600</w:t>
            </w:r>
            <w:r>
              <w:rPr>
                <w:rFonts w:hint="eastAsia" w:ascii="Times New Roman" w:hAnsi="Times New Roman" w:eastAsia="宋体" w:cs="Times New Roman"/>
                <w:b w:val="0"/>
                <w:bCs w:val="0"/>
                <w:color w:val="auto"/>
                <w:kern w:val="2"/>
                <w:sz w:val="24"/>
                <w:szCs w:val="24"/>
                <w:lang w:val="en-US" w:eastAsia="zh-CN" w:bidi="ar-SA"/>
              </w:rPr>
              <w:t>*</w:t>
            </w:r>
            <w:r>
              <w:rPr>
                <w:rFonts w:hint="eastAsia" w:cs="Times New Roman"/>
                <w:b w:val="0"/>
                <w:bCs w:val="0"/>
                <w:color w:val="auto"/>
                <w:kern w:val="2"/>
                <w:sz w:val="24"/>
                <w:szCs w:val="24"/>
                <w:lang w:val="en-US" w:eastAsia="zh-CN" w:bidi="ar-SA"/>
              </w:rPr>
              <w:t>1920</w:t>
            </w:r>
            <w:r>
              <w:rPr>
                <w:rFonts w:hint="eastAsia" w:ascii="Times New Roman" w:hAnsi="Times New Roman" w:eastAsia="宋体" w:cs="Times New Roman"/>
                <w:b w:val="0"/>
                <w:bCs w:val="0"/>
                <w:color w:val="auto"/>
                <w:kern w:val="2"/>
                <w:sz w:val="24"/>
                <w:szCs w:val="24"/>
                <w:lang w:val="en-US" w:eastAsia="zh-CN" w:bidi="ar-SA"/>
              </w:rPr>
              <w:t>/</w:t>
            </w:r>
            <w:r>
              <w:rPr>
                <w:rFonts w:hint="eastAsia" w:cs="Times New Roman"/>
                <w:b w:val="0"/>
                <w:bCs w:val="0"/>
                <w:color w:val="auto"/>
                <w:kern w:val="2"/>
                <w:sz w:val="24"/>
                <w:szCs w:val="24"/>
                <w:lang w:val="en-US" w:eastAsia="zh-CN" w:bidi="ar-SA"/>
              </w:rPr>
              <w:t>14.132</w:t>
            </w:r>
            <w:r>
              <w:rPr>
                <w:rFonts w:hint="eastAsia" w:ascii="Times New Roman" w:hAnsi="Times New Roman" w:eastAsia="宋体" w:cs="Times New Roman"/>
                <w:b w:val="0"/>
                <w:bCs w:val="0"/>
                <w:color w:val="auto"/>
                <w:kern w:val="2"/>
                <w:sz w:val="24"/>
                <w:szCs w:val="24"/>
                <w:lang w:val="en-US" w:eastAsia="zh-CN" w:bidi="ar-SA"/>
              </w:rPr>
              <w:t>/85%/1000=</w:t>
            </w:r>
            <w:r>
              <w:rPr>
                <w:rFonts w:hint="eastAsia" w:cs="Times New Roman"/>
                <w:b w:val="0"/>
                <w:bCs w:val="0"/>
                <w:color w:val="auto"/>
                <w:kern w:val="2"/>
                <w:sz w:val="24"/>
                <w:szCs w:val="24"/>
                <w:lang w:val="en-US" w:eastAsia="zh-CN" w:bidi="ar-SA"/>
              </w:rPr>
              <w:t>2014</w:t>
            </w:r>
            <w:r>
              <w:rPr>
                <w:rFonts w:hint="eastAsia" w:ascii="Times New Roman" w:hAnsi="Times New Roman" w:eastAsia="宋体" w:cs="Times New Roman"/>
                <w:b w:val="0"/>
                <w:bCs w:val="0"/>
                <w:color w:val="auto"/>
                <w:kern w:val="2"/>
                <w:sz w:val="24"/>
                <w:szCs w:val="24"/>
                <w:lang w:val="en-US" w:eastAsia="zh-CN" w:bidi="ar-SA"/>
              </w:rPr>
              <w:t>t/a</w:t>
            </w:r>
          </w:p>
          <w:p w14:paraId="589155AF">
            <w:pPr>
              <w:pStyle w:val="16"/>
              <w:numPr>
                <w:ilvl w:val="0"/>
                <w:numId w:val="0"/>
              </w:numPr>
              <w:spacing w:line="360" w:lineRule="auto"/>
              <w:ind w:firstLine="480" w:firstLineChars="200"/>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eastAsia="宋体" w:cs="Times New Roman"/>
                <w:b w:val="0"/>
                <w:bCs w:val="0"/>
                <w:color w:val="auto"/>
                <w:kern w:val="0"/>
                <w:sz w:val="24"/>
                <w:szCs w:val="24"/>
                <w:highlight w:val="none"/>
                <w:lang w:val="en-US" w:eastAsia="zh-CN" w:bidi="ar-SA"/>
              </w:rPr>
              <w:t>①烟气量计算</w:t>
            </w:r>
          </w:p>
          <w:p w14:paraId="69A3F949">
            <w:pPr>
              <w:pStyle w:val="16"/>
              <w:numPr>
                <w:ilvl w:val="0"/>
                <w:numId w:val="0"/>
              </w:numPr>
              <w:spacing w:line="360" w:lineRule="auto"/>
              <w:ind w:firstLine="480" w:firstLineChars="200"/>
              <w:jc w:val="center"/>
              <w:rPr>
                <w:rFonts w:hint="default" w:ascii="Times New Roman" w:hAnsi="Times New Roman" w:eastAsia="宋体" w:cs="Times New Roman"/>
                <w:b w:val="0"/>
                <w:bCs w:val="0"/>
                <w:color w:val="auto"/>
                <w:kern w:val="0"/>
                <w:sz w:val="24"/>
                <w:szCs w:val="24"/>
                <w:highlight w:val="none"/>
                <w:lang w:val="en-US" w:eastAsia="zh-CN" w:bidi="ar-SA"/>
              </w:rPr>
            </w:pPr>
            <w:r>
              <w:rPr>
                <w:rFonts w:hint="default" w:ascii="Times New Roman" w:hAnsi="Times New Roman" w:cs="Times New Roman"/>
                <w:color w:val="auto"/>
                <w:sz w:val="24"/>
                <w:szCs w:val="24"/>
                <w:highlight w:val="none"/>
              </w:rPr>
              <w:drawing>
                <wp:inline distT="0" distB="0" distL="114300" distR="114300">
                  <wp:extent cx="3543935" cy="409575"/>
                  <wp:effectExtent l="0" t="0" r="18415" b="9525"/>
                  <wp:docPr id="77" name="图片 4" descr="理论烟气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 descr="理论烟气量"/>
                          <pic:cNvPicPr>
                            <a:picLocks noChangeAspect="1"/>
                          </pic:cNvPicPr>
                        </pic:nvPicPr>
                        <pic:blipFill>
                          <a:blip r:embed="rId19"/>
                          <a:stretch>
                            <a:fillRect/>
                          </a:stretch>
                        </pic:blipFill>
                        <pic:spPr>
                          <a:xfrm>
                            <a:off x="0" y="0"/>
                            <a:ext cx="3543935" cy="409575"/>
                          </a:xfrm>
                          <a:prstGeom prst="rect">
                            <a:avLst/>
                          </a:prstGeom>
                          <a:noFill/>
                          <a:ln>
                            <a:noFill/>
                          </a:ln>
                        </pic:spPr>
                      </pic:pic>
                    </a:graphicData>
                  </a:graphic>
                </wp:inline>
              </w:drawing>
            </w:r>
          </w:p>
          <w:p w14:paraId="60CED4BA">
            <w:pPr>
              <w:pStyle w:val="16"/>
              <w:numPr>
                <w:ilvl w:val="0"/>
                <w:numId w:val="0"/>
              </w:numPr>
              <w:adjustRightInd w:val="0"/>
              <w:snapToGrid w:val="0"/>
              <w:spacing w:before="187" w:beforeLines="60"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b w:val="0"/>
                <w:bCs w:val="0"/>
                <w:color w:val="auto"/>
                <w:kern w:val="0"/>
                <w:sz w:val="24"/>
                <w:szCs w:val="24"/>
                <w:highlight w:val="none"/>
                <w:lang w:val="en-US" w:eastAsia="zh-CN" w:bidi="ar-SA"/>
              </w:rPr>
              <w:t>理论空气量：</w:t>
            </w:r>
          </w:p>
          <w:p w14:paraId="79D9C03E">
            <w:pPr>
              <w:adjustRightInd w:val="0"/>
              <w:snapToGrid w:val="0"/>
              <w:spacing w:line="360" w:lineRule="auto"/>
              <w:ind w:firstLine="1024" w:firstLineChars="427"/>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式中：V</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—理论空气量，m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w:t>
            </w:r>
          </w:p>
          <w:p w14:paraId="3EDF4899">
            <w:pPr>
              <w:adjustRightInd w:val="0"/>
              <w:snapToGrid w:val="0"/>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Car—收到基碳的质量分数，%；根据秸秆</w:t>
            </w:r>
            <w:r>
              <w:rPr>
                <w:rFonts w:hint="default" w:ascii="Times New Roman" w:hAnsi="Times New Roman" w:cs="Times New Roman"/>
                <w:color w:val="auto"/>
                <w:sz w:val="24"/>
                <w:szCs w:val="24"/>
                <w:highlight w:val="none"/>
                <w:lang w:eastAsia="zh-CN"/>
              </w:rPr>
              <w:t>燃料</w:t>
            </w:r>
            <w:r>
              <w:rPr>
                <w:rFonts w:hint="default" w:ascii="Times New Roman" w:hAnsi="Times New Roman" w:cs="Times New Roman"/>
                <w:color w:val="auto"/>
                <w:sz w:val="24"/>
                <w:szCs w:val="24"/>
                <w:highlight w:val="none"/>
              </w:rPr>
              <w:t>成分测试报告，取</w:t>
            </w:r>
            <w:r>
              <w:rPr>
                <w:rFonts w:hint="eastAsia" w:cs="Times New Roman"/>
                <w:color w:val="auto"/>
                <w:sz w:val="24"/>
                <w:szCs w:val="24"/>
                <w:highlight w:val="none"/>
                <w:lang w:val="en-US" w:eastAsia="zh-CN"/>
              </w:rPr>
              <w:t>38.82</w:t>
            </w:r>
            <w:r>
              <w:rPr>
                <w:rFonts w:hint="default" w:ascii="Times New Roman" w:hAnsi="Times New Roman" w:cs="Times New Roman"/>
                <w:color w:val="auto"/>
                <w:sz w:val="24"/>
                <w:szCs w:val="24"/>
                <w:highlight w:val="none"/>
              </w:rPr>
              <w:t>。</w:t>
            </w:r>
          </w:p>
          <w:p w14:paraId="32B516AA">
            <w:pPr>
              <w:adjustRightInd w:val="0"/>
              <w:snapToGrid w:val="0"/>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Sar—收到基硫的质量分数， %；根据秸秆</w:t>
            </w:r>
            <w:r>
              <w:rPr>
                <w:rFonts w:hint="default" w:ascii="Times New Roman" w:hAnsi="Times New Roman" w:cs="Times New Roman"/>
                <w:color w:val="auto"/>
                <w:sz w:val="24"/>
                <w:szCs w:val="24"/>
                <w:highlight w:val="none"/>
                <w:lang w:eastAsia="zh-CN"/>
              </w:rPr>
              <w:t>燃料</w:t>
            </w:r>
            <w:r>
              <w:rPr>
                <w:rFonts w:hint="default" w:ascii="Times New Roman" w:hAnsi="Times New Roman" w:cs="Times New Roman"/>
                <w:color w:val="auto"/>
                <w:sz w:val="24"/>
                <w:szCs w:val="24"/>
                <w:highlight w:val="none"/>
              </w:rPr>
              <w:t>成分测试报告，取0.0</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w:t>
            </w:r>
          </w:p>
          <w:p w14:paraId="6D7A3C2F">
            <w:pPr>
              <w:adjustRightInd w:val="0"/>
              <w:snapToGrid w:val="0"/>
              <w:spacing w:line="520" w:lineRule="exact"/>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Har—收到基氢的质量分数， %；根据秸秆</w:t>
            </w:r>
            <w:r>
              <w:rPr>
                <w:rFonts w:hint="default" w:ascii="Times New Roman" w:hAnsi="Times New Roman" w:cs="Times New Roman"/>
                <w:color w:val="auto"/>
                <w:sz w:val="24"/>
                <w:szCs w:val="24"/>
                <w:highlight w:val="none"/>
                <w:lang w:eastAsia="zh-CN"/>
              </w:rPr>
              <w:t>燃料</w:t>
            </w:r>
            <w:r>
              <w:rPr>
                <w:rFonts w:hint="default" w:ascii="Times New Roman" w:hAnsi="Times New Roman" w:cs="Times New Roman"/>
                <w:color w:val="auto"/>
                <w:sz w:val="24"/>
                <w:szCs w:val="24"/>
                <w:highlight w:val="none"/>
              </w:rPr>
              <w:t>成分测试报告，取</w:t>
            </w:r>
            <w:r>
              <w:rPr>
                <w:rFonts w:hint="eastAsia" w:cs="Times New Roman"/>
                <w:color w:val="auto"/>
                <w:sz w:val="24"/>
                <w:szCs w:val="24"/>
                <w:highlight w:val="none"/>
                <w:lang w:val="en-US" w:eastAsia="zh-CN"/>
              </w:rPr>
              <w:t>4.38</w:t>
            </w:r>
            <w:r>
              <w:rPr>
                <w:rFonts w:hint="default" w:ascii="Times New Roman" w:hAnsi="Times New Roman" w:cs="Times New Roman"/>
                <w:color w:val="auto"/>
                <w:sz w:val="24"/>
                <w:szCs w:val="24"/>
                <w:highlight w:val="none"/>
              </w:rPr>
              <w:t>。</w:t>
            </w:r>
          </w:p>
          <w:p w14:paraId="0C064992">
            <w:pPr>
              <w:adjustRightInd w:val="0"/>
              <w:snapToGrid w:val="0"/>
              <w:spacing w:line="520" w:lineRule="exact"/>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Oar—收到基氧的质量分数， %。根据秸秆</w:t>
            </w:r>
            <w:r>
              <w:rPr>
                <w:rFonts w:hint="default" w:ascii="Times New Roman" w:hAnsi="Times New Roman" w:cs="Times New Roman"/>
                <w:color w:val="auto"/>
                <w:sz w:val="24"/>
                <w:szCs w:val="24"/>
                <w:highlight w:val="none"/>
                <w:lang w:eastAsia="zh-CN"/>
              </w:rPr>
              <w:t>燃料</w:t>
            </w:r>
            <w:r>
              <w:rPr>
                <w:rFonts w:hint="default" w:ascii="Times New Roman" w:hAnsi="Times New Roman" w:cs="Times New Roman"/>
                <w:color w:val="auto"/>
                <w:sz w:val="24"/>
                <w:szCs w:val="24"/>
                <w:highlight w:val="none"/>
              </w:rPr>
              <w:t>成分测试报告，取</w:t>
            </w:r>
            <w:r>
              <w:rPr>
                <w:rFonts w:hint="eastAsia" w:cs="Times New Roman"/>
                <w:color w:val="auto"/>
                <w:sz w:val="24"/>
                <w:szCs w:val="24"/>
                <w:highlight w:val="none"/>
                <w:lang w:val="en-US" w:eastAsia="zh-CN"/>
              </w:rPr>
              <w:t>33.13</w:t>
            </w:r>
            <w:r>
              <w:rPr>
                <w:rFonts w:hint="default" w:ascii="Times New Roman" w:hAnsi="Times New Roman" w:cs="Times New Roman"/>
                <w:color w:val="auto"/>
                <w:sz w:val="24"/>
                <w:szCs w:val="24"/>
                <w:highlight w:val="none"/>
              </w:rPr>
              <w:t>。</w:t>
            </w:r>
          </w:p>
          <w:p w14:paraId="795CA053">
            <w:pPr>
              <w:adjustRightInd w:val="0"/>
              <w:snapToGrid w:val="0"/>
              <w:spacing w:line="520" w:lineRule="exact"/>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烟气排放量：</w:t>
            </w:r>
          </w:p>
          <w:p w14:paraId="7E486779">
            <w:pPr>
              <w:adjustRightInd w:val="0"/>
              <w:snapToGrid w:val="0"/>
              <w:ind w:firstLine="480"/>
              <w:jc w:val="center"/>
              <w:rPr>
                <w:rFonts w:hint="default" w:ascii="Times New Roman" w:hAnsi="Times New Roman" w:cs="Times New Roman"/>
                <w:color w:val="auto"/>
                <w:szCs w:val="24"/>
                <w:highlight w:val="none"/>
              </w:rPr>
            </w:pPr>
            <w:r>
              <w:rPr>
                <w:rFonts w:hint="default" w:ascii="Times New Roman" w:hAnsi="Times New Roman" w:cs="Times New Roman"/>
                <w:color w:val="auto"/>
                <w:szCs w:val="24"/>
                <w:highlight w:val="none"/>
              </w:rPr>
              <w:drawing>
                <wp:inline distT="0" distB="0" distL="114300" distR="114300">
                  <wp:extent cx="2750820" cy="1136650"/>
                  <wp:effectExtent l="0" t="0" r="11430" b="6350"/>
                  <wp:docPr id="14" name="图片 5" descr="QQ截图20190315125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QQ截图20190315125109"/>
                          <pic:cNvPicPr>
                            <a:picLocks noChangeAspect="1"/>
                          </pic:cNvPicPr>
                        </pic:nvPicPr>
                        <pic:blipFill>
                          <a:blip r:embed="rId20"/>
                          <a:stretch>
                            <a:fillRect/>
                          </a:stretch>
                        </pic:blipFill>
                        <pic:spPr>
                          <a:xfrm>
                            <a:off x="0" y="0"/>
                            <a:ext cx="2750820" cy="1136650"/>
                          </a:xfrm>
                          <a:prstGeom prst="rect">
                            <a:avLst/>
                          </a:prstGeom>
                          <a:noFill/>
                          <a:ln>
                            <a:noFill/>
                          </a:ln>
                        </pic:spPr>
                      </pic:pic>
                    </a:graphicData>
                  </a:graphic>
                </wp:inline>
              </w:drawing>
            </w:r>
          </w:p>
          <w:p w14:paraId="7047DC15">
            <w:pPr>
              <w:adjustRightInd w:val="0"/>
              <w:snapToGrid w:val="0"/>
              <w:spacing w:line="360" w:lineRule="auto"/>
              <w:ind w:firstLine="48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式中：V</w:t>
            </w:r>
            <w:r>
              <w:rPr>
                <w:rFonts w:hint="default" w:ascii="Times New Roman" w:hAnsi="Times New Roman" w:cs="Times New Roman"/>
                <w:color w:val="auto"/>
                <w:sz w:val="24"/>
                <w:szCs w:val="24"/>
                <w:highlight w:val="none"/>
                <w:vertAlign w:val="subscript"/>
              </w:rPr>
              <w:t>RO2</w:t>
            </w:r>
            <w:r>
              <w:rPr>
                <w:rFonts w:hint="default" w:ascii="Times New Roman" w:hAnsi="Times New Roman" w:cs="Times New Roman"/>
                <w:color w:val="auto"/>
                <w:sz w:val="24"/>
                <w:szCs w:val="24"/>
                <w:highlight w:val="none"/>
              </w:rPr>
              <w:t>——烟气中二氧化碳（V</w:t>
            </w:r>
            <w:r>
              <w:rPr>
                <w:rFonts w:hint="default" w:ascii="Times New Roman" w:hAnsi="Times New Roman" w:cs="Times New Roman"/>
                <w:color w:val="auto"/>
                <w:sz w:val="24"/>
                <w:szCs w:val="24"/>
                <w:highlight w:val="none"/>
                <w:vertAlign w:val="subscript"/>
              </w:rPr>
              <w:t>CO2</w:t>
            </w:r>
            <w:r>
              <w:rPr>
                <w:rFonts w:hint="default" w:ascii="Times New Roman" w:hAnsi="Times New Roman" w:cs="Times New Roman"/>
                <w:color w:val="auto"/>
                <w:sz w:val="24"/>
                <w:szCs w:val="24"/>
                <w:highlight w:val="none"/>
              </w:rPr>
              <w:t>）和二氧化硫（V</w:t>
            </w:r>
            <w:r>
              <w:rPr>
                <w:rFonts w:hint="default" w:ascii="Times New Roman" w:hAnsi="Times New Roman" w:cs="Times New Roman"/>
                <w:color w:val="auto"/>
                <w:sz w:val="24"/>
                <w:szCs w:val="24"/>
                <w:highlight w:val="none"/>
                <w:vertAlign w:val="subscript"/>
              </w:rPr>
              <w:t>SO2</w:t>
            </w:r>
            <w:r>
              <w:rPr>
                <w:rFonts w:hint="default" w:ascii="Times New Roman" w:hAnsi="Times New Roman" w:cs="Times New Roman"/>
                <w:color w:val="auto"/>
                <w:sz w:val="24"/>
                <w:szCs w:val="24"/>
                <w:highlight w:val="none"/>
              </w:rPr>
              <w:t>）容积之和，m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w:t>
            </w:r>
          </w:p>
          <w:p w14:paraId="15B2EC0E">
            <w:pPr>
              <w:adjustRightInd w:val="0"/>
              <w:snapToGrid w:val="0"/>
              <w:spacing w:line="360" w:lineRule="auto"/>
              <w:ind w:firstLine="480" w:firstLineChars="200"/>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——收到基碳的质量分数，%</w:t>
            </w:r>
            <w:r>
              <w:rPr>
                <w:rFonts w:hint="eastAsia" w:cs="Times New Roman"/>
                <w:color w:val="auto"/>
                <w:sz w:val="24"/>
                <w:szCs w:val="24"/>
                <w:highlight w:val="none"/>
                <w:lang w:eastAsia="zh-CN"/>
              </w:rPr>
              <w:t>；根据秸秆燃料成分测试报告，取</w:t>
            </w:r>
            <w:r>
              <w:rPr>
                <w:rFonts w:hint="eastAsia" w:cs="Times New Roman"/>
                <w:color w:val="auto"/>
                <w:sz w:val="24"/>
                <w:szCs w:val="24"/>
                <w:highlight w:val="none"/>
                <w:lang w:val="en-US" w:eastAsia="zh-CN"/>
              </w:rPr>
              <w:t>38.82</w:t>
            </w:r>
            <w:r>
              <w:rPr>
                <w:rFonts w:hint="eastAsia" w:cs="Times New Roman"/>
                <w:color w:val="auto"/>
                <w:sz w:val="24"/>
                <w:szCs w:val="24"/>
                <w:highlight w:val="none"/>
                <w:lang w:eastAsia="zh-CN"/>
              </w:rPr>
              <w:t>。</w:t>
            </w:r>
          </w:p>
          <w:p w14:paraId="7DBEBB60">
            <w:pPr>
              <w:adjustRightInd w:val="0"/>
              <w:snapToGrid w:val="0"/>
              <w:spacing w:line="360" w:lineRule="auto"/>
              <w:ind w:firstLine="480" w:firstLineChars="200"/>
              <w:rPr>
                <w:rFonts w:hint="eastAsia"/>
                <w:color w:val="auto"/>
                <w:lang w:val="en-US" w:eastAsia="zh-CN"/>
              </w:rPr>
            </w:pPr>
            <w:r>
              <w:rPr>
                <w:rFonts w:hint="default" w:ascii="Times New Roman" w:hAnsi="Times New Roman" w:cs="Times New Roman"/>
                <w:color w:val="auto"/>
                <w:sz w:val="24"/>
                <w:szCs w:val="24"/>
                <w:highlight w:val="none"/>
              </w:rPr>
              <w:t>S</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——收到基硫的质量分数，</w:t>
            </w:r>
            <w:r>
              <w:rPr>
                <w:rFonts w:hint="eastAsia" w:cs="Times New Roman"/>
                <w:color w:val="auto"/>
                <w:sz w:val="24"/>
                <w:szCs w:val="24"/>
                <w:highlight w:val="none"/>
                <w:lang w:val="en-US" w:eastAsia="zh-CN"/>
              </w:rPr>
              <w:t>%；根据秸秆燃料成分测试报告，取0.07。</w:t>
            </w:r>
          </w:p>
          <w:p w14:paraId="211E64C4">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V</w:t>
            </w:r>
            <w:r>
              <w:rPr>
                <w:rFonts w:hint="default" w:ascii="Times New Roman" w:hAnsi="Times New Roman" w:cs="Times New Roman"/>
                <w:color w:val="auto"/>
                <w:sz w:val="24"/>
                <w:szCs w:val="24"/>
                <w:highlight w:val="none"/>
                <w:vertAlign w:val="subscript"/>
              </w:rPr>
              <w:t>N2</w:t>
            </w:r>
            <w:r>
              <w:rPr>
                <w:rFonts w:hint="default" w:ascii="Times New Roman" w:hAnsi="Times New Roman" w:cs="Times New Roman"/>
                <w:color w:val="auto"/>
                <w:sz w:val="24"/>
                <w:szCs w:val="24"/>
                <w:highlight w:val="none"/>
              </w:rPr>
              <w:t>——烟气中氮气，m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w:t>
            </w:r>
          </w:p>
          <w:p w14:paraId="400A74F5">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N</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——收到基氮的质量分数，%；根据秸秆</w:t>
            </w:r>
            <w:r>
              <w:rPr>
                <w:rFonts w:hint="default" w:ascii="Times New Roman" w:hAnsi="Times New Roman" w:cs="Times New Roman"/>
                <w:color w:val="auto"/>
                <w:sz w:val="24"/>
                <w:szCs w:val="24"/>
                <w:highlight w:val="none"/>
                <w:lang w:eastAsia="zh-CN"/>
              </w:rPr>
              <w:t>燃料</w:t>
            </w:r>
            <w:r>
              <w:rPr>
                <w:rFonts w:hint="default" w:ascii="Times New Roman" w:hAnsi="Times New Roman" w:cs="Times New Roman"/>
                <w:color w:val="auto"/>
                <w:sz w:val="24"/>
                <w:szCs w:val="24"/>
                <w:highlight w:val="none"/>
              </w:rPr>
              <w:t>成分测试报告，取</w:t>
            </w:r>
            <w:r>
              <w:rPr>
                <w:rFonts w:hint="default" w:ascii="Times New Roman" w:hAnsi="Times New Roman" w:cs="Times New Roman"/>
                <w:color w:val="auto"/>
                <w:sz w:val="24"/>
                <w:szCs w:val="24"/>
                <w:highlight w:val="none"/>
                <w:lang w:val="en-US" w:eastAsia="zh-CN"/>
              </w:rPr>
              <w:t>0.2</w:t>
            </w:r>
            <w:r>
              <w:rPr>
                <w:rFonts w:hint="eastAsia" w:cs="Times New Roman"/>
                <w:color w:val="auto"/>
                <w:sz w:val="24"/>
                <w:szCs w:val="24"/>
                <w:highlight w:val="none"/>
                <w:lang w:val="en-US" w:eastAsia="zh-CN"/>
              </w:rPr>
              <w:t>7</w:t>
            </w:r>
            <w:r>
              <w:rPr>
                <w:rFonts w:hint="default" w:ascii="Times New Roman" w:hAnsi="Times New Roman" w:cs="Times New Roman"/>
                <w:color w:val="auto"/>
                <w:sz w:val="24"/>
                <w:szCs w:val="24"/>
                <w:highlight w:val="none"/>
              </w:rPr>
              <w:t>。</w:t>
            </w:r>
          </w:p>
          <w:p w14:paraId="79406616">
            <w:pPr>
              <w:adjustRightInd w:val="0"/>
              <w:snapToGrid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V</w:t>
            </w:r>
            <w:r>
              <w:rPr>
                <w:rFonts w:hint="default" w:ascii="Times New Roman" w:hAnsi="Times New Roman" w:cs="Times New Roman"/>
                <w:color w:val="auto"/>
                <w:sz w:val="24"/>
                <w:szCs w:val="24"/>
                <w:highlight w:val="none"/>
                <w:vertAlign w:val="subscript"/>
              </w:rPr>
              <w:t>0</w:t>
            </w:r>
            <w:r>
              <w:rPr>
                <w:rFonts w:hint="default" w:ascii="Times New Roman" w:hAnsi="Times New Roman" w:cs="Times New Roman"/>
                <w:color w:val="auto"/>
                <w:sz w:val="24"/>
                <w:szCs w:val="24"/>
                <w:highlight w:val="none"/>
              </w:rPr>
              <w:t>——理论空气量，m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w:t>
            </w:r>
            <w:r>
              <w:rPr>
                <w:rFonts w:hint="default" w:ascii="Times New Roman" w:hAnsi="Times New Roman" w:cs="Times New Roman"/>
                <w:color w:val="auto"/>
                <w:sz w:val="24"/>
                <w:szCs w:val="24"/>
                <w:highlight w:val="none"/>
                <w:lang w:val="en-US" w:eastAsia="zh-CN"/>
              </w:rPr>
              <w:t xml:space="preserve"> </w:t>
            </w:r>
          </w:p>
          <w:p w14:paraId="37C705A7">
            <w:pPr>
              <w:adjustRightInd w:val="0"/>
              <w:snapToGrid w:val="0"/>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 xml:space="preserve">α——过量空气系数，燃料燃烧时实际空气供给量与理论空气需要量之比值，参照《污染物源强核算技术指南 </w:t>
            </w:r>
            <w:r>
              <w:rPr>
                <w:rFonts w:hint="default" w:ascii="Times New Roman" w:hAnsi="Times New Roman" w:cs="Times New Roman"/>
                <w:color w:val="auto"/>
                <w:sz w:val="24"/>
                <w:szCs w:val="24"/>
                <w:highlight w:val="none"/>
                <w:lang w:eastAsia="zh-CN"/>
              </w:rPr>
              <w:t>锅炉</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eastAsia="zh-CN"/>
              </w:rPr>
              <w:t>HJ991</w:t>
            </w:r>
            <w:r>
              <w:rPr>
                <w:rFonts w:hint="default" w:ascii="Times New Roman" w:hAnsi="Times New Roman" w:cs="Times New Roman"/>
                <w:color w:val="auto"/>
                <w:sz w:val="24"/>
                <w:szCs w:val="24"/>
                <w:highlight w:val="none"/>
              </w:rPr>
              <w:t>-2018）中燃煤锅炉过量空气系数，取1.</w:t>
            </w:r>
            <w:r>
              <w:rPr>
                <w:rFonts w:hint="default" w:ascii="Times New Roman" w:hAnsi="Times New Roman" w:cs="Times New Roman"/>
                <w:color w:val="auto"/>
                <w:sz w:val="24"/>
                <w:szCs w:val="24"/>
                <w:highlight w:val="none"/>
                <w:lang w:val="en-US" w:eastAsia="zh-CN"/>
              </w:rPr>
              <w:t>75</w:t>
            </w:r>
            <w:r>
              <w:rPr>
                <w:rFonts w:hint="default" w:ascii="Times New Roman" w:hAnsi="Times New Roman" w:cs="Times New Roman"/>
                <w:color w:val="auto"/>
                <w:sz w:val="24"/>
                <w:szCs w:val="24"/>
                <w:highlight w:val="none"/>
              </w:rPr>
              <w:t>。</w:t>
            </w:r>
          </w:p>
          <w:p w14:paraId="74FE46F0">
            <w:pPr>
              <w:adjustRightInd w:val="0"/>
              <w:snapToGrid w:val="0"/>
              <w:spacing w:line="360" w:lineRule="auto"/>
              <w:ind w:firstLine="1108" w:firstLineChars="462"/>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Vg——干烟气排放量，m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/kg。</w:t>
            </w:r>
          </w:p>
          <w:p w14:paraId="24BE65A2">
            <w:pPr>
              <w:pStyle w:val="24"/>
              <w:spacing w:line="360" w:lineRule="auto"/>
              <w:ind w:left="0" w:leftChars="0" w:firstLine="480" w:firstLineChars="200"/>
              <w:rPr>
                <w:rFonts w:hint="default" w:ascii="Times New Roman" w:hAnsi="Times New Roman" w:eastAsia="宋体" w:cs="Times New Roman"/>
                <w:color w:val="auto"/>
                <w:kern w:val="2"/>
                <w:sz w:val="24"/>
                <w:szCs w:val="24"/>
                <w:highlight w:val="none"/>
                <w:vertAlign w:val="baseline"/>
                <w:lang w:val="en-US" w:eastAsia="zh-CN" w:bidi="ar-SA"/>
              </w:rPr>
            </w:pPr>
            <w:r>
              <w:rPr>
                <w:rFonts w:hint="default" w:ascii="Times New Roman" w:hAnsi="Times New Roman" w:cs="Times New Roman"/>
                <w:color w:val="auto"/>
                <w:sz w:val="24"/>
                <w:szCs w:val="24"/>
                <w:highlight w:val="none"/>
              </w:rPr>
              <w:t>经计算，本项目干烟气量Vg为</w:t>
            </w:r>
            <w:r>
              <w:rPr>
                <w:rFonts w:hint="eastAsia" w:cs="Times New Roman"/>
                <w:smallCaps w:val="0"/>
                <w:color w:val="auto"/>
                <w:kern w:val="2"/>
                <w:sz w:val="24"/>
                <w:szCs w:val="24"/>
                <w:highlight w:val="none"/>
                <w:lang w:val="en-US" w:eastAsia="zh-CN" w:bidi="ar-SA"/>
              </w:rPr>
              <w:t>6.13</w:t>
            </w:r>
            <w:r>
              <w:rPr>
                <w:rFonts w:hint="default" w:ascii="Times New Roman" w:hAnsi="Times New Roman" w:eastAsia="宋体" w:cs="Times New Roman"/>
                <w:smallCaps w:val="0"/>
                <w:color w:val="auto"/>
                <w:kern w:val="2"/>
                <w:sz w:val="24"/>
                <w:szCs w:val="24"/>
                <w:highlight w:val="none"/>
                <w:lang w:val="en-US" w:eastAsia="zh-CN" w:bidi="ar-SA"/>
              </w:rPr>
              <w:t>m</w:t>
            </w:r>
            <w:r>
              <w:rPr>
                <w:rFonts w:hint="default" w:ascii="Times New Roman" w:hAnsi="Times New Roman" w:eastAsia="宋体" w:cs="Times New Roman"/>
                <w:smallCaps w:val="0"/>
                <w:color w:val="auto"/>
                <w:kern w:val="2"/>
                <w:sz w:val="24"/>
                <w:szCs w:val="24"/>
                <w:highlight w:val="none"/>
                <w:vertAlign w:val="superscript"/>
                <w:lang w:val="en-US" w:eastAsia="zh-CN" w:bidi="ar-SA"/>
              </w:rPr>
              <w:t>3</w:t>
            </w:r>
            <w:r>
              <w:rPr>
                <w:rFonts w:hint="default" w:ascii="Times New Roman" w:hAnsi="Times New Roman" w:eastAsia="宋体" w:cs="Times New Roman"/>
                <w:smallCaps w:val="0"/>
                <w:color w:val="auto"/>
                <w:kern w:val="2"/>
                <w:sz w:val="24"/>
                <w:szCs w:val="24"/>
                <w:highlight w:val="none"/>
                <w:lang w:val="en-US" w:eastAsia="zh-CN" w:bidi="ar-SA"/>
              </w:rPr>
              <w:t>/kg，</w:t>
            </w:r>
            <w:r>
              <w:rPr>
                <w:rFonts w:hint="default" w:ascii="Times New Roman" w:hAnsi="Times New Roman" w:cs="Times New Roman"/>
                <w:color w:val="auto"/>
                <w:sz w:val="24"/>
                <w:szCs w:val="24"/>
                <w:highlight w:val="none"/>
              </w:rPr>
              <w:t>则烟气量为</w:t>
            </w:r>
            <w:r>
              <w:rPr>
                <w:rFonts w:hint="eastAsia" w:cs="Times New Roman"/>
                <w:smallCaps w:val="0"/>
                <w:color w:val="auto"/>
                <w:kern w:val="2"/>
                <w:sz w:val="24"/>
                <w:szCs w:val="24"/>
                <w:highlight w:val="none"/>
                <w:lang w:val="en-US" w:eastAsia="zh-CN" w:bidi="ar-SA"/>
              </w:rPr>
              <w:t>6434.69</w:t>
            </w:r>
            <w:r>
              <w:rPr>
                <w:rFonts w:hint="default" w:ascii="Times New Roman" w:hAnsi="Times New Roman" w:eastAsia="宋体" w:cs="Times New Roman"/>
                <w:smallCaps w:val="0"/>
                <w:color w:val="auto"/>
                <w:kern w:val="2"/>
                <w:sz w:val="24"/>
                <w:szCs w:val="24"/>
                <w:highlight w:val="none"/>
                <w:lang w:val="en-US" w:eastAsia="zh-CN" w:bidi="ar-SA"/>
              </w:rPr>
              <w:t>m</w:t>
            </w:r>
            <w:r>
              <w:rPr>
                <w:rFonts w:hint="default" w:ascii="Times New Roman" w:hAnsi="Times New Roman" w:eastAsia="宋体" w:cs="Times New Roman"/>
                <w:smallCaps w:val="0"/>
                <w:color w:val="auto"/>
                <w:kern w:val="2"/>
                <w:sz w:val="24"/>
                <w:szCs w:val="24"/>
                <w:highlight w:val="none"/>
                <w:vertAlign w:val="superscript"/>
                <w:lang w:val="en-US" w:eastAsia="zh-CN" w:bidi="ar-SA"/>
              </w:rPr>
              <w:t>3</w:t>
            </w:r>
            <w:r>
              <w:rPr>
                <w:rFonts w:hint="default" w:ascii="Times New Roman" w:hAnsi="Times New Roman" w:eastAsia="宋体" w:cs="Times New Roman"/>
                <w:smallCaps w:val="0"/>
                <w:color w:val="auto"/>
                <w:kern w:val="2"/>
                <w:sz w:val="24"/>
                <w:szCs w:val="24"/>
                <w:highlight w:val="none"/>
                <w:lang w:val="en-US" w:eastAsia="zh-CN" w:bidi="ar-SA"/>
              </w:rPr>
              <w:t>/h。</w:t>
            </w:r>
          </w:p>
          <w:p w14:paraId="1119A46A">
            <w:pPr>
              <w:pStyle w:val="71"/>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②污染物产生情况参照《污染源源强核算技术指南 锅炉》（HJ991-2018）中锅炉烟气污染物公式：</w:t>
            </w:r>
          </w:p>
          <w:p w14:paraId="0459B07B">
            <w:pPr>
              <w:spacing w:line="360" w:lineRule="auto"/>
              <w:ind w:firstLine="480" w:firstLineChars="200"/>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pict>
                <v:shape id="Object 11" o:spid="_x0000_s1028" o:spt="75" type="#_x0000_t75" style="position:absolute;left:0pt;margin-left:90.05pt;margin-top:0.1pt;height:60.75pt;width:138.65pt;z-index:251661312;mso-width-relative:page;mso-height-relative:page;" o:ole="t" filled="f" o:preferrelative="t" stroked="f" coordsize="21600,21600">
                  <v:path/>
                  <v:fill on="f" focussize="0,0"/>
                  <v:stroke on="f"/>
                  <v:imagedata r:id="rId22" o:title=""/>
                  <o:lock v:ext="edit" aspectratio="t"/>
                </v:shape>
                <o:OLEObject Type="Embed" ProgID="Equations" ShapeID="Object 11" DrawAspect="Content" ObjectID="_1468075727" r:id="rId21">
                  <o:LockedField>false</o:LockedField>
                </o:OLEObject>
              </w:pict>
            </w:r>
            <w:r>
              <w:rPr>
                <w:rFonts w:hint="default" w:ascii="Times New Roman" w:hAnsi="Times New Roman" w:cs="Times New Roman"/>
                <w:color w:val="auto"/>
                <w:sz w:val="24"/>
                <w:szCs w:val="24"/>
                <w:highlight w:val="none"/>
              </w:rPr>
              <w:t>a.颗粒物</w:t>
            </w:r>
          </w:p>
          <w:p w14:paraId="187685C0">
            <w:pPr>
              <w:keepNext w:val="0"/>
              <w:keepLines w:val="0"/>
              <w:pageBreakBefore w:val="0"/>
              <w:widowControl w:val="0"/>
              <w:kinsoku/>
              <w:wordWrap/>
              <w:overflowPunct/>
              <w:topLinePunct w:val="0"/>
              <w:autoSpaceDE/>
              <w:autoSpaceDN/>
              <w:bidi w:val="0"/>
              <w:spacing w:line="300" w:lineRule="auto"/>
              <w:ind w:firstLine="480" w:firstLineChars="200"/>
              <w:jc w:val="left"/>
              <w:rPr>
                <w:rFonts w:hint="default" w:ascii="Times New Roman" w:hAnsi="Times New Roman" w:cs="Times New Roman"/>
                <w:color w:val="auto"/>
                <w:sz w:val="24"/>
                <w:szCs w:val="24"/>
                <w:highlight w:val="none"/>
              </w:rPr>
            </w:pPr>
          </w:p>
          <w:p w14:paraId="4C6C55ED">
            <w:pPr>
              <w:keepNext w:val="0"/>
              <w:keepLines w:val="0"/>
              <w:pageBreakBefore w:val="0"/>
              <w:widowControl w:val="0"/>
              <w:kinsoku/>
              <w:wordWrap/>
              <w:overflowPunct/>
              <w:topLinePunct w:val="0"/>
              <w:autoSpaceDE/>
              <w:autoSpaceDN/>
              <w:bidi w:val="0"/>
              <w:spacing w:line="300" w:lineRule="auto"/>
              <w:ind w:firstLine="480" w:firstLineChars="200"/>
              <w:jc w:val="left"/>
              <w:rPr>
                <w:rFonts w:hint="default" w:ascii="Times New Roman" w:hAnsi="Times New Roman" w:cs="Times New Roman"/>
                <w:color w:val="auto"/>
                <w:sz w:val="24"/>
                <w:szCs w:val="24"/>
                <w:highlight w:val="none"/>
              </w:rPr>
            </w:pPr>
          </w:p>
          <w:p w14:paraId="375CD6DE">
            <w:pPr>
              <w:keepNext w:val="0"/>
              <w:keepLines w:val="0"/>
              <w:pageBreakBefore w:val="0"/>
              <w:widowControl w:val="0"/>
              <w:kinsoku/>
              <w:wordWrap/>
              <w:overflowPunct/>
              <w:topLinePunct w:val="0"/>
              <w:autoSpaceDE/>
              <w:autoSpaceDN/>
              <w:bidi w:val="0"/>
              <w:spacing w:line="300" w:lineRule="auto"/>
              <w:ind w:firstLine="480" w:firstLineChars="200"/>
              <w:jc w:val="left"/>
              <w:rPr>
                <w:rFonts w:hint="default" w:ascii="Times New Roman" w:hAnsi="Times New Roman" w:cs="Times New Roman"/>
                <w:color w:val="auto"/>
                <w:sz w:val="24"/>
                <w:szCs w:val="24"/>
                <w:highlight w:val="none"/>
              </w:rPr>
            </w:pPr>
          </w:p>
          <w:p w14:paraId="41BDBBDF">
            <w:pPr>
              <w:keepNext w:val="0"/>
              <w:keepLines w:val="0"/>
              <w:pageBreakBefore w:val="0"/>
              <w:widowControl w:val="0"/>
              <w:kinsoku/>
              <w:wordWrap/>
              <w:overflowPunct/>
              <w:topLinePunct w:val="0"/>
              <w:autoSpaceDE/>
              <w:autoSpaceDN/>
              <w:bidi w:val="0"/>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式中：E</w:t>
            </w:r>
            <w:r>
              <w:rPr>
                <w:rFonts w:hint="default" w:ascii="Times New Roman" w:hAnsi="Times New Roman" w:cs="Times New Roman"/>
                <w:color w:val="auto"/>
                <w:sz w:val="24"/>
                <w:szCs w:val="24"/>
                <w:highlight w:val="none"/>
                <w:vertAlign w:val="subscript"/>
              </w:rPr>
              <w:t>A</w:t>
            </w:r>
            <w:r>
              <w:rPr>
                <w:rFonts w:hint="default" w:ascii="Times New Roman" w:hAnsi="Times New Roman" w:cs="Times New Roman"/>
                <w:color w:val="auto"/>
                <w:sz w:val="24"/>
                <w:szCs w:val="24"/>
                <w:highlight w:val="none"/>
              </w:rPr>
              <w:t>－核算时段内颗粒物排放量，t；</w:t>
            </w:r>
          </w:p>
          <w:p w14:paraId="6AE25F5A">
            <w:pPr>
              <w:pStyle w:val="70"/>
              <w:keepNext w:val="0"/>
              <w:keepLines w:val="0"/>
              <w:pageBreakBefore w:val="0"/>
              <w:widowControl w:val="0"/>
              <w:kinsoku/>
              <w:wordWrap/>
              <w:overflowPunct/>
              <w:topLinePunct w:val="0"/>
              <w:autoSpaceDE/>
              <w:autoSpaceDN/>
              <w:bidi w:val="0"/>
              <w:spacing w:line="360" w:lineRule="auto"/>
              <w:ind w:firstLine="1202" w:firstLineChars="501"/>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rPr>
              <w:t>R－核算时段内锅炉燃料耗量，</w:t>
            </w:r>
            <w:r>
              <w:rPr>
                <w:rFonts w:hint="default" w:ascii="Times New Roman" w:hAnsi="Times New Roman" w:cs="Times New Roman"/>
                <w:color w:val="auto"/>
                <w:sz w:val="24"/>
                <w:szCs w:val="24"/>
                <w:highlight w:val="none"/>
                <w:lang w:val="en-US" w:eastAsia="zh-CN"/>
              </w:rPr>
              <w:t>t</w:t>
            </w:r>
            <w:r>
              <w:rPr>
                <w:rFonts w:hint="default" w:ascii="Times New Roman" w:hAnsi="Times New Roman" w:cs="Times New Roman"/>
                <w:color w:val="auto"/>
                <w:sz w:val="24"/>
                <w:szCs w:val="24"/>
                <w:highlight w:val="none"/>
                <w:lang w:eastAsia="zh-CN"/>
              </w:rPr>
              <w:t>；</w:t>
            </w:r>
          </w:p>
          <w:p w14:paraId="23412829">
            <w:pPr>
              <w:pStyle w:val="70"/>
              <w:keepNext w:val="0"/>
              <w:keepLines w:val="0"/>
              <w:pageBreakBefore w:val="0"/>
              <w:widowControl w:val="0"/>
              <w:kinsoku/>
              <w:wordWrap/>
              <w:overflowPunct/>
              <w:topLinePunct w:val="0"/>
              <w:autoSpaceDE/>
              <w:autoSpaceDN/>
              <w:bidi w:val="0"/>
              <w:spacing w:line="360" w:lineRule="auto"/>
              <w:ind w:firstLine="1202" w:firstLineChars="501"/>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A</w:t>
            </w:r>
            <w:r>
              <w:rPr>
                <w:rFonts w:hint="default" w:ascii="Times New Roman" w:hAnsi="Times New Roman" w:cs="Times New Roman"/>
                <w:color w:val="auto"/>
                <w:sz w:val="24"/>
                <w:szCs w:val="24"/>
                <w:highlight w:val="none"/>
                <w:vertAlign w:val="subscript"/>
              </w:rPr>
              <w:t>ar</w:t>
            </w:r>
            <w:r>
              <w:rPr>
                <w:rFonts w:hint="default" w:ascii="Times New Roman" w:hAnsi="Times New Roman" w:cs="Times New Roman"/>
                <w:color w:val="auto"/>
                <w:sz w:val="24"/>
                <w:szCs w:val="24"/>
                <w:highlight w:val="none"/>
              </w:rPr>
              <w:t>－收到</w:t>
            </w:r>
            <w:r>
              <w:rPr>
                <w:rFonts w:hint="default" w:ascii="Times New Roman" w:hAnsi="Times New Roman" w:cs="Times New Roman"/>
                <w:color w:val="auto"/>
                <w:sz w:val="24"/>
                <w:szCs w:val="24"/>
                <w:highlight w:val="none"/>
                <w:lang w:eastAsia="zh-CN"/>
              </w:rPr>
              <w:t>基灰分</w:t>
            </w:r>
            <w:r>
              <w:rPr>
                <w:rFonts w:hint="default" w:ascii="Times New Roman" w:hAnsi="Times New Roman" w:cs="Times New Roman"/>
                <w:color w:val="auto"/>
                <w:sz w:val="24"/>
                <w:szCs w:val="24"/>
                <w:highlight w:val="none"/>
              </w:rPr>
              <w:t>的质量分数，取</w:t>
            </w:r>
            <w:r>
              <w:rPr>
                <w:rFonts w:hint="eastAsia" w:ascii="Times New Roman" w:hAnsi="Times New Roman" w:cs="Times New Roman"/>
                <w:color w:val="auto"/>
                <w:sz w:val="24"/>
                <w:szCs w:val="24"/>
                <w:highlight w:val="none"/>
                <w:lang w:val="en-US" w:eastAsia="zh-CN"/>
              </w:rPr>
              <w:t>16.33</w:t>
            </w:r>
            <w:r>
              <w:rPr>
                <w:rFonts w:hint="default" w:ascii="Times New Roman" w:hAnsi="Times New Roman" w:cs="Times New Roman"/>
                <w:color w:val="auto"/>
                <w:sz w:val="24"/>
                <w:szCs w:val="24"/>
                <w:highlight w:val="none"/>
              </w:rPr>
              <w:t>；</w:t>
            </w:r>
          </w:p>
          <w:p w14:paraId="02FC8C78">
            <w:pPr>
              <w:pStyle w:val="70"/>
              <w:keepNext w:val="0"/>
              <w:keepLines w:val="0"/>
              <w:pageBreakBefore w:val="0"/>
              <w:widowControl w:val="0"/>
              <w:kinsoku/>
              <w:wordWrap/>
              <w:overflowPunct/>
              <w:topLinePunct w:val="0"/>
              <w:autoSpaceDE/>
              <w:autoSpaceDN/>
              <w:bidi w:val="0"/>
              <w:spacing w:line="360" w:lineRule="auto"/>
              <w:ind w:firstLine="1202" w:firstLineChars="501"/>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vertAlign w:val="subscript"/>
              </w:rPr>
              <w:t>fh</w:t>
            </w:r>
            <w:r>
              <w:rPr>
                <w:rFonts w:hint="default" w:ascii="Times New Roman" w:hAnsi="Times New Roman" w:cs="Times New Roman"/>
                <w:color w:val="auto"/>
                <w:sz w:val="24"/>
                <w:szCs w:val="24"/>
                <w:highlight w:val="none"/>
              </w:rPr>
              <w:t>－锅炉烟气带出的飞灰份额</w:t>
            </w:r>
            <w:r>
              <w:rPr>
                <w:rFonts w:hint="eastAsia" w:ascii="Times New Roman" w:hAnsi="Times New Roman" w:cs="Times New Roman"/>
                <w:color w:val="auto"/>
                <w:sz w:val="24"/>
                <w:szCs w:val="24"/>
                <w:highlight w:val="none"/>
                <w:lang w:eastAsia="zh-CN"/>
              </w:rPr>
              <w:t>，</w:t>
            </w:r>
            <w:r>
              <w:rPr>
                <w:rFonts w:hint="eastAsia" w:ascii="Times New Roman" w:hAnsi="Times New Roman" w:cs="Times New Roman"/>
                <w:color w:val="auto"/>
                <w:sz w:val="24"/>
                <w:szCs w:val="24"/>
                <w:highlight w:val="none"/>
                <w:lang w:val="en-US" w:eastAsia="zh-CN"/>
              </w:rPr>
              <w:t>20</w:t>
            </w:r>
            <w:r>
              <w:rPr>
                <w:rFonts w:hint="default" w:ascii="Times New Roman" w:hAnsi="Times New Roman" w:cs="Times New Roman"/>
                <w:color w:val="auto"/>
                <w:sz w:val="24"/>
                <w:szCs w:val="24"/>
                <w:highlight w:val="none"/>
              </w:rPr>
              <w:t>；</w:t>
            </w:r>
          </w:p>
          <w:p w14:paraId="0446B357">
            <w:pPr>
              <w:pStyle w:val="70"/>
              <w:keepNext w:val="0"/>
              <w:keepLines w:val="0"/>
              <w:pageBreakBefore w:val="0"/>
              <w:widowControl w:val="0"/>
              <w:kinsoku/>
              <w:wordWrap/>
              <w:overflowPunct/>
              <w:topLinePunct w:val="0"/>
              <w:autoSpaceDE/>
              <w:autoSpaceDN/>
              <w:bidi w:val="0"/>
              <w:spacing w:line="360" w:lineRule="auto"/>
              <w:ind w:firstLine="1202" w:firstLineChars="501"/>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η</w:t>
            </w:r>
            <w:r>
              <w:rPr>
                <w:rFonts w:hint="default" w:ascii="Times New Roman" w:hAnsi="Times New Roman" w:cs="Times New Roman"/>
                <w:color w:val="auto"/>
                <w:sz w:val="24"/>
                <w:szCs w:val="24"/>
                <w:highlight w:val="none"/>
                <w:vertAlign w:val="subscript"/>
              </w:rPr>
              <w:t>c</w:t>
            </w:r>
            <w:r>
              <w:rPr>
                <w:rFonts w:hint="default" w:ascii="Times New Roman" w:hAnsi="Times New Roman" w:cs="Times New Roman"/>
                <w:color w:val="auto"/>
                <w:sz w:val="24"/>
                <w:szCs w:val="24"/>
                <w:highlight w:val="none"/>
              </w:rPr>
              <w:t>－综合除尘效率，取</w:t>
            </w:r>
            <w:r>
              <w:rPr>
                <w:rFonts w:hint="default" w:ascii="Times New Roman" w:hAnsi="Times New Roman" w:cs="Times New Roman"/>
                <w:color w:val="auto"/>
                <w:sz w:val="24"/>
                <w:szCs w:val="24"/>
                <w:highlight w:val="none"/>
                <w:lang w:val="en-US" w:eastAsia="zh-CN"/>
              </w:rPr>
              <w:t>99</w:t>
            </w:r>
            <w:r>
              <w:rPr>
                <w:rFonts w:hint="default" w:ascii="Times New Roman" w:hAnsi="Times New Roman" w:cs="Times New Roman"/>
                <w:color w:val="auto"/>
                <w:sz w:val="24"/>
                <w:szCs w:val="24"/>
                <w:highlight w:val="none"/>
              </w:rPr>
              <w:t>；</w:t>
            </w:r>
          </w:p>
          <w:p w14:paraId="35445835">
            <w:pPr>
              <w:pStyle w:val="70"/>
              <w:keepNext w:val="0"/>
              <w:keepLines w:val="0"/>
              <w:pageBreakBefore w:val="0"/>
              <w:widowControl w:val="0"/>
              <w:kinsoku/>
              <w:wordWrap/>
              <w:overflowPunct/>
              <w:topLinePunct w:val="0"/>
              <w:autoSpaceDE/>
              <w:autoSpaceDN/>
              <w:bidi w:val="0"/>
              <w:spacing w:line="360" w:lineRule="auto"/>
              <w:ind w:firstLine="1202" w:firstLineChars="501"/>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t>C</w:t>
            </w:r>
            <w:r>
              <w:rPr>
                <w:rFonts w:hint="default" w:ascii="Times New Roman" w:hAnsi="Times New Roman" w:cs="Times New Roman"/>
                <w:color w:val="auto"/>
                <w:sz w:val="24"/>
                <w:szCs w:val="24"/>
                <w:highlight w:val="none"/>
                <w:vertAlign w:val="subscript"/>
              </w:rPr>
              <w:t>fh</w:t>
            </w:r>
            <w:r>
              <w:rPr>
                <w:rFonts w:hint="default" w:ascii="Times New Roman" w:hAnsi="Times New Roman" w:cs="Times New Roman"/>
                <w:color w:val="auto"/>
                <w:sz w:val="24"/>
                <w:szCs w:val="24"/>
                <w:highlight w:val="none"/>
              </w:rPr>
              <w:t>－飞灰中的可燃物含量，取</w:t>
            </w:r>
            <w:r>
              <w:rPr>
                <w:rFonts w:hint="default" w:ascii="Times New Roman" w:hAnsi="Times New Roman" w:cs="Times New Roman"/>
                <w:color w:val="auto"/>
                <w:sz w:val="24"/>
                <w:szCs w:val="24"/>
                <w:highlight w:val="none"/>
                <w:lang w:val="en-US" w:eastAsia="zh-CN"/>
              </w:rPr>
              <w:t>10</w:t>
            </w:r>
            <w:r>
              <w:rPr>
                <w:rFonts w:hint="default" w:ascii="Times New Roman" w:hAnsi="Times New Roman" w:cs="Times New Roman"/>
                <w:color w:val="auto"/>
                <w:sz w:val="24"/>
                <w:szCs w:val="24"/>
                <w:highlight w:val="none"/>
              </w:rPr>
              <w:t>。</w:t>
            </w:r>
          </w:p>
          <w:p w14:paraId="1F3965B3">
            <w:pPr>
              <w:spacing w:line="360" w:lineRule="auto"/>
              <w:ind w:firstLine="480" w:firstLineChars="200"/>
              <w:rPr>
                <w:rFonts w:hint="default" w:ascii="Times New Roman" w:hAnsi="Times New Roman" w:cs="Times New Roman"/>
                <w:color w:val="auto"/>
                <w:sz w:val="24"/>
                <w:szCs w:val="24"/>
                <w:highlight w:val="none"/>
              </w:rPr>
            </w:pPr>
            <w:r>
              <w:rPr>
                <w:rFonts w:eastAsiaTheme="minorEastAsia"/>
                <w:color w:val="auto"/>
                <w:sz w:val="24"/>
              </w:rPr>
              <w:t>根据计算结果可知，热风炉颗粒物治理前产生量为</w:t>
            </w:r>
            <w:r>
              <w:rPr>
                <w:rFonts w:hint="eastAsia" w:eastAsiaTheme="minorEastAsia"/>
                <w:color w:val="auto"/>
                <w:sz w:val="24"/>
                <w:lang w:val="en-US" w:eastAsia="zh-CN"/>
              </w:rPr>
              <w:t>73.09</w:t>
            </w:r>
            <w:r>
              <w:rPr>
                <w:rFonts w:eastAsiaTheme="minorEastAsia"/>
                <w:color w:val="auto"/>
                <w:sz w:val="24"/>
              </w:rPr>
              <w:t>t/a，排放速率为</w:t>
            </w:r>
            <w:r>
              <w:rPr>
                <w:rFonts w:hint="eastAsia" w:eastAsiaTheme="minorEastAsia"/>
                <w:color w:val="auto"/>
                <w:sz w:val="24"/>
                <w:lang w:val="en-US" w:eastAsia="zh-CN"/>
              </w:rPr>
              <w:t>38.07</w:t>
            </w:r>
            <w:r>
              <w:rPr>
                <w:rFonts w:eastAsiaTheme="minorEastAsia"/>
                <w:color w:val="auto"/>
                <w:sz w:val="24"/>
              </w:rPr>
              <w:t>kg/h，排放浓度为</w:t>
            </w:r>
            <w:r>
              <w:rPr>
                <w:rFonts w:hint="eastAsia" w:eastAsiaTheme="minorEastAsia"/>
                <w:color w:val="auto"/>
                <w:sz w:val="24"/>
                <w:lang w:val="en-US" w:eastAsia="zh-CN"/>
              </w:rPr>
              <w:t>5915.68m</w:t>
            </w:r>
            <w:r>
              <w:rPr>
                <w:rFonts w:eastAsiaTheme="minorEastAsia"/>
                <w:color w:val="auto"/>
                <w:sz w:val="24"/>
              </w:rPr>
              <w:t>g/Nm</w:t>
            </w:r>
            <w:r>
              <w:rPr>
                <w:rFonts w:eastAsiaTheme="minorEastAsia"/>
                <w:color w:val="auto"/>
                <w:sz w:val="24"/>
                <w:vertAlign w:val="superscript"/>
              </w:rPr>
              <w:t>3</w:t>
            </w:r>
            <w:r>
              <w:rPr>
                <w:rFonts w:eastAsiaTheme="minorEastAsia"/>
                <w:color w:val="auto"/>
                <w:sz w:val="24"/>
              </w:rPr>
              <w:t>；</w:t>
            </w:r>
            <w:r>
              <w:rPr>
                <w:rFonts w:hint="eastAsia" w:eastAsiaTheme="minorEastAsia"/>
                <w:color w:val="auto"/>
                <w:sz w:val="24"/>
                <w:lang w:eastAsia="zh-CN"/>
              </w:rPr>
              <w:t>治理后</w:t>
            </w:r>
            <w:r>
              <w:rPr>
                <w:rFonts w:eastAsiaTheme="minorEastAsia"/>
                <w:color w:val="auto"/>
                <w:sz w:val="24"/>
              </w:rPr>
              <w:t>排放量为</w:t>
            </w:r>
            <w:r>
              <w:rPr>
                <w:rFonts w:hint="eastAsia" w:eastAsiaTheme="minorEastAsia"/>
                <w:color w:val="auto"/>
                <w:sz w:val="24"/>
                <w:lang w:val="en-US" w:eastAsia="zh-CN"/>
              </w:rPr>
              <w:t>0.73</w:t>
            </w:r>
            <w:r>
              <w:rPr>
                <w:rFonts w:eastAsiaTheme="minorEastAsia"/>
                <w:color w:val="auto"/>
                <w:sz w:val="24"/>
              </w:rPr>
              <w:t>t/a，排放速率为</w:t>
            </w:r>
            <w:r>
              <w:rPr>
                <w:rFonts w:hint="eastAsia" w:eastAsiaTheme="minorEastAsia"/>
                <w:color w:val="auto"/>
                <w:sz w:val="24"/>
                <w:lang w:val="en-US" w:eastAsia="zh-CN"/>
              </w:rPr>
              <w:t>0.38</w:t>
            </w:r>
            <w:r>
              <w:rPr>
                <w:rFonts w:eastAsiaTheme="minorEastAsia"/>
                <w:color w:val="auto"/>
                <w:sz w:val="24"/>
              </w:rPr>
              <w:t>kg/h，排放浓度为</w:t>
            </w:r>
            <w:r>
              <w:rPr>
                <w:rFonts w:hint="eastAsia" w:eastAsiaTheme="minorEastAsia"/>
                <w:color w:val="auto"/>
                <w:sz w:val="24"/>
                <w:lang w:val="en-US" w:eastAsia="zh-CN"/>
              </w:rPr>
              <w:t>59.16</w:t>
            </w:r>
            <w:r>
              <w:rPr>
                <w:rFonts w:eastAsiaTheme="minorEastAsia"/>
                <w:color w:val="auto"/>
                <w:sz w:val="24"/>
              </w:rPr>
              <w:t>mg/Nm</w:t>
            </w:r>
            <w:r>
              <w:rPr>
                <w:rFonts w:eastAsiaTheme="minorEastAsia"/>
                <w:color w:val="auto"/>
                <w:sz w:val="24"/>
                <w:vertAlign w:val="superscript"/>
              </w:rPr>
              <w:t>3</w:t>
            </w:r>
            <w:r>
              <w:rPr>
                <w:rFonts w:eastAsiaTheme="minorEastAsia"/>
                <w:color w:val="auto"/>
                <w:sz w:val="24"/>
              </w:rPr>
              <w:t>。</w:t>
            </w:r>
          </w:p>
          <w:p w14:paraId="185E4C9C">
            <w:pPr>
              <w:pStyle w:val="70"/>
              <w:keepNext w:val="0"/>
              <w:keepLines w:val="0"/>
              <w:pageBreakBefore w:val="0"/>
              <w:widowControl w:val="0"/>
              <w:kinsoku/>
              <w:wordWrap/>
              <w:overflowPunct/>
              <w:topLinePunct w:val="0"/>
              <w:autoSpaceDE/>
              <w:autoSpaceDN/>
              <w:bidi w:val="0"/>
              <w:spacing w:line="400" w:lineRule="exact"/>
              <w:rPr>
                <w:rFonts w:hint="default" w:ascii="Times New Roman" w:hAnsi="Times New Roman" w:cs="Times New Roman"/>
                <w:color w:val="auto"/>
                <w:sz w:val="24"/>
                <w:szCs w:val="24"/>
                <w:highlight w:val="none"/>
              </w:rPr>
            </w:pPr>
            <w:r>
              <w:rPr>
                <w:rFonts w:hint="default" w:ascii="Times New Roman" w:hAnsi="Times New Roman" w:cs="Times New Roman"/>
                <w:color w:val="auto"/>
                <w:sz w:val="24"/>
                <w:szCs w:val="24"/>
                <w:highlight w:val="none"/>
              </w:rPr>
              <w:pict>
                <v:shape id="Object 12" o:spid="_x0000_s1029" o:spt="75" type="#_x0000_t75" style="position:absolute;left:0pt;margin-left:83.9pt;margin-top:11.85pt;height:42.95pt;width:191.45pt;z-index:251660288;mso-width-relative:page;mso-height-relative:page;" o:ole="t" filled="f" o:preferrelative="t" stroked="f" coordsize="21600,21600">
                  <v:path/>
                  <v:fill on="f" focussize="0,0"/>
                  <v:stroke on="f"/>
                  <v:imagedata r:id="rId24" o:title=""/>
                  <o:lock v:ext="edit" aspectratio="t"/>
                </v:shape>
                <o:OLEObject Type="Embed" ProgID="Equations" ShapeID="Object 12" DrawAspect="Content" ObjectID="_1468075728" r:id="rId23">
                  <o:LockedField>false</o:LockedField>
                </o:OLEObject>
              </w:pict>
            </w:r>
            <w:r>
              <w:rPr>
                <w:rFonts w:hint="default" w:ascii="Times New Roman" w:hAnsi="Times New Roman" w:cs="Times New Roman"/>
                <w:color w:val="auto"/>
                <w:sz w:val="24"/>
                <w:szCs w:val="24"/>
                <w:highlight w:val="none"/>
              </w:rPr>
              <w:t>b.二氧化硫</w:t>
            </w:r>
          </w:p>
          <w:p w14:paraId="6D234BB6">
            <w:pPr>
              <w:pStyle w:val="70"/>
              <w:keepNext w:val="0"/>
              <w:keepLines w:val="0"/>
              <w:pageBreakBefore w:val="0"/>
              <w:widowControl w:val="0"/>
              <w:kinsoku/>
              <w:wordWrap/>
              <w:overflowPunct/>
              <w:topLinePunct w:val="0"/>
              <w:autoSpaceDE/>
              <w:autoSpaceDN/>
              <w:bidi w:val="0"/>
              <w:spacing w:line="400" w:lineRule="exact"/>
              <w:ind w:left="0" w:leftChars="0" w:firstLine="0" w:firstLineChars="0"/>
              <w:jc w:val="both"/>
              <w:rPr>
                <w:rFonts w:hint="default" w:ascii="Times New Roman" w:hAnsi="Times New Roman" w:cs="Times New Roman"/>
                <w:color w:val="auto"/>
                <w:sz w:val="24"/>
                <w:szCs w:val="24"/>
                <w:highlight w:val="none"/>
              </w:rPr>
            </w:pPr>
          </w:p>
          <w:p w14:paraId="6CDD28F2">
            <w:pPr>
              <w:keepNext w:val="0"/>
              <w:keepLines w:val="0"/>
              <w:pageBreakBefore w:val="0"/>
              <w:widowControl w:val="0"/>
              <w:kinsoku/>
              <w:wordWrap/>
              <w:overflowPunct/>
              <w:topLinePunct w:val="0"/>
              <w:autoSpaceDE/>
              <w:autoSpaceDN/>
              <w:bidi w:val="0"/>
              <w:spacing w:line="400" w:lineRule="exact"/>
              <w:jc w:val="left"/>
              <w:rPr>
                <w:rFonts w:hint="default" w:ascii="Times New Roman" w:hAnsi="Times New Roman" w:cs="Times New Roman"/>
                <w:color w:val="auto"/>
                <w:sz w:val="24"/>
                <w:szCs w:val="24"/>
                <w:highlight w:val="none"/>
              </w:rPr>
            </w:pPr>
          </w:p>
          <w:p w14:paraId="5E015C6D">
            <w:pPr>
              <w:keepNext w:val="0"/>
              <w:keepLines w:val="0"/>
              <w:pageBreakBefore w:val="0"/>
              <w:widowControl w:val="0"/>
              <w:kinsoku/>
              <w:wordWrap/>
              <w:overflowPunct/>
              <w:topLinePunct w:val="0"/>
              <w:autoSpaceDE/>
              <w:autoSpaceDN/>
              <w:bidi w:val="0"/>
              <w:spacing w:line="360" w:lineRule="auto"/>
              <w:ind w:firstLine="480" w:firstLineChars="200"/>
              <w:jc w:val="left"/>
              <w:rPr>
                <w:rFonts w:hint="default" w:ascii="Times New Roman" w:hAnsi="Times New Roman" w:eastAsia="宋体" w:cs="Times New Roman"/>
                <w:color w:val="auto"/>
                <w:sz w:val="24"/>
                <w:szCs w:val="24"/>
                <w:highlight w:val="none"/>
              </w:rPr>
            </w:pPr>
            <w:r>
              <w:rPr>
                <w:rFonts w:hint="default" w:ascii="Times New Roman" w:hAnsi="Times New Roman" w:cs="Times New Roman"/>
                <w:color w:val="auto"/>
                <w:sz w:val="24"/>
                <w:szCs w:val="24"/>
                <w:highlight w:val="none"/>
              </w:rPr>
              <w:t>式中：</w:t>
            </w:r>
            <w:r>
              <w:rPr>
                <w:rFonts w:hint="default" w:ascii="Times New Roman" w:hAnsi="Times New Roman" w:eastAsia="宋体" w:cs="Times New Roman"/>
                <w:color w:val="auto"/>
                <w:sz w:val="24"/>
                <w:szCs w:val="24"/>
                <w:highlight w:val="none"/>
              </w:rPr>
              <w:t>E</w:t>
            </w:r>
            <w:r>
              <w:rPr>
                <w:rFonts w:hint="default" w:ascii="Times New Roman" w:hAnsi="Times New Roman" w:eastAsia="宋体" w:cs="Times New Roman"/>
                <w:color w:val="auto"/>
                <w:sz w:val="24"/>
                <w:szCs w:val="24"/>
                <w:highlight w:val="none"/>
                <w:vertAlign w:val="subscript"/>
              </w:rPr>
              <w:t>SO2</w:t>
            </w:r>
            <w:r>
              <w:rPr>
                <w:rFonts w:hint="default" w:ascii="Times New Roman" w:hAnsi="Times New Roman" w:eastAsia="宋体" w:cs="Times New Roman"/>
                <w:color w:val="auto"/>
                <w:sz w:val="24"/>
                <w:szCs w:val="24"/>
                <w:highlight w:val="none"/>
              </w:rPr>
              <w:t>－核算时段内二氧化硫排放量，t；</w:t>
            </w:r>
          </w:p>
          <w:p w14:paraId="46B3C31F">
            <w:pPr>
              <w:keepNext w:val="0"/>
              <w:keepLines w:val="0"/>
              <w:pageBreakBefore w:val="0"/>
              <w:widowControl w:val="0"/>
              <w:kinsoku/>
              <w:wordWrap/>
              <w:overflowPunct/>
              <w:topLinePunct w:val="0"/>
              <w:autoSpaceDE/>
              <w:autoSpaceDN/>
              <w:bidi w:val="0"/>
              <w:spacing w:line="360" w:lineRule="auto"/>
              <w:ind w:firstLine="1200" w:firstLineChars="5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R－核算时段内锅炉燃料耗量</w:t>
            </w:r>
            <w:r>
              <w:rPr>
                <w:rFonts w:hint="default" w:ascii="Times New Roman" w:hAnsi="Times New Roman" w:eastAsia="宋体" w:cs="Times New Roman"/>
                <w:color w:val="auto"/>
                <w:sz w:val="24"/>
                <w:szCs w:val="24"/>
                <w:highlight w:val="none"/>
                <w:lang w:eastAsia="zh-CN"/>
              </w:rPr>
              <w:t>；</w:t>
            </w:r>
          </w:p>
          <w:p w14:paraId="6D3D4CC5">
            <w:pPr>
              <w:keepNext w:val="0"/>
              <w:keepLines w:val="0"/>
              <w:pageBreakBefore w:val="0"/>
              <w:widowControl w:val="0"/>
              <w:kinsoku/>
              <w:wordWrap/>
              <w:overflowPunct/>
              <w:topLinePunct w:val="0"/>
              <w:autoSpaceDE/>
              <w:autoSpaceDN/>
              <w:bidi w:val="0"/>
              <w:spacing w:line="360" w:lineRule="auto"/>
              <w:ind w:firstLine="1200" w:firstLineChars="5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S</w:t>
            </w:r>
            <w:r>
              <w:rPr>
                <w:rFonts w:hint="default" w:ascii="Times New Roman" w:hAnsi="Times New Roman" w:eastAsia="宋体" w:cs="Times New Roman"/>
                <w:color w:val="auto"/>
                <w:sz w:val="24"/>
                <w:szCs w:val="24"/>
                <w:highlight w:val="none"/>
                <w:vertAlign w:val="subscript"/>
              </w:rPr>
              <w:t>ar</w:t>
            </w:r>
            <w:r>
              <w:rPr>
                <w:rFonts w:hint="default" w:ascii="Times New Roman" w:hAnsi="Times New Roman" w:eastAsia="宋体" w:cs="Times New Roman"/>
                <w:color w:val="auto"/>
                <w:sz w:val="24"/>
                <w:szCs w:val="24"/>
                <w:highlight w:val="none"/>
              </w:rPr>
              <w:t>－收到</w:t>
            </w:r>
            <w:r>
              <w:rPr>
                <w:rFonts w:hint="default" w:ascii="Times New Roman" w:hAnsi="Times New Roman" w:eastAsia="宋体" w:cs="Times New Roman"/>
                <w:color w:val="auto"/>
                <w:sz w:val="24"/>
                <w:szCs w:val="24"/>
                <w:highlight w:val="none"/>
                <w:lang w:eastAsia="zh-CN"/>
              </w:rPr>
              <w:t>基硫</w:t>
            </w:r>
            <w:r>
              <w:rPr>
                <w:rFonts w:hint="default" w:ascii="Times New Roman" w:hAnsi="Times New Roman" w:eastAsia="宋体" w:cs="Times New Roman"/>
                <w:color w:val="auto"/>
                <w:sz w:val="24"/>
                <w:szCs w:val="24"/>
                <w:highlight w:val="none"/>
              </w:rPr>
              <w:t>的质量分数，</w:t>
            </w:r>
            <w:r>
              <w:rPr>
                <w:rFonts w:hint="default" w:ascii="Times New Roman" w:hAnsi="Times New Roman" w:eastAsia="宋体" w:cs="Times New Roman"/>
                <w:color w:val="auto"/>
                <w:sz w:val="24"/>
                <w:szCs w:val="24"/>
                <w:highlight w:val="none"/>
                <w:lang w:eastAsia="zh-CN"/>
              </w:rPr>
              <w:t>取</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cs="Times New Roman"/>
                <w:color w:val="auto"/>
                <w:sz w:val="24"/>
                <w:szCs w:val="24"/>
                <w:highlight w:val="none"/>
                <w:lang w:val="en-US" w:eastAsia="zh-CN"/>
              </w:rPr>
              <w:t>0</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5A3FE4DB">
            <w:pPr>
              <w:keepNext w:val="0"/>
              <w:keepLines w:val="0"/>
              <w:pageBreakBefore w:val="0"/>
              <w:widowControl w:val="0"/>
              <w:kinsoku/>
              <w:wordWrap/>
              <w:overflowPunct/>
              <w:topLinePunct w:val="0"/>
              <w:autoSpaceDE/>
              <w:autoSpaceDN/>
              <w:bidi w:val="0"/>
              <w:spacing w:line="360" w:lineRule="auto"/>
              <w:ind w:firstLine="1200" w:firstLineChars="500"/>
              <w:jc w:val="left"/>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vertAlign w:val="baseline"/>
                <w:lang w:val="en-US" w:eastAsia="zh-CN"/>
              </w:rPr>
              <w:t>q</w:t>
            </w:r>
            <w:r>
              <w:rPr>
                <w:rFonts w:hint="eastAsia" w:cs="Times New Roman"/>
                <w:color w:val="auto"/>
                <w:sz w:val="24"/>
                <w:szCs w:val="24"/>
                <w:highlight w:val="none"/>
                <w:vertAlign w:val="subscript"/>
                <w:lang w:val="en-US" w:eastAsia="zh-CN"/>
              </w:rPr>
              <w:t>4</w:t>
            </w:r>
            <w:r>
              <w:rPr>
                <w:rFonts w:hint="default" w:ascii="Times New Roman" w:hAnsi="Times New Roman" w:eastAsia="宋体" w:cs="Times New Roman"/>
                <w:color w:val="auto"/>
                <w:sz w:val="24"/>
                <w:szCs w:val="24"/>
                <w:highlight w:val="none"/>
              </w:rPr>
              <w:t>－锅炉机械不完全燃烧热损失，</w:t>
            </w:r>
            <w:r>
              <w:rPr>
                <w:rFonts w:hint="default" w:ascii="Times New Roman" w:hAnsi="Times New Roman" w:eastAsia="宋体" w:cs="Times New Roman"/>
                <w:color w:val="auto"/>
                <w:sz w:val="24"/>
                <w:szCs w:val="24"/>
                <w:highlight w:val="none"/>
                <w:lang w:eastAsia="zh-CN"/>
              </w:rPr>
              <w:t>取</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166F82C7">
            <w:pPr>
              <w:keepNext w:val="0"/>
              <w:keepLines w:val="0"/>
              <w:pageBreakBefore w:val="0"/>
              <w:widowControl w:val="0"/>
              <w:kinsoku/>
              <w:wordWrap/>
              <w:overflowPunct/>
              <w:topLinePunct w:val="0"/>
              <w:autoSpaceDE/>
              <w:autoSpaceDN/>
              <w:bidi w:val="0"/>
              <w:spacing w:line="360" w:lineRule="auto"/>
              <w:ind w:firstLine="1200" w:firstLineChars="5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η</w:t>
            </w:r>
            <w:r>
              <w:rPr>
                <w:rFonts w:hint="default" w:ascii="Times New Roman" w:hAnsi="Times New Roman" w:eastAsia="宋体" w:cs="Times New Roman"/>
                <w:color w:val="auto"/>
                <w:sz w:val="24"/>
                <w:szCs w:val="24"/>
                <w:highlight w:val="none"/>
                <w:vertAlign w:val="subscript"/>
              </w:rPr>
              <w:t>s</w:t>
            </w:r>
            <w:r>
              <w:rPr>
                <w:rFonts w:hint="default" w:ascii="Times New Roman" w:hAnsi="Times New Roman" w:eastAsia="宋体" w:cs="Times New Roman"/>
                <w:color w:val="auto"/>
                <w:sz w:val="24"/>
                <w:szCs w:val="24"/>
                <w:highlight w:val="none"/>
              </w:rPr>
              <w:t>－脱硫效率，</w:t>
            </w:r>
            <w:r>
              <w:rPr>
                <w:rFonts w:hint="default" w:ascii="Times New Roman" w:hAnsi="Times New Roman" w:eastAsia="宋体" w:cs="Times New Roman"/>
                <w:color w:val="auto"/>
                <w:sz w:val="24"/>
                <w:szCs w:val="24"/>
                <w:highlight w:val="none"/>
                <w:lang w:val="en-US" w:eastAsia="zh-CN"/>
              </w:rPr>
              <w:t>0</w:t>
            </w:r>
            <w:r>
              <w:rPr>
                <w:rFonts w:hint="default" w:ascii="Times New Roman" w:hAnsi="Times New Roman" w:eastAsia="宋体" w:cs="Times New Roman"/>
                <w:color w:val="auto"/>
                <w:sz w:val="24"/>
                <w:szCs w:val="24"/>
                <w:highlight w:val="none"/>
              </w:rPr>
              <w:t>；</w:t>
            </w:r>
          </w:p>
          <w:p w14:paraId="769E1CCC">
            <w:pPr>
              <w:keepNext w:val="0"/>
              <w:keepLines w:val="0"/>
              <w:pageBreakBefore w:val="0"/>
              <w:widowControl w:val="0"/>
              <w:kinsoku/>
              <w:wordWrap/>
              <w:overflowPunct/>
              <w:topLinePunct w:val="0"/>
              <w:autoSpaceDE/>
              <w:autoSpaceDN/>
              <w:bidi w:val="0"/>
              <w:spacing w:line="360" w:lineRule="auto"/>
              <w:ind w:firstLine="1200" w:firstLineChars="500"/>
              <w:jc w:val="left"/>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K－燃料中的硫燃烧后氧化成二氧化硫的份额，量纲一的量</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取</w:t>
            </w:r>
            <w:r>
              <w:rPr>
                <w:rFonts w:hint="default" w:ascii="Times New Roman" w:hAnsi="Times New Roman" w:cs="Times New Roman"/>
                <w:color w:val="auto"/>
                <w:sz w:val="24"/>
                <w:szCs w:val="24"/>
                <w:highlight w:val="none"/>
                <w:lang w:val="en-US" w:eastAsia="zh-CN"/>
              </w:rPr>
              <w:t>0.4</w:t>
            </w:r>
            <w:r>
              <w:rPr>
                <w:rFonts w:hint="default" w:ascii="Times New Roman" w:hAnsi="Times New Roman" w:eastAsia="宋体" w:cs="Times New Roman"/>
                <w:color w:val="auto"/>
                <w:sz w:val="24"/>
                <w:szCs w:val="24"/>
                <w:highlight w:val="none"/>
              </w:rPr>
              <w:t>。</w:t>
            </w:r>
          </w:p>
          <w:p w14:paraId="78834A05">
            <w:pPr>
              <w:spacing w:line="360" w:lineRule="auto"/>
              <w:ind w:firstLine="480" w:firstLineChars="200"/>
              <w:rPr>
                <w:rFonts w:hint="default" w:ascii="Times New Roman" w:hAnsi="Times New Roman" w:eastAsia="宋体" w:cs="Times New Roman"/>
                <w:color w:val="auto"/>
                <w:sz w:val="24"/>
                <w:szCs w:val="24"/>
                <w:highlight w:val="none"/>
              </w:rPr>
            </w:pPr>
            <w:r>
              <w:rPr>
                <w:rFonts w:eastAsiaTheme="minorEastAsia"/>
                <w:color w:val="auto"/>
                <w:sz w:val="24"/>
              </w:rPr>
              <w:t>经计算，热风炉二氧化硫</w:t>
            </w:r>
            <w:r>
              <w:rPr>
                <w:rFonts w:hint="eastAsia" w:eastAsiaTheme="minorEastAsia"/>
                <w:color w:val="auto"/>
                <w:sz w:val="24"/>
                <w:lang w:eastAsia="zh-CN"/>
              </w:rPr>
              <w:t>排放</w:t>
            </w:r>
            <w:r>
              <w:rPr>
                <w:rFonts w:eastAsiaTheme="minorEastAsia"/>
                <w:color w:val="auto"/>
                <w:sz w:val="24"/>
              </w:rPr>
              <w:t>量为</w:t>
            </w:r>
            <w:r>
              <w:rPr>
                <w:rFonts w:hint="eastAsia" w:eastAsiaTheme="minorEastAsia"/>
                <w:color w:val="auto"/>
                <w:sz w:val="24"/>
                <w:lang w:val="en-US" w:eastAsia="zh-CN"/>
              </w:rPr>
              <w:t>1.05</w:t>
            </w:r>
            <w:r>
              <w:rPr>
                <w:rFonts w:eastAsiaTheme="minorEastAsia"/>
                <w:color w:val="auto"/>
                <w:sz w:val="24"/>
              </w:rPr>
              <w:t>t/a，排放速率为</w:t>
            </w:r>
            <w:r>
              <w:rPr>
                <w:rFonts w:hint="eastAsia" w:eastAsiaTheme="minorEastAsia"/>
                <w:color w:val="auto"/>
                <w:sz w:val="24"/>
                <w:lang w:val="en-US" w:eastAsia="zh-CN"/>
              </w:rPr>
              <w:t>0.55</w:t>
            </w:r>
            <w:r>
              <w:rPr>
                <w:rFonts w:eastAsiaTheme="minorEastAsia"/>
                <w:color w:val="auto"/>
                <w:sz w:val="24"/>
              </w:rPr>
              <w:t>kg/h，排放浓度为</w:t>
            </w:r>
            <w:r>
              <w:rPr>
                <w:rFonts w:hint="eastAsia" w:eastAsiaTheme="minorEastAsia"/>
                <w:color w:val="auto"/>
                <w:sz w:val="24"/>
                <w:lang w:val="en-US" w:eastAsia="zh-CN"/>
              </w:rPr>
              <w:t>84.90</w:t>
            </w:r>
            <w:r>
              <w:rPr>
                <w:rFonts w:eastAsiaTheme="minorEastAsia"/>
                <w:color w:val="auto"/>
                <w:sz w:val="24"/>
              </w:rPr>
              <w:t>mg/m</w:t>
            </w:r>
            <w:r>
              <w:rPr>
                <w:rFonts w:eastAsiaTheme="minorEastAsia"/>
                <w:color w:val="auto"/>
                <w:sz w:val="24"/>
                <w:vertAlign w:val="superscript"/>
              </w:rPr>
              <w:t>3</w:t>
            </w:r>
            <w:r>
              <w:rPr>
                <w:rFonts w:eastAsiaTheme="minorEastAsia"/>
                <w:color w:val="auto"/>
                <w:sz w:val="24"/>
              </w:rPr>
              <w:t>。</w:t>
            </w:r>
          </w:p>
          <w:p w14:paraId="61A10D68">
            <w:pPr>
              <w:pStyle w:val="70"/>
              <w:keepNext w:val="0"/>
              <w:keepLines w:val="0"/>
              <w:pageBreakBefore w:val="0"/>
              <w:widowControl w:val="0"/>
              <w:kinsoku/>
              <w:wordWrap/>
              <w:overflowPunct/>
              <w:topLinePunct w:val="0"/>
              <w:autoSpaceDE/>
              <w:autoSpaceDN/>
              <w:bidi w:val="0"/>
              <w:spacing w:line="400" w:lineRule="exact"/>
              <w:ind w:left="0" w:leftChars="0" w:firstLine="480" w:firstLineChars="200"/>
              <w:rPr>
                <w:rFonts w:hint="default" w:ascii="Times New Roman" w:hAnsi="Times New Roman" w:cs="Times New Roman"/>
                <w:color w:val="auto"/>
                <w:sz w:val="24"/>
                <w:szCs w:val="24"/>
                <w:highlight w:val="none"/>
              </w:rPr>
            </w:pPr>
            <w:r>
              <w:rPr>
                <w:rFonts w:eastAsiaTheme="minorEastAsia"/>
                <w:color w:val="auto"/>
              </w:rPr>
              <w:drawing>
                <wp:anchor distT="0" distB="0" distL="0" distR="0" simplePos="0" relativeHeight="251680768" behindDoc="0" locked="0" layoutInCell="1" allowOverlap="1">
                  <wp:simplePos x="0" y="0"/>
                  <wp:positionH relativeFrom="column">
                    <wp:posOffset>863600</wp:posOffset>
                  </wp:positionH>
                  <wp:positionV relativeFrom="paragraph">
                    <wp:posOffset>223520</wp:posOffset>
                  </wp:positionV>
                  <wp:extent cx="2287905" cy="555625"/>
                  <wp:effectExtent l="0" t="0" r="17145" b="15875"/>
                  <wp:wrapNone/>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5"/>
                          <a:stretch>
                            <a:fillRect/>
                          </a:stretch>
                        </pic:blipFill>
                        <pic:spPr>
                          <a:xfrm>
                            <a:off x="0" y="0"/>
                            <a:ext cx="2287905" cy="555625"/>
                          </a:xfrm>
                          <a:prstGeom prst="rect">
                            <a:avLst/>
                          </a:prstGeom>
                        </pic:spPr>
                      </pic:pic>
                    </a:graphicData>
                  </a:graphic>
                </wp:anchor>
              </w:drawing>
            </w:r>
            <w:r>
              <w:rPr>
                <w:rFonts w:hint="default" w:ascii="Times New Roman" w:hAnsi="Times New Roman" w:cs="Times New Roman"/>
                <w:color w:val="auto"/>
                <w:sz w:val="24"/>
                <w:szCs w:val="24"/>
                <w:highlight w:val="none"/>
                <w:lang w:val="en-US" w:eastAsia="zh-CN"/>
              </w:rPr>
              <w:t>c</w:t>
            </w:r>
            <w:r>
              <w:rPr>
                <w:rFonts w:hint="default" w:ascii="Times New Roman" w:hAnsi="Times New Roman" w:cs="Times New Roman"/>
                <w:color w:val="auto"/>
                <w:sz w:val="24"/>
                <w:szCs w:val="24"/>
                <w:highlight w:val="none"/>
              </w:rPr>
              <w:t>.氮氧化物</w:t>
            </w:r>
          </w:p>
          <w:p w14:paraId="1273ECEE">
            <w:pPr>
              <w:keepNext w:val="0"/>
              <w:keepLines w:val="0"/>
              <w:pageBreakBefore w:val="0"/>
              <w:widowControl w:val="0"/>
              <w:kinsoku/>
              <w:wordWrap/>
              <w:overflowPunct/>
              <w:topLinePunct w:val="0"/>
              <w:autoSpaceDE/>
              <w:autoSpaceDN/>
              <w:bidi w:val="0"/>
              <w:spacing w:line="400" w:lineRule="exact"/>
              <w:jc w:val="center"/>
              <w:rPr>
                <w:rFonts w:hint="default" w:ascii="Times New Roman" w:hAnsi="Times New Roman" w:cs="Times New Roman"/>
                <w:color w:val="auto"/>
                <w:sz w:val="24"/>
                <w:szCs w:val="24"/>
                <w:highlight w:val="none"/>
                <w:lang w:val="en-US"/>
              </w:rPr>
            </w:pPr>
          </w:p>
          <w:p w14:paraId="59DF9869">
            <w:pPr>
              <w:pStyle w:val="12"/>
              <w:rPr>
                <w:rFonts w:hint="default" w:ascii="Times New Roman" w:hAnsi="Times New Roman" w:cs="Times New Roman"/>
                <w:color w:val="auto"/>
              </w:rPr>
            </w:pPr>
          </w:p>
          <w:p w14:paraId="290E8D9C">
            <w:pPr>
              <w:pStyle w:val="92"/>
              <w:rPr>
                <w:rFonts w:eastAsiaTheme="minorEastAsia"/>
                <w:color w:val="auto"/>
              </w:rPr>
            </w:pPr>
            <w:r>
              <w:rPr>
                <w:rFonts w:hint="default" w:ascii="Times New Roman" w:hAnsi="Times New Roman" w:cs="Times New Roman"/>
                <w:color w:val="auto"/>
                <w:sz w:val="24"/>
                <w:szCs w:val="24"/>
                <w:highlight w:val="none"/>
              </w:rPr>
              <w:t>式中：</w:t>
            </w:r>
            <w:r>
              <w:rPr>
                <w:rFonts w:eastAsiaTheme="minorEastAsia"/>
                <w:color w:val="auto"/>
              </w:rPr>
              <w:t>E</w:t>
            </w:r>
            <w:r>
              <w:rPr>
                <w:rFonts w:eastAsiaTheme="minorEastAsia"/>
                <w:color w:val="auto"/>
                <w:vertAlign w:val="subscript"/>
              </w:rPr>
              <w:t>j</w:t>
            </w:r>
            <w:r>
              <w:rPr>
                <w:rFonts w:eastAsiaTheme="minorEastAsia"/>
                <w:color w:val="auto"/>
              </w:rPr>
              <w:t>—核算时段内第j种污染物排放量，t；</w:t>
            </w:r>
          </w:p>
          <w:p w14:paraId="1012D4B2">
            <w:pPr>
              <w:pStyle w:val="92"/>
              <w:ind w:firstLine="1200" w:firstLineChars="500"/>
              <w:rPr>
                <w:rFonts w:eastAsiaTheme="minorEastAsia"/>
                <w:color w:val="auto"/>
              </w:rPr>
            </w:pPr>
            <w:r>
              <w:rPr>
                <w:rFonts w:eastAsiaTheme="minorEastAsia"/>
                <w:color w:val="auto"/>
              </w:rPr>
              <w:t>R—核算时段内燃料耗量，t；</w:t>
            </w:r>
          </w:p>
          <w:p w14:paraId="70BF2412">
            <w:pPr>
              <w:pStyle w:val="92"/>
              <w:ind w:firstLine="1200" w:firstLineChars="500"/>
              <w:rPr>
                <w:rFonts w:eastAsiaTheme="minorEastAsia"/>
                <w:color w:val="auto"/>
              </w:rPr>
            </w:pPr>
            <w:r>
              <w:rPr>
                <w:rFonts w:eastAsiaTheme="minorEastAsia"/>
                <w:color w:val="auto"/>
              </w:rPr>
              <w:t>β</w:t>
            </w:r>
            <w:r>
              <w:rPr>
                <w:rFonts w:eastAsiaTheme="minorEastAsia"/>
                <w:color w:val="auto"/>
                <w:vertAlign w:val="subscript"/>
              </w:rPr>
              <w:t>j</w:t>
            </w:r>
            <w:r>
              <w:rPr>
                <w:rFonts w:eastAsiaTheme="minorEastAsia"/>
                <w:color w:val="auto"/>
              </w:rPr>
              <w:t>—产污系数，kg/t，参见《排污许可申请与核发技术规范 锅炉》（HJ953），氮氧化物取1.02千克/吨-燃料；</w:t>
            </w:r>
          </w:p>
          <w:p w14:paraId="682BA661">
            <w:pPr>
              <w:pStyle w:val="92"/>
              <w:ind w:firstLine="1200" w:firstLineChars="500"/>
              <w:rPr>
                <w:rFonts w:eastAsiaTheme="minorEastAsia"/>
                <w:color w:val="auto"/>
              </w:rPr>
            </w:pPr>
            <w:r>
              <w:rPr>
                <w:rFonts w:eastAsiaTheme="minorEastAsia"/>
                <w:color w:val="auto"/>
              </w:rPr>
              <w:t>η—污染物脱除效率，%；本次取0%；</w:t>
            </w:r>
          </w:p>
          <w:p w14:paraId="52A4D326">
            <w:pPr>
              <w:pStyle w:val="92"/>
              <w:rPr>
                <w:rFonts w:eastAsiaTheme="minorEastAsia"/>
                <w:color w:val="auto"/>
              </w:rPr>
            </w:pPr>
            <w:r>
              <w:rPr>
                <w:rFonts w:eastAsiaTheme="minorEastAsia"/>
                <w:color w:val="auto"/>
              </w:rPr>
              <w:t>核算时段内标态干烟气排放量，m</w:t>
            </w:r>
            <w:r>
              <w:rPr>
                <w:rFonts w:eastAsiaTheme="minorEastAsia"/>
                <w:color w:val="auto"/>
                <w:vertAlign w:val="superscript"/>
              </w:rPr>
              <w:t>3</w:t>
            </w:r>
            <w:r>
              <w:rPr>
                <w:rFonts w:eastAsiaTheme="minorEastAsia"/>
                <w:color w:val="auto"/>
              </w:rPr>
              <w:t xml:space="preserve">， </w:t>
            </w:r>
          </w:p>
          <w:p w14:paraId="20D16A56">
            <w:pPr>
              <w:pStyle w:val="92"/>
              <w:rPr>
                <w:rFonts w:hint="default" w:ascii="Times New Roman" w:hAnsi="Times New Roman" w:eastAsia="宋体" w:cs="Times New Roman"/>
                <w:color w:val="auto"/>
                <w:kern w:val="2"/>
                <w:sz w:val="24"/>
                <w:szCs w:val="24"/>
                <w:highlight w:val="none"/>
                <w:lang w:val="en-US" w:eastAsia="zh-CN" w:bidi="ar-SA"/>
              </w:rPr>
            </w:pPr>
            <w:r>
              <w:rPr>
                <w:rFonts w:eastAsiaTheme="minorEastAsia"/>
                <w:color w:val="auto"/>
              </w:rPr>
              <w:t>经计算，热风炉中氮氧化物排放量为</w:t>
            </w:r>
            <w:r>
              <w:rPr>
                <w:rFonts w:hint="eastAsia" w:eastAsiaTheme="minorEastAsia"/>
                <w:color w:val="auto"/>
                <w:lang w:val="en-US" w:eastAsia="zh-CN"/>
              </w:rPr>
              <w:t>2.05</w:t>
            </w:r>
            <w:r>
              <w:rPr>
                <w:rFonts w:eastAsiaTheme="minorEastAsia"/>
                <w:color w:val="auto"/>
              </w:rPr>
              <w:t>t/a，排放速率为</w:t>
            </w:r>
            <w:r>
              <w:rPr>
                <w:rFonts w:hint="eastAsia" w:eastAsiaTheme="minorEastAsia"/>
                <w:color w:val="auto"/>
                <w:lang w:val="en-US" w:eastAsia="zh-CN"/>
              </w:rPr>
              <w:t>1.07</w:t>
            </w:r>
            <w:r>
              <w:rPr>
                <w:rFonts w:eastAsiaTheme="minorEastAsia"/>
                <w:color w:val="auto"/>
              </w:rPr>
              <w:t>kg/h，排放浓度为</w:t>
            </w:r>
            <w:r>
              <w:rPr>
                <w:rFonts w:hint="eastAsia" w:eastAsiaTheme="minorEastAsia"/>
                <w:color w:val="auto"/>
                <w:lang w:val="en-US" w:eastAsia="zh-CN"/>
              </w:rPr>
              <w:t>166.28</w:t>
            </w:r>
            <w:r>
              <w:rPr>
                <w:rFonts w:eastAsiaTheme="minorEastAsia"/>
                <w:color w:val="auto"/>
              </w:rPr>
              <w:t>mg/m。</w:t>
            </w:r>
          </w:p>
          <w:p w14:paraId="6DEE4CA6">
            <w:pPr>
              <w:spacing w:line="360" w:lineRule="auto"/>
              <w:ind w:firstLine="480" w:firstLineChars="200"/>
              <w:rPr>
                <w:rFonts w:hint="default" w:ascii="Times New Roman" w:hAnsi="Times New Roman" w:eastAsia="宋体" w:cs="Times New Roman"/>
                <w:color w:val="auto"/>
                <w:lang w:val="en-US" w:eastAsia="zh-CN"/>
              </w:rPr>
            </w:pPr>
            <w:r>
              <w:rPr>
                <w:rFonts w:hint="default" w:ascii="Times New Roman" w:hAnsi="Times New Roman" w:cs="Times New Roman"/>
                <w:color w:val="auto"/>
                <w:sz w:val="24"/>
                <w:szCs w:val="24"/>
                <w:highlight w:val="none"/>
                <w:lang w:val="en-US" w:eastAsia="zh-CN"/>
              </w:rPr>
              <w:t>本项目生物质锅炉污染物产生情况详见表4-1。</w:t>
            </w:r>
          </w:p>
          <w:p w14:paraId="4B2F76A5">
            <w:pPr>
              <w:pStyle w:val="71"/>
              <w:keepNext w:val="0"/>
              <w:keepLines w:val="0"/>
              <w:pageBreakBefore w:val="0"/>
              <w:widowControl w:val="0"/>
              <w:numPr>
                <w:ilvl w:val="0"/>
                <w:numId w:val="8"/>
              </w:numPr>
              <w:kinsoku/>
              <w:wordWrap/>
              <w:overflowPunct/>
              <w:topLinePunct w:val="0"/>
              <w:autoSpaceDE/>
              <w:autoSpaceDN/>
              <w:bidi w:val="0"/>
              <w:adjustRightInd/>
              <w:snapToGrid/>
              <w:spacing w:line="360" w:lineRule="auto"/>
              <w:ind w:left="-60" w:leftChars="0" w:firstLine="480" w:firstLineChars="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无组织废气</w:t>
            </w:r>
          </w:p>
          <w:p w14:paraId="6E366435">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hint="eastAsia" w:eastAsia="宋体"/>
                <w:color w:val="auto"/>
                <w:lang w:val="en-US" w:eastAsia="zh-CN"/>
              </w:rPr>
            </w:pPr>
            <w:r>
              <w:rPr>
                <w:rFonts w:hint="eastAsia" w:eastAsia="宋体"/>
                <w:color w:val="auto"/>
                <w:lang w:val="en-US" w:eastAsia="zh-CN"/>
              </w:rPr>
              <w:t>根据《污染源源强核算技术指南 锅炉》（HJ 991-2018）4.4.2.1“料/堆场采用全封闭形式、储罐采用密闭容器的，废气无组织源强可忽略不计”。</w:t>
            </w:r>
          </w:p>
          <w:p w14:paraId="0A3EAF68">
            <w:pPr>
              <w:pStyle w:val="71"/>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80" w:firstLineChars="200"/>
              <w:jc w:val="both"/>
              <w:textAlignment w:val="auto"/>
              <w:rPr>
                <w:rFonts w:eastAsia="宋体"/>
                <w:color w:val="auto"/>
              </w:rPr>
            </w:pPr>
            <w:r>
              <w:rPr>
                <w:rFonts w:eastAsia="宋体"/>
                <w:color w:val="auto"/>
              </w:rPr>
              <w:t>本项目厂区</w:t>
            </w:r>
            <w:r>
              <w:rPr>
                <w:rFonts w:hint="eastAsia" w:eastAsia="宋体"/>
                <w:color w:val="auto"/>
                <w:lang w:eastAsia="zh-CN"/>
              </w:rPr>
              <w:t>内设有</w:t>
            </w:r>
            <w:r>
              <w:rPr>
                <w:rFonts w:hint="eastAsia" w:eastAsia="宋体"/>
                <w:color w:val="auto"/>
              </w:rPr>
              <w:t>生物质</w:t>
            </w:r>
            <w:r>
              <w:rPr>
                <w:rFonts w:hint="eastAsia" w:eastAsia="宋体"/>
                <w:color w:val="auto"/>
                <w:lang w:eastAsia="zh-CN"/>
              </w:rPr>
              <w:t>堆场</w:t>
            </w:r>
            <w:r>
              <w:rPr>
                <w:rFonts w:eastAsia="宋体"/>
                <w:color w:val="auto"/>
              </w:rPr>
              <w:t>，</w:t>
            </w:r>
            <w:r>
              <w:rPr>
                <w:rFonts w:hint="eastAsia" w:eastAsia="宋体"/>
                <w:color w:val="auto"/>
                <w:lang w:eastAsia="zh-CN"/>
              </w:rPr>
              <w:t>为全封闭结构，生物质燃料颗粒袋装放置堆场内并通过</w:t>
            </w:r>
            <w:r>
              <w:rPr>
                <w:rFonts w:hint="eastAsia" w:eastAsia="宋体"/>
                <w:color w:val="auto"/>
              </w:rPr>
              <w:t>洒水的方式抑尘</w:t>
            </w:r>
            <w:r>
              <w:rPr>
                <w:rFonts w:eastAsia="宋体"/>
                <w:color w:val="auto"/>
              </w:rPr>
              <w:t>，产生的无组织颗粒物</w:t>
            </w:r>
            <w:r>
              <w:rPr>
                <w:rFonts w:hint="eastAsia" w:eastAsia="宋体"/>
                <w:color w:val="auto"/>
              </w:rPr>
              <w:t>较少，</w:t>
            </w:r>
            <w:r>
              <w:rPr>
                <w:rFonts w:eastAsia="宋体"/>
                <w:color w:val="auto"/>
              </w:rPr>
              <w:t>对周围环境产生的影响非常小。</w:t>
            </w:r>
          </w:p>
          <w:p w14:paraId="1FD0145C">
            <w:pPr>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480" w:firstLineChars="200"/>
              <w:textAlignment w:val="auto"/>
              <w:rPr>
                <w:rFonts w:hint="eastAsia" w:ascii="Times New Roman" w:hAnsi="Times New Roman" w:cs="Times New Roman"/>
                <w:bCs/>
                <w:color w:val="auto"/>
                <w:sz w:val="24"/>
                <w:szCs w:val="24"/>
                <w:highlight w:val="none"/>
                <w:lang w:val="en-US" w:eastAsia="zh-CN"/>
              </w:rPr>
            </w:pPr>
            <w:r>
              <w:rPr>
                <w:rFonts w:hint="eastAsia" w:ascii="Times New Roman" w:hAnsi="Times New Roman" w:cs="Times New Roman"/>
                <w:bCs/>
                <w:color w:val="auto"/>
                <w:sz w:val="24"/>
                <w:szCs w:val="24"/>
                <w:highlight w:val="none"/>
                <w:lang w:val="en-US" w:eastAsia="zh-CN"/>
              </w:rPr>
              <w:t>本项目锅炉除渣过程在</w:t>
            </w:r>
            <w:r>
              <w:rPr>
                <w:rFonts w:hint="eastAsia" w:cs="Times New Roman"/>
                <w:bCs/>
                <w:color w:val="auto"/>
                <w:sz w:val="24"/>
                <w:szCs w:val="24"/>
                <w:highlight w:val="none"/>
                <w:lang w:val="en-US" w:eastAsia="zh-CN"/>
              </w:rPr>
              <w:t>密闭</w:t>
            </w:r>
            <w:r>
              <w:rPr>
                <w:rFonts w:hint="eastAsia" w:ascii="Times New Roman" w:hAnsi="Times New Roman" w:cs="Times New Roman"/>
                <w:bCs/>
                <w:color w:val="auto"/>
                <w:sz w:val="24"/>
                <w:szCs w:val="24"/>
                <w:highlight w:val="none"/>
                <w:lang w:val="en-US" w:eastAsia="zh-CN"/>
              </w:rPr>
              <w:t>锅炉房内完成，并配合洒水降尘措施，除渣后灰渣（炉渣及</w:t>
            </w:r>
            <w:r>
              <w:rPr>
                <w:rFonts w:hint="eastAsia" w:cs="Times New Roman"/>
                <w:bCs/>
                <w:color w:val="auto"/>
                <w:sz w:val="24"/>
                <w:szCs w:val="24"/>
                <w:highlight w:val="none"/>
                <w:lang w:val="en-US" w:eastAsia="zh-CN"/>
              </w:rPr>
              <w:t>布袋除尘器收尘</w:t>
            </w:r>
            <w:r>
              <w:rPr>
                <w:rFonts w:hint="eastAsia" w:ascii="Times New Roman" w:hAnsi="Times New Roman" w:cs="Times New Roman"/>
                <w:bCs/>
                <w:color w:val="auto"/>
                <w:sz w:val="24"/>
                <w:szCs w:val="24"/>
                <w:highlight w:val="none"/>
                <w:lang w:val="en-US" w:eastAsia="zh-CN"/>
              </w:rPr>
              <w:t>）存储于密闭灰渣库，配合洒水降尘措施；生物质燃料存储于全封闭生物质堆场内，生物质堆场</w:t>
            </w:r>
            <w:r>
              <w:rPr>
                <w:rFonts w:hint="eastAsia" w:cs="Times New Roman"/>
                <w:bCs/>
                <w:color w:val="auto"/>
                <w:sz w:val="24"/>
                <w:szCs w:val="24"/>
                <w:highlight w:val="none"/>
                <w:lang w:val="en-US" w:eastAsia="zh-CN"/>
              </w:rPr>
              <w:t>封闭且</w:t>
            </w:r>
            <w:r>
              <w:rPr>
                <w:rFonts w:hint="eastAsia" w:ascii="Times New Roman" w:hAnsi="Times New Roman" w:cs="Times New Roman"/>
                <w:bCs/>
                <w:color w:val="auto"/>
                <w:sz w:val="24"/>
                <w:szCs w:val="24"/>
                <w:highlight w:val="none"/>
                <w:lang w:val="en-US" w:eastAsia="zh-CN"/>
              </w:rPr>
              <w:t>燃料苫盖，杜绝露天堆放。生物质燃料、</w:t>
            </w:r>
            <w:r>
              <w:rPr>
                <w:rFonts w:hint="eastAsia" w:cs="Times New Roman"/>
                <w:bCs/>
                <w:color w:val="auto"/>
                <w:sz w:val="24"/>
                <w:szCs w:val="24"/>
                <w:highlight w:val="none"/>
                <w:lang w:val="en-US" w:eastAsia="zh-CN"/>
              </w:rPr>
              <w:t>布袋除尘器收尘</w:t>
            </w:r>
            <w:r>
              <w:rPr>
                <w:rFonts w:hint="eastAsia" w:ascii="Times New Roman" w:hAnsi="Times New Roman" w:cs="Times New Roman"/>
                <w:bCs/>
                <w:color w:val="auto"/>
                <w:sz w:val="24"/>
                <w:szCs w:val="24"/>
                <w:highlight w:val="none"/>
                <w:lang w:val="en-US" w:eastAsia="zh-CN"/>
              </w:rPr>
              <w:t>及锅炉炉渣在室内存放，并配合表面洒水降尘不会形成动力起尘的粉尘影响。生物质燃料及灰渣粉尘满足厂界颗粒物《大气污染物综合排放标准》（GB16297-1996）表2中无组织排放限值。故</w:t>
            </w:r>
            <w:r>
              <w:rPr>
                <w:rFonts w:hint="eastAsia" w:cs="Times New Roman"/>
                <w:bCs/>
                <w:color w:val="auto"/>
                <w:sz w:val="24"/>
                <w:szCs w:val="24"/>
                <w:highlight w:val="none"/>
                <w:lang w:val="en-US" w:eastAsia="zh-CN"/>
              </w:rPr>
              <w:t>本项目</w:t>
            </w:r>
            <w:r>
              <w:rPr>
                <w:rFonts w:hint="eastAsia" w:ascii="Times New Roman" w:hAnsi="Times New Roman" w:cs="Times New Roman"/>
                <w:bCs/>
                <w:color w:val="auto"/>
                <w:sz w:val="24"/>
                <w:szCs w:val="24"/>
                <w:highlight w:val="none"/>
                <w:lang w:val="en-US" w:eastAsia="zh-CN"/>
              </w:rPr>
              <w:t>不分析</w:t>
            </w:r>
            <w:r>
              <w:rPr>
                <w:rFonts w:hint="eastAsia" w:cs="Times New Roman"/>
                <w:bCs/>
                <w:color w:val="auto"/>
                <w:sz w:val="24"/>
                <w:szCs w:val="24"/>
                <w:highlight w:val="none"/>
                <w:lang w:val="en-US" w:eastAsia="zh-CN"/>
              </w:rPr>
              <w:t>燃料</w:t>
            </w:r>
            <w:r>
              <w:rPr>
                <w:rFonts w:hint="eastAsia" w:ascii="Times New Roman" w:hAnsi="Times New Roman" w:cs="Times New Roman"/>
                <w:bCs/>
                <w:color w:val="auto"/>
                <w:sz w:val="24"/>
                <w:szCs w:val="24"/>
                <w:highlight w:val="none"/>
                <w:lang w:val="en-US" w:eastAsia="zh-CN"/>
              </w:rPr>
              <w:t>、灰渣储存源强。</w:t>
            </w:r>
          </w:p>
          <w:p w14:paraId="13AFE63F">
            <w:pPr>
              <w:spacing w:line="240" w:lineRule="auto"/>
              <w:jc w:val="center"/>
              <w:rPr>
                <w:rFonts w:hint="default" w:ascii="Times New Roman" w:hAnsi="Times New Roman" w:eastAsia="宋体" w:cs="Times New Roman"/>
                <w:b/>
                <w:bCs/>
                <w:color w:val="auto"/>
                <w:sz w:val="24"/>
                <w:szCs w:val="24"/>
                <w:lang w:val="en-US" w:eastAsia="zh-CN"/>
              </w:rPr>
            </w:pPr>
            <w:r>
              <w:rPr>
                <w:rFonts w:hint="default" w:ascii="Times New Roman" w:hAnsi="Times New Roman" w:cs="Times New Roman"/>
                <w:b/>
                <w:bCs/>
                <w:color w:val="auto"/>
                <w:sz w:val="24"/>
                <w:szCs w:val="24"/>
                <w:highlight w:val="none"/>
                <w:lang w:val="en-US" w:eastAsia="zh-CN"/>
              </w:rPr>
              <w:t>表4-1 锅炉有组织废气产生及排放一览表</w:t>
            </w:r>
          </w:p>
          <w:tbl>
            <w:tblPr>
              <w:tblStyle w:val="31"/>
              <w:tblW w:w="801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0"/>
              <w:gridCol w:w="779"/>
              <w:gridCol w:w="855"/>
              <w:gridCol w:w="855"/>
              <w:gridCol w:w="2010"/>
              <w:gridCol w:w="840"/>
              <w:gridCol w:w="930"/>
              <w:gridCol w:w="846"/>
            </w:tblGrid>
            <w:tr w14:paraId="310E92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00" w:type="dxa"/>
                  <w:tcBorders>
                    <w:tl2br w:val="nil"/>
                    <w:tr2bl w:val="nil"/>
                  </w:tcBorders>
                  <w:vAlign w:val="center"/>
                </w:tcPr>
                <w:p w14:paraId="243517A6">
                  <w:pPr>
                    <w:pStyle w:val="71"/>
                    <w:spacing w:line="240" w:lineRule="auto"/>
                    <w:jc w:val="center"/>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名称</w:t>
                  </w:r>
                </w:p>
              </w:tc>
              <w:tc>
                <w:tcPr>
                  <w:tcW w:w="779" w:type="dxa"/>
                  <w:tcBorders>
                    <w:tl2br w:val="nil"/>
                    <w:tr2bl w:val="nil"/>
                  </w:tcBorders>
                  <w:vAlign w:val="center"/>
                </w:tcPr>
                <w:p w14:paraId="07B6E113">
                  <w:pPr>
                    <w:pStyle w:val="71"/>
                    <w:spacing w:line="240" w:lineRule="auto"/>
                    <w:jc w:val="center"/>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eastAsia="宋体" w:cs="Times New Roman"/>
                      <w:b/>
                      <w:bCs/>
                      <w:color w:val="auto"/>
                      <w:sz w:val="21"/>
                      <w:szCs w:val="21"/>
                      <w:highlight w:val="none"/>
                      <w:vertAlign w:val="baseline"/>
                      <w:lang w:eastAsia="zh-CN"/>
                    </w:rPr>
                    <w:t>污染物</w:t>
                  </w:r>
                </w:p>
              </w:tc>
              <w:tc>
                <w:tcPr>
                  <w:tcW w:w="855" w:type="dxa"/>
                  <w:tcBorders>
                    <w:tl2br w:val="nil"/>
                    <w:tr2bl w:val="nil"/>
                  </w:tcBorders>
                  <w:vAlign w:val="center"/>
                </w:tcPr>
                <w:p w14:paraId="439FDEB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cs="Times New Roman"/>
                      <w:b/>
                      <w:bCs/>
                      <w:color w:val="auto"/>
                      <w:sz w:val="21"/>
                      <w:szCs w:val="21"/>
                      <w:lang w:eastAsia="zh-CN"/>
                    </w:rPr>
                    <w:t>产生量</w:t>
                  </w:r>
                  <w:r>
                    <w:rPr>
                      <w:rFonts w:hint="default" w:ascii="Times New Roman" w:hAnsi="Times New Roman" w:cs="Times New Roman"/>
                      <w:b/>
                      <w:bCs/>
                      <w:color w:val="auto"/>
                      <w:sz w:val="21"/>
                      <w:szCs w:val="21"/>
                      <w:lang w:val="en-US" w:eastAsia="zh-CN"/>
                    </w:rPr>
                    <w:t>t/a</w:t>
                  </w:r>
                </w:p>
              </w:tc>
              <w:tc>
                <w:tcPr>
                  <w:tcW w:w="855" w:type="dxa"/>
                  <w:tcBorders>
                    <w:tl2br w:val="nil"/>
                    <w:tr2bl w:val="nil"/>
                  </w:tcBorders>
                  <w:vAlign w:val="center"/>
                </w:tcPr>
                <w:p w14:paraId="52156761">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eastAsia="宋体" w:cs="Times New Roman"/>
                      <w:b/>
                      <w:bCs/>
                      <w:color w:val="auto"/>
                      <w:sz w:val="21"/>
                      <w:szCs w:val="21"/>
                      <w:vertAlign w:val="baseline"/>
                      <w:lang w:val="en-US" w:eastAsia="zh-CN"/>
                    </w:rPr>
                    <w:t>产生</w:t>
                  </w:r>
                </w:p>
                <w:p w14:paraId="30E38FA4">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default" w:ascii="Times New Roman" w:hAnsi="Times New Roman" w:eastAsia="宋体" w:cs="Times New Roman"/>
                      <w:b/>
                      <w:bCs/>
                      <w:color w:val="auto"/>
                      <w:sz w:val="21"/>
                      <w:szCs w:val="21"/>
                      <w:vertAlign w:val="baseline"/>
                      <w:lang w:val="en-US" w:eastAsia="zh-CN"/>
                    </w:rPr>
                    <w:t>浓度mg/m</w:t>
                  </w:r>
                  <w:r>
                    <w:rPr>
                      <w:rFonts w:hint="default" w:ascii="Times New Roman" w:hAnsi="Times New Roman" w:eastAsia="宋体" w:cs="Times New Roman"/>
                      <w:b/>
                      <w:bCs/>
                      <w:color w:val="auto"/>
                      <w:sz w:val="21"/>
                      <w:szCs w:val="21"/>
                      <w:vertAlign w:val="superscript"/>
                      <w:lang w:val="en-US" w:eastAsia="zh-CN"/>
                    </w:rPr>
                    <w:t>3</w:t>
                  </w:r>
                </w:p>
              </w:tc>
              <w:tc>
                <w:tcPr>
                  <w:tcW w:w="2010" w:type="dxa"/>
                  <w:tcBorders>
                    <w:tl2br w:val="nil"/>
                    <w:tr2bl w:val="nil"/>
                  </w:tcBorders>
                  <w:vAlign w:val="center"/>
                </w:tcPr>
                <w:p w14:paraId="4D1DE74B">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cs="Times New Roman"/>
                      <w:b/>
                      <w:bCs/>
                      <w:color w:val="auto"/>
                      <w:kern w:val="2"/>
                      <w:sz w:val="21"/>
                      <w:szCs w:val="21"/>
                      <w:vertAlign w:val="baseline"/>
                      <w:lang w:val="en-US" w:eastAsia="zh-CN" w:bidi="ar-SA"/>
                    </w:rPr>
                  </w:pPr>
                  <w:r>
                    <w:rPr>
                      <w:rFonts w:hint="eastAsia" w:cs="Times New Roman"/>
                      <w:b/>
                      <w:bCs/>
                      <w:color w:val="auto"/>
                      <w:kern w:val="2"/>
                      <w:sz w:val="21"/>
                      <w:szCs w:val="21"/>
                      <w:vertAlign w:val="baseline"/>
                      <w:lang w:val="en-US" w:eastAsia="zh-CN" w:bidi="ar-SA"/>
                    </w:rPr>
                    <w:t>污染防治</w:t>
                  </w:r>
                </w:p>
                <w:p w14:paraId="558816B1">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cs="Times New Roman"/>
                      <w:b/>
                      <w:bCs/>
                      <w:color w:val="auto"/>
                      <w:kern w:val="2"/>
                      <w:sz w:val="21"/>
                      <w:szCs w:val="21"/>
                      <w:vertAlign w:val="baseline"/>
                      <w:lang w:val="en-US" w:eastAsia="zh-CN" w:bidi="ar-SA"/>
                    </w:rPr>
                    <w:t>措施</w:t>
                  </w:r>
                </w:p>
              </w:tc>
              <w:tc>
                <w:tcPr>
                  <w:tcW w:w="840" w:type="dxa"/>
                  <w:tcBorders>
                    <w:tl2br w:val="nil"/>
                    <w:tr2bl w:val="nil"/>
                  </w:tcBorders>
                  <w:vAlign w:val="center"/>
                </w:tcPr>
                <w:p w14:paraId="6881A556">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cs="Times New Roman"/>
                      <w:b/>
                      <w:bCs/>
                      <w:color w:val="auto"/>
                      <w:sz w:val="21"/>
                      <w:szCs w:val="21"/>
                      <w:lang w:eastAsia="zh-CN"/>
                    </w:rPr>
                    <w:t>排放量</w:t>
                  </w:r>
                  <w:r>
                    <w:rPr>
                      <w:rFonts w:hint="default" w:ascii="Times New Roman" w:hAnsi="Times New Roman" w:cs="Times New Roman"/>
                      <w:b/>
                      <w:bCs/>
                      <w:color w:val="auto"/>
                      <w:sz w:val="21"/>
                      <w:szCs w:val="21"/>
                      <w:lang w:val="en-US" w:eastAsia="zh-CN"/>
                    </w:rPr>
                    <w:t>t/a</w:t>
                  </w:r>
                </w:p>
              </w:tc>
              <w:tc>
                <w:tcPr>
                  <w:tcW w:w="930" w:type="dxa"/>
                  <w:tcBorders>
                    <w:tl2br w:val="nil"/>
                    <w:tr2bl w:val="nil"/>
                  </w:tcBorders>
                  <w:vAlign w:val="center"/>
                </w:tcPr>
                <w:p w14:paraId="79E874CB">
                  <w:pPr>
                    <w:keepNext w:val="0"/>
                    <w:keepLines w:val="0"/>
                    <w:pageBreakBefore w:val="0"/>
                    <w:widowControl w:val="0"/>
                    <w:kinsoku/>
                    <w:wordWrap/>
                    <w:overflowPunct/>
                    <w:topLinePunct w:val="0"/>
                    <w:autoSpaceDE/>
                    <w:autoSpaceDN/>
                    <w:bidi w:val="0"/>
                    <w:adjustRightInd w:val="0"/>
                    <w:snapToGrid w:val="0"/>
                    <w:spacing w:line="240" w:lineRule="auto"/>
                    <w:ind w:left="211" w:leftChars="0" w:hanging="211" w:hangingChars="10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w:t>
                  </w:r>
                </w:p>
                <w:p w14:paraId="145697A1">
                  <w:pPr>
                    <w:keepNext w:val="0"/>
                    <w:keepLines w:val="0"/>
                    <w:pageBreakBefore w:val="0"/>
                    <w:widowControl w:val="0"/>
                    <w:kinsoku/>
                    <w:wordWrap/>
                    <w:overflowPunct/>
                    <w:topLinePunct w:val="0"/>
                    <w:autoSpaceDE/>
                    <w:autoSpaceDN/>
                    <w:bidi w:val="0"/>
                    <w:adjustRightInd w:val="0"/>
                    <w:snapToGrid w:val="0"/>
                    <w:spacing w:line="240" w:lineRule="auto"/>
                    <w:ind w:left="211" w:leftChars="0" w:hanging="211" w:hangingChars="100"/>
                    <w:jc w:val="center"/>
                    <w:textAlignment w:val="auto"/>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vertAlign w:val="baseline"/>
                      <w:lang w:val="en-US" w:eastAsia="zh-CN"/>
                    </w:rPr>
                    <w:t>浓度</w:t>
                  </w:r>
                </w:p>
                <w:p w14:paraId="39A9BF2A">
                  <w:pPr>
                    <w:keepNext w:val="0"/>
                    <w:keepLines w:val="0"/>
                    <w:pageBreakBefore w:val="0"/>
                    <w:widowControl w:val="0"/>
                    <w:kinsoku/>
                    <w:wordWrap/>
                    <w:overflowPunct/>
                    <w:topLinePunct w:val="0"/>
                    <w:autoSpaceDE/>
                    <w:autoSpaceDN/>
                    <w:bidi w:val="0"/>
                    <w:adjustRightInd w:val="0"/>
                    <w:snapToGrid w:val="0"/>
                    <w:spacing w:line="240" w:lineRule="auto"/>
                    <w:ind w:left="211" w:leftChars="0" w:hanging="211" w:hangingChars="100"/>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c>
                <w:tcPr>
                  <w:tcW w:w="846" w:type="dxa"/>
                  <w:tcBorders>
                    <w:tl2br w:val="nil"/>
                    <w:tr2bl w:val="nil"/>
                  </w:tcBorders>
                  <w:vAlign w:val="center"/>
                </w:tcPr>
                <w:p w14:paraId="7DC631CE">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w:t>
                  </w:r>
                </w:p>
                <w:p w14:paraId="021A146A">
                  <w:pPr>
                    <w:keepNext w:val="0"/>
                    <w:keepLines w:val="0"/>
                    <w:pageBreakBefore w:val="0"/>
                    <w:widowControl w:val="0"/>
                    <w:kinsoku/>
                    <w:wordWrap/>
                    <w:overflowPunct/>
                    <w:topLinePunct w:val="0"/>
                    <w:autoSpaceDE/>
                    <w:autoSpaceDN/>
                    <w:bidi w:val="0"/>
                    <w:spacing w:line="240" w:lineRule="auto"/>
                    <w:jc w:val="center"/>
                    <w:textAlignment w:val="auto"/>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标准</w:t>
                  </w:r>
                  <w:r>
                    <w:rPr>
                      <w:rFonts w:hint="default" w:ascii="Times New Roman" w:hAnsi="Times New Roman" w:eastAsia="宋体" w:cs="Times New Roman"/>
                      <w:b/>
                      <w:bCs/>
                      <w:color w:val="auto"/>
                      <w:sz w:val="21"/>
                      <w:szCs w:val="21"/>
                    </w:rPr>
                    <w:t>mg/m</w:t>
                  </w:r>
                  <w:r>
                    <w:rPr>
                      <w:rFonts w:hint="default" w:ascii="Times New Roman" w:hAnsi="Times New Roman" w:eastAsia="宋体" w:cs="Times New Roman"/>
                      <w:b/>
                      <w:bCs/>
                      <w:color w:val="auto"/>
                      <w:sz w:val="21"/>
                      <w:szCs w:val="21"/>
                      <w:vertAlign w:val="superscript"/>
                    </w:rPr>
                    <w:t>3</w:t>
                  </w:r>
                </w:p>
              </w:tc>
            </w:tr>
            <w:tr w14:paraId="3CFC9C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00" w:type="dxa"/>
                  <w:vMerge w:val="restart"/>
                  <w:tcBorders>
                    <w:tl2br w:val="nil"/>
                    <w:tr2bl w:val="nil"/>
                  </w:tcBorders>
                  <w:vAlign w:val="center"/>
                </w:tcPr>
                <w:p w14:paraId="18C0DB8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highlight w:val="none"/>
                      <w:vertAlign w:val="baseline"/>
                      <w:lang w:eastAsia="zh-CN"/>
                    </w:rPr>
                    <w:t>一台</w:t>
                  </w:r>
                  <w:r>
                    <w:rPr>
                      <w:rFonts w:hint="default" w:ascii="Times New Roman" w:hAnsi="Times New Roman" w:eastAsia="宋体" w:cs="Times New Roman"/>
                      <w:color w:val="auto"/>
                      <w:sz w:val="21"/>
                      <w:szCs w:val="21"/>
                      <w:highlight w:val="none"/>
                      <w:vertAlign w:val="baseline"/>
                      <w:lang w:val="en-US" w:eastAsia="zh-CN"/>
                    </w:rPr>
                    <w:t>5t/h生物质热风炉</w:t>
                  </w:r>
                </w:p>
              </w:tc>
              <w:tc>
                <w:tcPr>
                  <w:tcW w:w="779" w:type="dxa"/>
                  <w:tcBorders>
                    <w:tl2br w:val="nil"/>
                    <w:tr2bl w:val="nil"/>
                  </w:tcBorders>
                  <w:vAlign w:val="center"/>
                </w:tcPr>
                <w:p w14:paraId="2C7CC909">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cs="Times New Roman"/>
                      <w:color w:val="auto"/>
                      <w:sz w:val="21"/>
                      <w:szCs w:val="21"/>
                      <w:lang w:eastAsia="zh-CN"/>
                    </w:rPr>
                    <w:t>烟尘</w:t>
                  </w:r>
                </w:p>
              </w:tc>
              <w:tc>
                <w:tcPr>
                  <w:tcW w:w="855" w:type="dxa"/>
                  <w:tcBorders>
                    <w:tl2br w:val="nil"/>
                    <w:tr2bl w:val="nil"/>
                  </w:tcBorders>
                  <w:vAlign w:val="center"/>
                </w:tcPr>
                <w:p w14:paraId="09082924">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73.09</w:t>
                  </w:r>
                </w:p>
              </w:tc>
              <w:tc>
                <w:tcPr>
                  <w:tcW w:w="855" w:type="dxa"/>
                  <w:tcBorders>
                    <w:tl2br w:val="nil"/>
                    <w:tr2bl w:val="nil"/>
                  </w:tcBorders>
                  <w:vAlign w:val="center"/>
                </w:tcPr>
                <w:p w14:paraId="4A7BAC97">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5915.68</w:t>
                  </w:r>
                </w:p>
              </w:tc>
              <w:tc>
                <w:tcPr>
                  <w:tcW w:w="2010" w:type="dxa"/>
                  <w:vMerge w:val="restart"/>
                  <w:tcBorders>
                    <w:tl2br w:val="nil"/>
                    <w:tr2bl w:val="nil"/>
                  </w:tcBorders>
                  <w:vAlign w:val="center"/>
                </w:tcPr>
                <w:p w14:paraId="1A37D809">
                  <w:pPr>
                    <w:pStyle w:val="71"/>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eastAsia" w:ascii="Times New Roman" w:hAnsi="Times New Roman" w:eastAsia="仿宋_GB2312" w:cs="Times New Roman"/>
                      <w:color w:val="auto"/>
                      <w:kern w:val="2"/>
                      <w:sz w:val="21"/>
                      <w:szCs w:val="21"/>
                      <w:u w:val="none"/>
                      <w:lang w:val="en-US" w:eastAsia="zh-CN" w:bidi="ar-SA"/>
                    </w:rPr>
                  </w:pPr>
                  <w:r>
                    <w:rPr>
                      <w:rFonts w:hint="eastAsia" w:ascii="Times New Roman" w:hAnsi="Times New Roman" w:eastAsia="宋体" w:cs="Times New Roman"/>
                      <w:color w:val="auto"/>
                      <w:kern w:val="2"/>
                      <w:sz w:val="21"/>
                      <w:szCs w:val="21"/>
                      <w:highlight w:val="none"/>
                      <w:vertAlign w:val="baseline"/>
                      <w:lang w:val="en-US" w:eastAsia="zh-CN" w:bidi="ar-SA"/>
                    </w:rPr>
                    <w:t>经布袋除尘器处理后（处理效率为9</w:t>
                  </w:r>
                  <w:r>
                    <w:rPr>
                      <w:rFonts w:hint="default" w:ascii="Times New Roman" w:hAnsi="Times New Roman" w:eastAsia="宋体" w:cs="Times New Roman"/>
                      <w:color w:val="auto"/>
                      <w:kern w:val="2"/>
                      <w:sz w:val="21"/>
                      <w:szCs w:val="21"/>
                      <w:highlight w:val="none"/>
                      <w:vertAlign w:val="baseline"/>
                      <w:lang w:val="en-US" w:eastAsia="zh-CN" w:bidi="ar-SA"/>
                    </w:rPr>
                    <w:t>9%）</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lang w:val="en-US" w:eastAsia="zh-CN"/>
                    </w:rPr>
                    <w:t>尾气通过</w:t>
                  </w:r>
                  <w:r>
                    <w:rPr>
                      <w:rFonts w:hint="eastAsia" w:eastAsia="宋体" w:cs="Times New Roman"/>
                      <w:color w:val="auto"/>
                      <w:sz w:val="21"/>
                      <w:szCs w:val="21"/>
                      <w:highlight w:val="none"/>
                      <w:lang w:val="en-US" w:eastAsia="zh-CN"/>
                    </w:rPr>
                    <w:t>20</w:t>
                  </w:r>
                  <w:r>
                    <w:rPr>
                      <w:rFonts w:hint="default" w:ascii="Times New Roman" w:hAnsi="Times New Roman" w:eastAsia="宋体" w:cs="Times New Roman"/>
                      <w:color w:val="auto"/>
                      <w:sz w:val="21"/>
                      <w:szCs w:val="21"/>
                      <w:highlight w:val="none"/>
                      <w:lang w:val="en-US" w:eastAsia="zh-CN"/>
                    </w:rPr>
                    <w:t>m高烟囱DA001排放</w:t>
                  </w:r>
                </w:p>
              </w:tc>
              <w:tc>
                <w:tcPr>
                  <w:tcW w:w="840" w:type="dxa"/>
                  <w:tcBorders>
                    <w:tl2br w:val="nil"/>
                    <w:tr2bl w:val="nil"/>
                  </w:tcBorders>
                  <w:vAlign w:val="center"/>
                </w:tcPr>
                <w:p w14:paraId="6D5C54CF">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0.73</w:t>
                  </w:r>
                </w:p>
              </w:tc>
              <w:tc>
                <w:tcPr>
                  <w:tcW w:w="930" w:type="dxa"/>
                  <w:tcBorders>
                    <w:tl2br w:val="nil"/>
                    <w:tr2bl w:val="nil"/>
                  </w:tcBorders>
                  <w:vAlign w:val="center"/>
                </w:tcPr>
                <w:p w14:paraId="0E3F47E5">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59.16</w:t>
                  </w:r>
                </w:p>
              </w:tc>
              <w:tc>
                <w:tcPr>
                  <w:tcW w:w="846" w:type="dxa"/>
                  <w:tcBorders>
                    <w:tl2br w:val="nil"/>
                    <w:tr2bl w:val="nil"/>
                  </w:tcBorders>
                  <w:vAlign w:val="center"/>
                </w:tcPr>
                <w:p w14:paraId="13115364">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200</w:t>
                  </w:r>
                </w:p>
              </w:tc>
            </w:tr>
            <w:tr w14:paraId="4584D2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00" w:type="dxa"/>
                  <w:vMerge w:val="continue"/>
                  <w:tcBorders>
                    <w:tl2br w:val="nil"/>
                    <w:tr2bl w:val="nil"/>
                  </w:tcBorders>
                  <w:vAlign w:val="center"/>
                </w:tcPr>
                <w:p w14:paraId="353040A5">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779" w:type="dxa"/>
                  <w:tcBorders>
                    <w:tl2br w:val="nil"/>
                    <w:tr2bl w:val="nil"/>
                  </w:tcBorders>
                  <w:vAlign w:val="center"/>
                </w:tcPr>
                <w:p w14:paraId="233BA84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u w:val="none"/>
                      <w:lang w:val="en-US" w:eastAsia="zh-CN"/>
                    </w:rPr>
                    <w:t>SO</w:t>
                  </w:r>
                  <w:r>
                    <w:rPr>
                      <w:rFonts w:hint="default" w:ascii="Times New Roman" w:hAnsi="Times New Roman" w:eastAsia="宋体" w:cs="Times New Roman"/>
                      <w:color w:val="auto"/>
                      <w:sz w:val="21"/>
                      <w:szCs w:val="21"/>
                      <w:u w:val="none"/>
                      <w:vertAlign w:val="subscript"/>
                      <w:lang w:val="en-US" w:eastAsia="zh-CN"/>
                    </w:rPr>
                    <w:t>2</w:t>
                  </w:r>
                </w:p>
              </w:tc>
              <w:tc>
                <w:tcPr>
                  <w:tcW w:w="855" w:type="dxa"/>
                  <w:tcBorders>
                    <w:tl2br w:val="nil"/>
                    <w:tr2bl w:val="nil"/>
                  </w:tcBorders>
                  <w:vAlign w:val="center"/>
                </w:tcPr>
                <w:p w14:paraId="65657884">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1.05</w:t>
                  </w:r>
                </w:p>
              </w:tc>
              <w:tc>
                <w:tcPr>
                  <w:tcW w:w="855" w:type="dxa"/>
                  <w:tcBorders>
                    <w:tl2br w:val="nil"/>
                    <w:tr2bl w:val="nil"/>
                  </w:tcBorders>
                  <w:vAlign w:val="center"/>
                </w:tcPr>
                <w:p w14:paraId="397707E3">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84.90</w:t>
                  </w:r>
                </w:p>
              </w:tc>
              <w:tc>
                <w:tcPr>
                  <w:tcW w:w="2010" w:type="dxa"/>
                  <w:vMerge w:val="continue"/>
                  <w:tcBorders>
                    <w:tl2br w:val="nil"/>
                    <w:tr2bl w:val="nil"/>
                  </w:tcBorders>
                  <w:vAlign w:val="center"/>
                </w:tcPr>
                <w:p w14:paraId="5B13BF3F">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p>
              </w:tc>
              <w:tc>
                <w:tcPr>
                  <w:tcW w:w="840" w:type="dxa"/>
                  <w:tcBorders>
                    <w:tl2br w:val="nil"/>
                    <w:tr2bl w:val="nil"/>
                  </w:tcBorders>
                  <w:vAlign w:val="center"/>
                </w:tcPr>
                <w:p w14:paraId="516CB214">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1.05</w:t>
                  </w:r>
                </w:p>
              </w:tc>
              <w:tc>
                <w:tcPr>
                  <w:tcW w:w="930" w:type="dxa"/>
                  <w:tcBorders>
                    <w:tl2br w:val="nil"/>
                    <w:tr2bl w:val="nil"/>
                  </w:tcBorders>
                  <w:vAlign w:val="center"/>
                </w:tcPr>
                <w:p w14:paraId="02AFD193">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84.90</w:t>
                  </w:r>
                </w:p>
              </w:tc>
              <w:tc>
                <w:tcPr>
                  <w:tcW w:w="846" w:type="dxa"/>
                  <w:tcBorders>
                    <w:tl2br w:val="nil"/>
                    <w:tr2bl w:val="nil"/>
                  </w:tcBorders>
                  <w:vAlign w:val="center"/>
                </w:tcPr>
                <w:p w14:paraId="7B0931D5">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850</w:t>
                  </w:r>
                </w:p>
              </w:tc>
            </w:tr>
            <w:tr w14:paraId="6580C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900" w:type="dxa"/>
                  <w:vMerge w:val="continue"/>
                  <w:tcBorders>
                    <w:tl2br w:val="nil"/>
                    <w:tr2bl w:val="nil"/>
                  </w:tcBorders>
                  <w:vAlign w:val="center"/>
                </w:tcPr>
                <w:p w14:paraId="61CD575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p>
              </w:tc>
              <w:tc>
                <w:tcPr>
                  <w:tcW w:w="779" w:type="dxa"/>
                  <w:tcBorders>
                    <w:tl2br w:val="nil"/>
                    <w:tr2bl w:val="nil"/>
                  </w:tcBorders>
                  <w:vAlign w:val="center"/>
                </w:tcPr>
                <w:p w14:paraId="5E2F8A3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default" w:ascii="Times New Roman" w:hAnsi="Times New Roman" w:eastAsia="宋体" w:cs="Times New Roman"/>
                      <w:color w:val="auto"/>
                      <w:sz w:val="21"/>
                      <w:szCs w:val="21"/>
                      <w:lang w:val="en-US" w:eastAsia="zh-CN"/>
                    </w:rPr>
                    <w:t>NO</w:t>
                  </w:r>
                  <w:r>
                    <w:rPr>
                      <w:rFonts w:hint="default" w:ascii="Times New Roman" w:hAnsi="Times New Roman" w:eastAsia="宋体" w:cs="Times New Roman"/>
                      <w:color w:val="auto"/>
                      <w:sz w:val="21"/>
                      <w:szCs w:val="21"/>
                      <w:vertAlign w:val="subscript"/>
                      <w:lang w:val="en-US" w:eastAsia="zh-CN"/>
                    </w:rPr>
                    <w:t>X</w:t>
                  </w:r>
                </w:p>
              </w:tc>
              <w:tc>
                <w:tcPr>
                  <w:tcW w:w="855" w:type="dxa"/>
                  <w:tcBorders>
                    <w:tl2br w:val="nil"/>
                    <w:tr2bl w:val="nil"/>
                  </w:tcBorders>
                  <w:vAlign w:val="center"/>
                </w:tcPr>
                <w:p w14:paraId="039E02FD">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2.05</w:t>
                  </w:r>
                </w:p>
              </w:tc>
              <w:tc>
                <w:tcPr>
                  <w:tcW w:w="855" w:type="dxa"/>
                  <w:tcBorders>
                    <w:tl2br w:val="nil"/>
                    <w:tr2bl w:val="nil"/>
                  </w:tcBorders>
                  <w:vAlign w:val="center"/>
                </w:tcPr>
                <w:p w14:paraId="6B5EE961">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166.28</w:t>
                  </w:r>
                </w:p>
              </w:tc>
              <w:tc>
                <w:tcPr>
                  <w:tcW w:w="2010" w:type="dxa"/>
                  <w:vMerge w:val="continue"/>
                  <w:tcBorders>
                    <w:tl2br w:val="nil"/>
                    <w:tr2bl w:val="nil"/>
                  </w:tcBorders>
                  <w:vAlign w:val="center"/>
                </w:tcPr>
                <w:p w14:paraId="6342184E">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p>
              </w:tc>
              <w:tc>
                <w:tcPr>
                  <w:tcW w:w="840" w:type="dxa"/>
                  <w:tcBorders>
                    <w:tl2br w:val="nil"/>
                    <w:tr2bl w:val="nil"/>
                  </w:tcBorders>
                  <w:vAlign w:val="center"/>
                </w:tcPr>
                <w:p w14:paraId="5405FF37">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2.05</w:t>
                  </w:r>
                </w:p>
              </w:tc>
              <w:tc>
                <w:tcPr>
                  <w:tcW w:w="930" w:type="dxa"/>
                  <w:tcBorders>
                    <w:tl2br w:val="nil"/>
                    <w:tr2bl w:val="nil"/>
                  </w:tcBorders>
                  <w:vAlign w:val="center"/>
                </w:tcPr>
                <w:p w14:paraId="314818EA">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166.28</w:t>
                  </w:r>
                </w:p>
              </w:tc>
              <w:tc>
                <w:tcPr>
                  <w:tcW w:w="846" w:type="dxa"/>
                  <w:tcBorders>
                    <w:tl2br w:val="nil"/>
                    <w:tr2bl w:val="nil"/>
                  </w:tcBorders>
                  <w:vAlign w:val="center"/>
                </w:tcPr>
                <w:p w14:paraId="414427E9">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w:t>
                  </w:r>
                </w:p>
              </w:tc>
            </w:tr>
          </w:tbl>
          <w:p w14:paraId="57B2A0C5">
            <w:pPr>
              <w:pStyle w:val="16"/>
              <w:numPr>
                <w:ilvl w:val="0"/>
                <w:numId w:val="0"/>
              </w:numPr>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3、非正常工况</w:t>
            </w:r>
          </w:p>
          <w:p w14:paraId="0BAF70B4">
            <w:pPr>
              <w:pStyle w:val="16"/>
              <w:numPr>
                <w:ilvl w:val="0"/>
                <w:numId w:val="0"/>
              </w:numPr>
              <w:spacing w:line="360" w:lineRule="auto"/>
              <w:ind w:firstLine="480"/>
              <w:rPr>
                <w:rFonts w:hint="default" w:ascii="Times New Roman" w:hAnsi="Times New Roman" w:eastAsia="宋体" w:cs="Times New Roman"/>
                <w:color w:val="auto"/>
                <w:sz w:val="24"/>
                <w:szCs w:val="24"/>
                <w:highlight w:val="none"/>
                <w:lang w:eastAsia="zh-CN"/>
              </w:rPr>
            </w:pPr>
            <w:r>
              <w:rPr>
                <w:rFonts w:hint="eastAsia" w:cs="Times New Roman"/>
                <w:color w:val="auto"/>
                <w:sz w:val="24"/>
                <w:szCs w:val="24"/>
                <w:highlight w:val="none"/>
                <w:lang w:val="en-US" w:eastAsia="zh-CN"/>
              </w:rPr>
              <w:t>（1）非正常工况情况</w:t>
            </w:r>
          </w:p>
          <w:p w14:paraId="709070F1">
            <w:pPr>
              <w:pStyle w:val="16"/>
              <w:numPr>
                <w:ilvl w:val="0"/>
                <w:numId w:val="0"/>
              </w:numPr>
              <w:spacing w:line="360" w:lineRule="auto"/>
              <w:ind w:firstLine="480"/>
              <w:rPr>
                <w:rFonts w:hint="default" w:ascii="Times New Roman" w:hAnsi="Times New Roman" w:eastAsia="宋体" w:cs="Times New Roman"/>
                <w:b/>
                <w:bCs/>
                <w:color w:val="auto"/>
                <w:kern w:val="21"/>
                <w:sz w:val="24"/>
                <w:szCs w:val="24"/>
                <w:highlight w:val="none"/>
              </w:rPr>
            </w:pPr>
            <w:r>
              <w:rPr>
                <w:rFonts w:hint="default" w:ascii="Times New Roman" w:hAnsi="Times New Roman" w:eastAsia="宋体" w:cs="Times New Roman"/>
                <w:color w:val="auto"/>
                <w:sz w:val="24"/>
                <w:szCs w:val="24"/>
                <w:highlight w:val="none"/>
                <w:lang w:eastAsia="zh-CN"/>
              </w:rPr>
              <w:t>布袋</w:t>
            </w:r>
            <w:r>
              <w:rPr>
                <w:rFonts w:hint="default" w:ascii="Times New Roman" w:hAnsi="Times New Roman" w:eastAsia="宋体" w:cs="Times New Roman"/>
                <w:color w:val="auto"/>
                <w:sz w:val="24"/>
                <w:szCs w:val="24"/>
                <w:highlight w:val="none"/>
              </w:rPr>
              <w:t>除尘器设备</w:t>
            </w:r>
            <w:r>
              <w:rPr>
                <w:rFonts w:hint="default" w:ascii="Times New Roman" w:hAnsi="Times New Roman" w:eastAsia="宋体" w:cs="Times New Roman"/>
                <w:color w:val="auto"/>
                <w:sz w:val="24"/>
                <w:szCs w:val="24"/>
                <w:highlight w:val="none"/>
                <w:lang w:eastAsia="zh-CN"/>
              </w:rPr>
              <w:t>暂时损坏，</w:t>
            </w:r>
            <w:r>
              <w:rPr>
                <w:rFonts w:hint="default" w:ascii="Times New Roman" w:hAnsi="Times New Roman" w:eastAsia="宋体" w:cs="Times New Roman"/>
                <w:color w:val="auto"/>
                <w:sz w:val="24"/>
                <w:szCs w:val="24"/>
                <w:highlight w:val="none"/>
              </w:rPr>
              <w:t>烟尘去除率</w:t>
            </w:r>
            <w:r>
              <w:rPr>
                <w:rFonts w:hint="default" w:ascii="Times New Roman" w:hAnsi="Times New Roman" w:eastAsia="宋体" w:cs="Times New Roman"/>
                <w:color w:val="auto"/>
                <w:sz w:val="24"/>
                <w:szCs w:val="24"/>
                <w:highlight w:val="none"/>
                <w:lang w:eastAsia="zh-CN"/>
              </w:rPr>
              <w:t>降为</w:t>
            </w:r>
            <w:r>
              <w:rPr>
                <w:rFonts w:hint="eastAsia" w:cs="Times New Roman"/>
                <w:color w:val="auto"/>
                <w:sz w:val="24"/>
                <w:szCs w:val="24"/>
                <w:highlight w:val="none"/>
                <w:lang w:val="en-US" w:eastAsia="zh-CN"/>
              </w:rPr>
              <w:t>90%</w:t>
            </w:r>
            <w:r>
              <w:rPr>
                <w:rFonts w:hint="default" w:ascii="Times New Roman" w:hAnsi="Times New Roman" w:eastAsia="宋体" w:cs="Times New Roman"/>
                <w:color w:val="auto"/>
                <w:sz w:val="24"/>
                <w:szCs w:val="24"/>
                <w:highlight w:val="none"/>
                <w:lang w:val="en-US" w:eastAsia="zh-CN"/>
              </w:rPr>
              <w:t>，则非正常情况下颗粒物的排放情况如下表。</w:t>
            </w:r>
          </w:p>
          <w:p w14:paraId="2B14DF54">
            <w:pPr>
              <w:pStyle w:val="16"/>
              <w:numPr>
                <w:ilvl w:val="0"/>
                <w:numId w:val="0"/>
              </w:numPr>
              <w:spacing w:line="240" w:lineRule="auto"/>
              <w:ind w:firstLine="480"/>
              <w:jc w:val="center"/>
              <w:rPr>
                <w:rFonts w:hint="default" w:ascii="Times New Roman" w:hAnsi="Times New Roman" w:eastAsia="宋体" w:cs="Times New Roman"/>
                <w:color w:val="auto"/>
                <w:kern w:val="21"/>
                <w:sz w:val="24"/>
                <w:szCs w:val="24"/>
              </w:rPr>
            </w:pPr>
            <w:r>
              <w:rPr>
                <w:rFonts w:hint="default" w:ascii="Times New Roman" w:hAnsi="Times New Roman" w:eastAsia="宋体" w:cs="Times New Roman"/>
                <w:b/>
                <w:bCs/>
                <w:color w:val="auto"/>
                <w:kern w:val="21"/>
                <w:sz w:val="24"/>
                <w:szCs w:val="24"/>
                <w:highlight w:val="none"/>
              </w:rPr>
              <w:t>表</w:t>
            </w:r>
            <w:r>
              <w:rPr>
                <w:rFonts w:hint="default" w:ascii="Times New Roman" w:hAnsi="Times New Roman" w:eastAsia="宋体" w:cs="Times New Roman"/>
                <w:b/>
                <w:bCs/>
                <w:color w:val="auto"/>
                <w:kern w:val="21"/>
                <w:sz w:val="24"/>
                <w:szCs w:val="24"/>
                <w:highlight w:val="none"/>
                <w:lang w:val="en-US" w:eastAsia="zh-CN"/>
              </w:rPr>
              <w:t>4</w:t>
            </w:r>
            <w:r>
              <w:rPr>
                <w:rFonts w:hint="default" w:ascii="Times New Roman" w:hAnsi="Times New Roman" w:eastAsia="宋体" w:cs="Times New Roman"/>
                <w:b/>
                <w:bCs/>
                <w:color w:val="auto"/>
                <w:kern w:val="21"/>
                <w:sz w:val="24"/>
                <w:szCs w:val="24"/>
                <w:highlight w:val="none"/>
              </w:rPr>
              <w:t>-</w:t>
            </w:r>
            <w:r>
              <w:rPr>
                <w:rFonts w:hint="eastAsia" w:cs="Times New Roman"/>
                <w:b/>
                <w:bCs/>
                <w:color w:val="auto"/>
                <w:kern w:val="21"/>
                <w:sz w:val="24"/>
                <w:szCs w:val="24"/>
                <w:highlight w:val="none"/>
                <w:lang w:val="en-US" w:eastAsia="zh-CN"/>
              </w:rPr>
              <w:t>2</w:t>
            </w:r>
            <w:r>
              <w:rPr>
                <w:rFonts w:hint="default" w:ascii="Times New Roman" w:hAnsi="Times New Roman" w:eastAsia="宋体" w:cs="Times New Roman"/>
                <w:b/>
                <w:bCs/>
                <w:color w:val="auto"/>
                <w:kern w:val="21"/>
                <w:sz w:val="24"/>
                <w:szCs w:val="24"/>
                <w:highlight w:val="none"/>
              </w:rPr>
              <w:t xml:space="preserve"> 大气污染物</w:t>
            </w:r>
            <w:r>
              <w:rPr>
                <w:rFonts w:hint="default" w:ascii="Times New Roman" w:hAnsi="Times New Roman" w:eastAsia="宋体" w:cs="Times New Roman"/>
                <w:b/>
                <w:bCs/>
                <w:color w:val="auto"/>
                <w:kern w:val="21"/>
                <w:sz w:val="24"/>
                <w:szCs w:val="24"/>
                <w:highlight w:val="none"/>
                <w:lang w:eastAsia="zh-CN"/>
              </w:rPr>
              <w:t>非正常情况</w:t>
            </w:r>
            <w:r>
              <w:rPr>
                <w:rFonts w:hint="default" w:ascii="Times New Roman" w:hAnsi="Times New Roman" w:eastAsia="宋体" w:cs="Times New Roman"/>
                <w:b/>
                <w:bCs/>
                <w:color w:val="auto"/>
                <w:kern w:val="21"/>
                <w:sz w:val="24"/>
                <w:szCs w:val="24"/>
                <w:highlight w:val="none"/>
              </w:rPr>
              <w:t>年排放量核算表</w:t>
            </w:r>
          </w:p>
          <w:tbl>
            <w:tblPr>
              <w:tblStyle w:val="30"/>
              <w:tblW w:w="7958"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28"/>
              <w:gridCol w:w="895"/>
              <w:gridCol w:w="1655"/>
              <w:gridCol w:w="1070"/>
              <w:gridCol w:w="1070"/>
              <w:gridCol w:w="1070"/>
              <w:gridCol w:w="1070"/>
            </w:tblGrid>
            <w:tr w14:paraId="22414BD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1128" w:type="dxa"/>
                  <w:tcBorders>
                    <w:tl2br w:val="nil"/>
                    <w:tr2bl w:val="nil"/>
                  </w:tcBorders>
                  <w:noWrap w:val="0"/>
                  <w:vAlign w:val="center"/>
                </w:tcPr>
                <w:p w14:paraId="52D713D1">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排放口</w:t>
                  </w:r>
                </w:p>
              </w:tc>
              <w:tc>
                <w:tcPr>
                  <w:tcW w:w="895" w:type="dxa"/>
                  <w:tcBorders>
                    <w:tl2br w:val="nil"/>
                    <w:tr2bl w:val="nil"/>
                  </w:tcBorders>
                  <w:noWrap w:val="0"/>
                  <w:vAlign w:val="center"/>
                </w:tcPr>
                <w:p w14:paraId="1FB45F0A">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污染物</w:t>
                  </w:r>
                </w:p>
              </w:tc>
              <w:tc>
                <w:tcPr>
                  <w:tcW w:w="1655" w:type="dxa"/>
                  <w:tcBorders>
                    <w:tl2br w:val="nil"/>
                    <w:tr2bl w:val="nil"/>
                  </w:tcBorders>
                  <w:noWrap w:val="0"/>
                  <w:vAlign w:val="center"/>
                </w:tcPr>
                <w:p w14:paraId="23192013">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非正常工况</w:t>
                  </w:r>
                </w:p>
              </w:tc>
              <w:tc>
                <w:tcPr>
                  <w:tcW w:w="1070" w:type="dxa"/>
                  <w:tcBorders>
                    <w:tl2br w:val="nil"/>
                    <w:tr2bl w:val="nil"/>
                  </w:tcBorders>
                  <w:noWrap w:val="0"/>
                  <w:vAlign w:val="center"/>
                </w:tcPr>
                <w:p w14:paraId="2E15E978">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default" w:ascii="Times New Roman" w:hAnsi="Times New Roman" w:eastAsia="宋体" w:cs="Times New Roman"/>
                      <w:b/>
                      <w:bCs/>
                      <w:color w:val="auto"/>
                      <w:sz w:val="21"/>
                      <w:szCs w:val="21"/>
                      <w:lang w:val="en-US" w:eastAsia="zh-CN"/>
                    </w:rPr>
                    <w:t>核算年排放量(t/a)</w:t>
                  </w:r>
                </w:p>
              </w:tc>
              <w:tc>
                <w:tcPr>
                  <w:tcW w:w="1070" w:type="dxa"/>
                  <w:tcBorders>
                    <w:tl2br w:val="nil"/>
                    <w:tr2bl w:val="nil"/>
                  </w:tcBorders>
                  <w:noWrap w:val="0"/>
                  <w:vAlign w:val="center"/>
                </w:tcPr>
                <w:p w14:paraId="3D3D5161">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eastAsia" w:eastAsia="宋体" w:cs="Times New Roman"/>
                      <w:b/>
                      <w:bCs/>
                      <w:color w:val="auto"/>
                      <w:sz w:val="21"/>
                      <w:szCs w:val="21"/>
                      <w:lang w:val="en-US" w:eastAsia="zh-CN"/>
                    </w:rPr>
                    <w:t>单次持续时间</w:t>
                  </w:r>
                </w:p>
              </w:tc>
              <w:tc>
                <w:tcPr>
                  <w:tcW w:w="1070" w:type="dxa"/>
                  <w:tcBorders>
                    <w:tl2br w:val="nil"/>
                    <w:tr2bl w:val="nil"/>
                  </w:tcBorders>
                  <w:noWrap w:val="0"/>
                  <w:vAlign w:val="center"/>
                </w:tcPr>
                <w:p w14:paraId="50BAAA41">
                  <w:pPr>
                    <w:pStyle w:val="71"/>
                    <w:spacing w:line="240" w:lineRule="auto"/>
                    <w:jc w:val="center"/>
                    <w:rPr>
                      <w:rFonts w:hint="eastAsia" w:eastAsia="宋体" w:cs="Times New Roman"/>
                      <w:b/>
                      <w:bCs/>
                      <w:color w:val="auto"/>
                      <w:sz w:val="21"/>
                      <w:szCs w:val="21"/>
                      <w:lang w:val="en-US" w:eastAsia="zh-CN"/>
                    </w:rPr>
                  </w:pPr>
                  <w:r>
                    <w:rPr>
                      <w:rFonts w:hint="eastAsia" w:eastAsia="宋体" w:cs="Times New Roman"/>
                      <w:b/>
                      <w:bCs/>
                      <w:color w:val="auto"/>
                      <w:sz w:val="21"/>
                      <w:szCs w:val="21"/>
                      <w:lang w:val="en-US" w:eastAsia="zh-CN"/>
                    </w:rPr>
                    <w:t>年发生</w:t>
                  </w:r>
                </w:p>
                <w:p w14:paraId="6BFFAD4A">
                  <w:pPr>
                    <w:pStyle w:val="71"/>
                    <w:spacing w:line="240" w:lineRule="auto"/>
                    <w:jc w:val="center"/>
                    <w:rPr>
                      <w:rFonts w:hint="default" w:ascii="Times New Roman" w:hAnsi="Times New Roman" w:eastAsia="宋体" w:cs="Times New Roman"/>
                      <w:b/>
                      <w:bCs/>
                      <w:color w:val="auto"/>
                      <w:sz w:val="21"/>
                      <w:szCs w:val="21"/>
                      <w:lang w:val="en-US" w:eastAsia="zh-CN"/>
                    </w:rPr>
                  </w:pPr>
                  <w:r>
                    <w:rPr>
                      <w:rFonts w:hint="eastAsia" w:eastAsia="宋体" w:cs="Times New Roman"/>
                      <w:b/>
                      <w:bCs/>
                      <w:color w:val="auto"/>
                      <w:sz w:val="21"/>
                      <w:szCs w:val="21"/>
                      <w:lang w:val="en-US" w:eastAsia="zh-CN"/>
                    </w:rPr>
                    <w:t>频次</w:t>
                  </w:r>
                </w:p>
              </w:tc>
              <w:tc>
                <w:tcPr>
                  <w:tcW w:w="1070" w:type="dxa"/>
                  <w:tcBorders>
                    <w:tl2br w:val="nil"/>
                    <w:tr2bl w:val="nil"/>
                  </w:tcBorders>
                  <w:noWrap w:val="0"/>
                  <w:vAlign w:val="center"/>
                </w:tcPr>
                <w:p w14:paraId="742F638C">
                  <w:pPr>
                    <w:pStyle w:val="71"/>
                    <w:spacing w:line="240" w:lineRule="auto"/>
                    <w:jc w:val="center"/>
                    <w:rPr>
                      <w:rFonts w:hint="eastAsia" w:eastAsia="宋体" w:cs="Times New Roman"/>
                      <w:b/>
                      <w:bCs/>
                      <w:color w:val="auto"/>
                      <w:sz w:val="21"/>
                      <w:szCs w:val="21"/>
                      <w:lang w:val="en-US" w:eastAsia="zh-CN"/>
                    </w:rPr>
                  </w:pPr>
                  <w:r>
                    <w:rPr>
                      <w:rFonts w:hint="eastAsia" w:eastAsia="宋体" w:cs="Times New Roman"/>
                      <w:b/>
                      <w:bCs/>
                      <w:color w:val="auto"/>
                      <w:sz w:val="21"/>
                      <w:szCs w:val="21"/>
                      <w:lang w:val="en-US" w:eastAsia="zh-CN"/>
                    </w:rPr>
                    <w:t>应对措施</w:t>
                  </w:r>
                </w:p>
              </w:tc>
            </w:tr>
            <w:tr w14:paraId="53B8A1A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37" w:hRule="atLeast"/>
                <w:jc w:val="center"/>
              </w:trPr>
              <w:tc>
                <w:tcPr>
                  <w:tcW w:w="1128" w:type="dxa"/>
                  <w:tcBorders>
                    <w:tl2br w:val="nil"/>
                    <w:tr2bl w:val="nil"/>
                  </w:tcBorders>
                  <w:noWrap w:val="0"/>
                  <w:vAlign w:val="center"/>
                </w:tcPr>
                <w:p w14:paraId="6AF24DEF">
                  <w:pPr>
                    <w:pStyle w:val="71"/>
                    <w:spacing w:line="240" w:lineRule="auto"/>
                    <w:jc w:val="center"/>
                    <w:rPr>
                      <w:rFonts w:hint="default" w:ascii="Times New Roman" w:hAnsi="Times New Roman" w:eastAsia="宋体" w:cs="Times New Roman"/>
                      <w:color w:val="auto"/>
                      <w:sz w:val="21"/>
                      <w:szCs w:val="21"/>
                      <w:lang w:val="en-US"/>
                    </w:rPr>
                  </w:pPr>
                  <w:r>
                    <w:rPr>
                      <w:rFonts w:hint="eastAsia" w:eastAsia="宋体" w:cs="Times New Roman"/>
                      <w:color w:val="auto"/>
                      <w:sz w:val="21"/>
                      <w:szCs w:val="21"/>
                      <w:lang w:val="en-US" w:eastAsia="zh-CN"/>
                    </w:rPr>
                    <w:t>DA001</w:t>
                  </w:r>
                </w:p>
              </w:tc>
              <w:tc>
                <w:tcPr>
                  <w:tcW w:w="895" w:type="dxa"/>
                  <w:tcBorders>
                    <w:tl2br w:val="nil"/>
                    <w:tr2bl w:val="nil"/>
                  </w:tcBorders>
                  <w:noWrap w:val="0"/>
                  <w:vAlign w:val="center"/>
                </w:tcPr>
                <w:p w14:paraId="30766D7B">
                  <w:pPr>
                    <w:pStyle w:val="71"/>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颗粒物</w:t>
                  </w:r>
                </w:p>
              </w:tc>
              <w:tc>
                <w:tcPr>
                  <w:tcW w:w="1655" w:type="dxa"/>
                  <w:tcBorders>
                    <w:tl2br w:val="nil"/>
                    <w:tr2bl w:val="nil"/>
                  </w:tcBorders>
                  <w:noWrap w:val="0"/>
                  <w:vAlign w:val="center"/>
                </w:tcPr>
                <w:p w14:paraId="057C4A3D">
                  <w:pPr>
                    <w:pStyle w:val="71"/>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布袋除尘器损坏，设备去除率为</w:t>
                  </w:r>
                  <w:r>
                    <w:rPr>
                      <w:rFonts w:hint="eastAsia" w:eastAsia="宋体" w:cs="Times New Roman"/>
                      <w:color w:val="auto"/>
                      <w:sz w:val="21"/>
                      <w:szCs w:val="21"/>
                      <w:lang w:val="en-US" w:eastAsia="zh-CN"/>
                    </w:rPr>
                    <w:t>9</w:t>
                  </w:r>
                  <w:r>
                    <w:rPr>
                      <w:rFonts w:hint="default" w:ascii="Times New Roman" w:hAnsi="Times New Roman" w:eastAsia="宋体" w:cs="Times New Roman"/>
                      <w:color w:val="auto"/>
                      <w:sz w:val="21"/>
                      <w:szCs w:val="21"/>
                      <w:lang w:val="en-US" w:eastAsia="zh-CN"/>
                    </w:rPr>
                    <w:t>0%</w:t>
                  </w:r>
                </w:p>
              </w:tc>
              <w:tc>
                <w:tcPr>
                  <w:tcW w:w="1070" w:type="dxa"/>
                  <w:tcBorders>
                    <w:tl2br w:val="nil"/>
                    <w:tr2bl w:val="nil"/>
                  </w:tcBorders>
                  <w:noWrap w:val="0"/>
                  <w:vAlign w:val="center"/>
                </w:tcPr>
                <w:p w14:paraId="4EF5CF23">
                  <w:pPr>
                    <w:pStyle w:val="71"/>
                    <w:spacing w:line="240" w:lineRule="auto"/>
                    <w:jc w:val="center"/>
                    <w:rPr>
                      <w:rFonts w:hint="default" w:ascii="Times New Roman" w:hAnsi="Times New Roman" w:eastAsia="宋体" w:cs="Times New Roman"/>
                      <w:color w:val="auto"/>
                      <w:sz w:val="21"/>
                      <w:szCs w:val="21"/>
                      <w:lang w:val="en-US" w:eastAsia="zh-CN"/>
                    </w:rPr>
                  </w:pPr>
                  <w:r>
                    <w:rPr>
                      <w:rFonts w:hint="eastAsia" w:eastAsia="宋体" w:cs="Times New Roman"/>
                      <w:color w:val="auto"/>
                      <w:sz w:val="21"/>
                      <w:szCs w:val="21"/>
                      <w:lang w:val="en-US" w:eastAsia="zh-CN"/>
                    </w:rPr>
                    <w:t>7.31</w:t>
                  </w:r>
                </w:p>
              </w:tc>
              <w:tc>
                <w:tcPr>
                  <w:tcW w:w="1070" w:type="dxa"/>
                  <w:tcBorders>
                    <w:tl2br w:val="nil"/>
                    <w:tr2bl w:val="nil"/>
                  </w:tcBorders>
                  <w:noWrap w:val="0"/>
                  <w:vAlign w:val="center"/>
                </w:tcPr>
                <w:p w14:paraId="39DD157A">
                  <w:pPr>
                    <w:pStyle w:val="71"/>
                    <w:spacing w:line="240" w:lineRule="auto"/>
                    <w:jc w:val="center"/>
                    <w:rPr>
                      <w:rFonts w:hint="default" w:eastAsia="宋体" w:cs="Times New Roman"/>
                      <w:color w:val="auto"/>
                      <w:sz w:val="21"/>
                      <w:szCs w:val="21"/>
                      <w:lang w:val="en-US" w:eastAsia="zh-CN"/>
                    </w:rPr>
                  </w:pPr>
                  <w:r>
                    <w:rPr>
                      <w:rFonts w:hint="eastAsia" w:eastAsia="宋体" w:cs="Times New Roman"/>
                      <w:color w:val="auto"/>
                      <w:sz w:val="21"/>
                      <w:szCs w:val="21"/>
                      <w:lang w:val="en-US" w:eastAsia="zh-CN"/>
                    </w:rPr>
                    <w:t>≤1h</w:t>
                  </w:r>
                </w:p>
              </w:tc>
              <w:tc>
                <w:tcPr>
                  <w:tcW w:w="1070" w:type="dxa"/>
                  <w:tcBorders>
                    <w:tl2br w:val="nil"/>
                    <w:tr2bl w:val="nil"/>
                  </w:tcBorders>
                  <w:noWrap w:val="0"/>
                  <w:vAlign w:val="center"/>
                </w:tcPr>
                <w:p w14:paraId="038976A5">
                  <w:pPr>
                    <w:pStyle w:val="71"/>
                    <w:spacing w:line="240" w:lineRule="auto"/>
                    <w:jc w:val="center"/>
                    <w:rPr>
                      <w:rFonts w:hint="default" w:eastAsia="宋体" w:cs="Times New Roman"/>
                      <w:color w:val="auto"/>
                      <w:sz w:val="21"/>
                      <w:szCs w:val="21"/>
                      <w:lang w:val="en-US" w:eastAsia="zh-CN"/>
                    </w:rPr>
                  </w:pPr>
                  <w:r>
                    <w:rPr>
                      <w:rFonts w:hint="eastAsia" w:eastAsia="宋体" w:cs="Times New Roman"/>
                      <w:color w:val="auto"/>
                      <w:sz w:val="21"/>
                      <w:szCs w:val="21"/>
                      <w:lang w:val="en-US" w:eastAsia="zh-CN"/>
                    </w:rPr>
                    <w:t>1次</w:t>
                  </w:r>
                </w:p>
              </w:tc>
              <w:tc>
                <w:tcPr>
                  <w:tcW w:w="1070" w:type="dxa"/>
                  <w:tcBorders>
                    <w:tl2br w:val="nil"/>
                    <w:tr2bl w:val="nil"/>
                  </w:tcBorders>
                  <w:noWrap w:val="0"/>
                  <w:vAlign w:val="center"/>
                </w:tcPr>
                <w:p w14:paraId="46C2512B">
                  <w:pPr>
                    <w:pStyle w:val="71"/>
                    <w:spacing w:line="240" w:lineRule="auto"/>
                    <w:jc w:val="center"/>
                    <w:rPr>
                      <w:rFonts w:hint="eastAsia" w:eastAsia="宋体" w:cs="Times New Roman"/>
                      <w:color w:val="auto"/>
                      <w:sz w:val="21"/>
                      <w:szCs w:val="21"/>
                      <w:lang w:val="en-US" w:eastAsia="zh-CN"/>
                    </w:rPr>
                  </w:pPr>
                  <w:r>
                    <w:rPr>
                      <w:rFonts w:hint="eastAsia" w:eastAsia="宋体" w:cs="Times New Roman"/>
                      <w:color w:val="auto"/>
                      <w:sz w:val="21"/>
                      <w:szCs w:val="21"/>
                      <w:lang w:val="en-US" w:eastAsia="zh-CN"/>
                    </w:rPr>
                    <w:t>加强日常检修</w:t>
                  </w:r>
                </w:p>
              </w:tc>
            </w:tr>
          </w:tbl>
          <w:p w14:paraId="5F48E3AE">
            <w:pPr>
              <w:keepNext w:val="0"/>
              <w:keepLines w:val="0"/>
              <w:widowControl/>
              <w:suppressLineNumbers w:val="0"/>
              <w:spacing w:line="360" w:lineRule="auto"/>
              <w:ind w:firstLine="480" w:firstLineChars="200"/>
              <w:jc w:val="left"/>
              <w:rPr>
                <w:rFonts w:hint="eastAsia" w:cs="Times New Roman"/>
                <w:b w:val="0"/>
                <w:bCs w:val="0"/>
                <w:color w:val="auto"/>
                <w:sz w:val="24"/>
                <w:szCs w:val="24"/>
                <w:highlight w:val="none"/>
                <w:lang w:val="en-US" w:eastAsia="zh-CN"/>
              </w:rPr>
            </w:pPr>
            <w:r>
              <w:rPr>
                <w:rFonts w:hint="eastAsia" w:cs="Times New Roman"/>
                <w:b w:val="0"/>
                <w:bCs w:val="0"/>
                <w:color w:val="auto"/>
                <w:sz w:val="24"/>
                <w:szCs w:val="24"/>
                <w:highlight w:val="none"/>
                <w:lang w:val="en-US" w:eastAsia="zh-CN"/>
              </w:rPr>
              <w:t>（2）非正常工况采取的环境保护措施</w:t>
            </w:r>
          </w:p>
          <w:p w14:paraId="7BC04A51">
            <w:pPr>
              <w:keepNext w:val="0"/>
              <w:keepLines w:val="0"/>
              <w:widowControl/>
              <w:suppressLineNumbers w:val="0"/>
              <w:spacing w:line="360" w:lineRule="auto"/>
              <w:ind w:firstLine="480" w:firstLineChars="200"/>
              <w:jc w:val="left"/>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本项目处于非正常工况状态下，会造成短期内厂区大气污染物超标排放的后果，为减少非正常工况下废气产生的污染物对周围环境的影响，本项目要求企业考虑采取如下措施减少非正常排放的发生</w:t>
            </w:r>
            <w:r>
              <w:rPr>
                <w:rFonts w:hint="eastAsia" w:cs="Times New Roman"/>
                <w:b w:val="0"/>
                <w:bCs w:val="0"/>
                <w:color w:val="auto"/>
                <w:sz w:val="24"/>
                <w:szCs w:val="24"/>
                <w:highlight w:val="none"/>
                <w:lang w:val="en-US" w:eastAsia="zh-CN"/>
              </w:rPr>
              <w:t>：</w:t>
            </w:r>
          </w:p>
          <w:p w14:paraId="674F8FE5">
            <w:pPr>
              <w:keepNext w:val="0"/>
              <w:keepLines w:val="0"/>
              <w:widowControl/>
              <w:suppressLineNumbers w:val="0"/>
              <w:spacing w:line="360" w:lineRule="auto"/>
              <w:ind w:firstLine="480" w:firstLineChars="200"/>
              <w:jc w:val="left"/>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①项目运行时，首先运行所有的废气处理装置，然后再进行生产作业，使生产中产生的废气都能得到及时处理。停止生产时，所有的废气处理装置继续运转，待废气完全排除后再逐台关闭。</w:t>
            </w:r>
          </w:p>
          <w:p w14:paraId="64D8EBF6">
            <w:pPr>
              <w:keepNext w:val="0"/>
              <w:keepLines w:val="0"/>
              <w:widowControl/>
              <w:suppressLineNumbers w:val="0"/>
              <w:spacing w:line="360" w:lineRule="auto"/>
              <w:ind w:firstLine="480" w:firstLineChars="200"/>
              <w:jc w:val="left"/>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②对废气处理装置定期清灰、保养和维护，提高设备的运行稳定性。</w:t>
            </w:r>
          </w:p>
          <w:p w14:paraId="610869B3">
            <w:pPr>
              <w:keepNext w:val="0"/>
              <w:keepLines w:val="0"/>
              <w:widowControl/>
              <w:suppressLineNumbers w:val="0"/>
              <w:spacing w:line="360" w:lineRule="auto"/>
              <w:ind w:firstLine="480" w:firstLineChars="200"/>
              <w:jc w:val="left"/>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③加强委托监测的频率，减少非正常排放的可能，对比监测数据，对于数据排放异常的情况分析其原因，排查异常排放是否因为废气处置装置的效率影响，并解除此影响。</w:t>
            </w:r>
          </w:p>
          <w:p w14:paraId="72B94430">
            <w:pPr>
              <w:keepNext w:val="0"/>
              <w:keepLines w:val="0"/>
              <w:widowControl/>
              <w:suppressLineNumbers w:val="0"/>
              <w:spacing w:line="360" w:lineRule="auto"/>
              <w:ind w:firstLine="480" w:firstLineChars="200"/>
              <w:jc w:val="left"/>
              <w:rPr>
                <w:rFonts w:hint="default" w:ascii="Times New Roman" w:hAnsi="Times New Roman" w:cs="Times New Roman"/>
                <w:b w:val="0"/>
                <w:bCs w:val="0"/>
                <w:color w:val="auto"/>
                <w:sz w:val="24"/>
                <w:szCs w:val="24"/>
                <w:highlight w:val="none"/>
                <w:lang w:val="en-US" w:eastAsia="zh-CN"/>
              </w:rPr>
            </w:pPr>
            <w:r>
              <w:rPr>
                <w:rFonts w:hint="default" w:ascii="Times New Roman" w:hAnsi="Times New Roman" w:cs="Times New Roman"/>
                <w:b w:val="0"/>
                <w:bCs w:val="0"/>
                <w:color w:val="auto"/>
                <w:sz w:val="24"/>
                <w:szCs w:val="24"/>
                <w:highlight w:val="none"/>
                <w:lang w:val="en-US" w:eastAsia="zh-CN"/>
              </w:rPr>
              <w:t>④出现废气净化装置效率下降的情况，应及时停止生产作业，运行正常后才能恢复生产。</w:t>
            </w:r>
          </w:p>
          <w:p w14:paraId="200B42A5">
            <w:pPr>
              <w:keepNext w:val="0"/>
              <w:keepLines w:val="0"/>
              <w:widowControl/>
              <w:suppressLineNumbers w:val="0"/>
              <w:spacing w:line="360" w:lineRule="auto"/>
              <w:ind w:firstLine="480" w:firstLineChars="200"/>
              <w:jc w:val="left"/>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b w:val="0"/>
                <w:bCs w:val="0"/>
                <w:color w:val="auto"/>
                <w:sz w:val="24"/>
                <w:szCs w:val="24"/>
                <w:highlight w:val="none"/>
                <w:lang w:val="en-US" w:eastAsia="zh-CN"/>
              </w:rPr>
              <w:t>4</w:t>
            </w:r>
            <w:r>
              <w:rPr>
                <w:rFonts w:hint="default" w:ascii="Times New Roman" w:hAnsi="Times New Roman" w:eastAsia="宋体" w:cs="Times New Roman"/>
                <w:b w:val="0"/>
                <w:bCs w:val="0"/>
                <w:color w:val="auto"/>
                <w:sz w:val="24"/>
                <w:szCs w:val="24"/>
                <w:highlight w:val="none"/>
                <w:lang w:val="en-US" w:eastAsia="zh-CN"/>
              </w:rPr>
              <w:t>、污染防治措施</w:t>
            </w:r>
            <w:r>
              <w:rPr>
                <w:rFonts w:hint="default" w:ascii="Times New Roman" w:hAnsi="Times New Roman" w:eastAsia="宋体" w:cs="Times New Roman"/>
                <w:b w:val="0"/>
                <w:bCs w:val="0"/>
                <w:color w:val="auto"/>
                <w:kern w:val="2"/>
                <w:sz w:val="24"/>
                <w:szCs w:val="24"/>
                <w:lang w:val="en-US" w:eastAsia="zh-CN" w:bidi="ar-SA"/>
              </w:rPr>
              <w:t>可行性分析</w:t>
            </w:r>
          </w:p>
          <w:p w14:paraId="16C6F9D8">
            <w:pPr>
              <w:spacing w:line="360" w:lineRule="auto"/>
              <w:ind w:firstLine="480" w:firstLineChars="200"/>
              <w:rPr>
                <w:rFonts w:hint="default"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根据《排污许可证申请与核发技术规范 工业炉窑》（HJ1121-2020）附录A.1废气可行技术参考表：加热工艺产生的颗粒物可行技术为袋式除尘，项目热风炉烟气采用布袋除尘器处理，属于可行性技术。</w:t>
            </w:r>
          </w:p>
          <w:p w14:paraId="13B89BC3">
            <w:pPr>
              <w:spacing w:line="360" w:lineRule="auto"/>
              <w:ind w:firstLine="480" w:firstLineChars="200"/>
              <w:rPr>
                <w:rFonts w:hint="eastAsia" w:cs="Times New Roman"/>
                <w:b w:val="0"/>
                <w:bCs w:val="0"/>
                <w:color w:val="auto"/>
                <w:kern w:val="2"/>
                <w:sz w:val="24"/>
                <w:szCs w:val="24"/>
                <w:lang w:val="en-US" w:eastAsia="zh-CN" w:bidi="ar-SA"/>
              </w:rPr>
            </w:pPr>
            <w:r>
              <w:rPr>
                <w:rFonts w:hint="eastAsia" w:cs="Times New Roman"/>
                <w:b w:val="0"/>
                <w:bCs w:val="0"/>
                <w:color w:val="auto"/>
                <w:kern w:val="2"/>
                <w:sz w:val="24"/>
                <w:szCs w:val="24"/>
                <w:lang w:val="en-US" w:eastAsia="zh-CN" w:bidi="ar-SA"/>
              </w:rPr>
              <w:t>布袋除尘器：袋式除尘器是一种干式滤尘装置，它适用于捕集细小、干燥粉尘。滤袋采用纺织的滤布或非纺织的毡制成，利用纤维织物的过滤作用对含尘气体进行过滤，当含尘气体进入袋式除尘器后，颗粒大、比重大的粉尘，由于重力的作用沉降下来，落入灰斗，含有较细小粉尘的气体在通过滤料时，粉尘被阻留，使气体得到净化。</w:t>
            </w:r>
            <w:r>
              <w:rPr>
                <w:rFonts w:hint="eastAsia" w:ascii="Times New Roman" w:hAnsi="Times New Roman" w:eastAsia="宋体" w:cs="Times New Roman"/>
                <w:color w:val="auto"/>
                <w:kern w:val="2"/>
                <w:sz w:val="24"/>
                <w:szCs w:val="24"/>
                <w:highlight w:val="none"/>
                <w:lang w:val="en-US" w:eastAsia="zh-CN" w:bidi="ar-SA"/>
              </w:rPr>
              <w:t>根据《污染源源强核算技术指南 锅炉》（HJ991-2018）表B.6，袋式除尘器颗粒物脱除效率为99%~99.99%，本项目取99%。</w:t>
            </w:r>
          </w:p>
          <w:p w14:paraId="6DA15A40">
            <w:pPr>
              <w:keepNext w:val="0"/>
              <w:keepLines w:val="0"/>
              <w:widowControl/>
              <w:suppressLineNumbers w:val="0"/>
              <w:jc w:val="center"/>
              <w:rPr>
                <w:rFonts w:hint="default" w:ascii="Times New Roman" w:hAnsi="Times New Roman" w:cs="Times New Roman"/>
                <w:color w:val="auto"/>
                <w:sz w:val="24"/>
                <w:szCs w:val="24"/>
              </w:rPr>
            </w:pPr>
            <w:r>
              <w:rPr>
                <w:rFonts w:hint="default" w:ascii="Times New Roman" w:hAnsi="Times New Roman" w:eastAsia="宋体" w:cs="Times New Roman"/>
                <w:b/>
                <w:bCs/>
                <w:color w:val="auto"/>
                <w:kern w:val="0"/>
                <w:sz w:val="24"/>
                <w:szCs w:val="24"/>
                <w:lang w:val="en-US" w:eastAsia="zh-CN" w:bidi="ar"/>
              </w:rPr>
              <w:t>表4-</w:t>
            </w:r>
            <w:r>
              <w:rPr>
                <w:rFonts w:hint="eastAsia" w:cs="Times New Roman"/>
                <w:b/>
                <w:bCs/>
                <w:color w:val="auto"/>
                <w:kern w:val="0"/>
                <w:sz w:val="24"/>
                <w:szCs w:val="24"/>
                <w:lang w:val="en-US" w:eastAsia="zh-CN" w:bidi="ar"/>
              </w:rPr>
              <w:t>3</w:t>
            </w:r>
            <w:r>
              <w:rPr>
                <w:rFonts w:hint="default" w:ascii="Times New Roman" w:hAnsi="Times New Roman" w:eastAsia="宋体" w:cs="Times New Roman"/>
                <w:b/>
                <w:bCs/>
                <w:color w:val="auto"/>
                <w:kern w:val="0"/>
                <w:sz w:val="24"/>
                <w:szCs w:val="24"/>
                <w:lang w:val="en-US" w:eastAsia="zh-CN" w:bidi="ar"/>
              </w:rPr>
              <w:t xml:space="preserve"> 污染防治可行技术对照分析表</w:t>
            </w:r>
          </w:p>
          <w:tbl>
            <w:tblPr>
              <w:tblStyle w:val="30"/>
              <w:tblW w:w="7916"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8"/>
              <w:gridCol w:w="685"/>
              <w:gridCol w:w="718"/>
              <w:gridCol w:w="477"/>
              <w:gridCol w:w="859"/>
              <w:gridCol w:w="2069"/>
              <w:gridCol w:w="645"/>
              <w:gridCol w:w="945"/>
              <w:gridCol w:w="730"/>
            </w:tblGrid>
            <w:tr w14:paraId="2A31BD6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3" w:hRule="atLeast"/>
                <w:jc w:val="center"/>
              </w:trPr>
              <w:tc>
                <w:tcPr>
                  <w:tcW w:w="788" w:type="dxa"/>
                  <w:vMerge w:val="restart"/>
                  <w:tcBorders>
                    <w:tl2br w:val="nil"/>
                    <w:tr2bl w:val="nil"/>
                  </w:tcBorders>
                  <w:noWrap w:val="0"/>
                  <w:vAlign w:val="center"/>
                </w:tcPr>
                <w:p w14:paraId="7D3CFE81">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主要产污单元</w:t>
                  </w:r>
                </w:p>
              </w:tc>
              <w:tc>
                <w:tcPr>
                  <w:tcW w:w="685" w:type="dxa"/>
                  <w:vMerge w:val="restart"/>
                  <w:tcBorders>
                    <w:tl2br w:val="nil"/>
                    <w:tr2bl w:val="nil"/>
                  </w:tcBorders>
                  <w:noWrap w:val="0"/>
                  <w:vAlign w:val="center"/>
                </w:tcPr>
                <w:p w14:paraId="43336F93">
                  <w:pPr>
                    <w:pStyle w:val="71"/>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产污环节</w:t>
                  </w:r>
                </w:p>
              </w:tc>
              <w:tc>
                <w:tcPr>
                  <w:tcW w:w="718" w:type="dxa"/>
                  <w:vMerge w:val="restart"/>
                  <w:tcBorders>
                    <w:tl2br w:val="nil"/>
                    <w:tr2bl w:val="nil"/>
                  </w:tcBorders>
                  <w:noWrap w:val="0"/>
                  <w:vAlign w:val="center"/>
                </w:tcPr>
                <w:p w14:paraId="5624BE8C">
                  <w:pPr>
                    <w:pStyle w:val="71"/>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rPr>
                    <w:t>污染物</w:t>
                  </w:r>
                </w:p>
              </w:tc>
              <w:tc>
                <w:tcPr>
                  <w:tcW w:w="477" w:type="dxa"/>
                  <w:vMerge w:val="restart"/>
                  <w:tcBorders>
                    <w:tl2br w:val="nil"/>
                    <w:tr2bl w:val="nil"/>
                  </w:tcBorders>
                  <w:noWrap w:val="0"/>
                  <w:vAlign w:val="center"/>
                </w:tcPr>
                <w:p w14:paraId="1F6D2587">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排放形式</w:t>
                  </w:r>
                </w:p>
              </w:tc>
              <w:tc>
                <w:tcPr>
                  <w:tcW w:w="859" w:type="dxa"/>
                  <w:vMerge w:val="restart"/>
                  <w:tcBorders>
                    <w:tl2br w:val="nil"/>
                    <w:tr2bl w:val="nil"/>
                  </w:tcBorders>
                  <w:noWrap w:val="0"/>
                  <w:vAlign w:val="center"/>
                </w:tcPr>
                <w:p w14:paraId="53563C52">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排放口</w:t>
                  </w:r>
                </w:p>
              </w:tc>
              <w:tc>
                <w:tcPr>
                  <w:tcW w:w="2069" w:type="dxa"/>
                  <w:vMerge w:val="restart"/>
                  <w:tcBorders>
                    <w:tl2br w:val="nil"/>
                    <w:tr2bl w:val="nil"/>
                  </w:tcBorders>
                  <w:noWrap w:val="0"/>
                  <w:vAlign w:val="center"/>
                </w:tcPr>
                <w:p w14:paraId="737A2465">
                  <w:pPr>
                    <w:pStyle w:val="71"/>
                    <w:spacing w:line="240" w:lineRule="auto"/>
                    <w:jc w:val="center"/>
                    <w:rPr>
                      <w:rFonts w:hint="default" w:ascii="Times New Roman" w:hAnsi="Times New Roman" w:eastAsia="宋体" w:cs="Times New Roman"/>
                      <w:b/>
                      <w:bCs/>
                      <w:color w:val="auto"/>
                      <w:sz w:val="21"/>
                      <w:szCs w:val="21"/>
                    </w:rPr>
                  </w:pPr>
                  <w:r>
                    <w:rPr>
                      <w:rFonts w:hint="default" w:ascii="Times New Roman" w:hAnsi="Times New Roman" w:eastAsia="宋体" w:cs="Times New Roman"/>
                      <w:b/>
                      <w:bCs/>
                      <w:color w:val="auto"/>
                      <w:sz w:val="21"/>
                      <w:szCs w:val="21"/>
                      <w:lang w:eastAsia="zh-CN"/>
                    </w:rPr>
                    <w:t>执行</w:t>
                  </w:r>
                  <w:r>
                    <w:rPr>
                      <w:rFonts w:hint="default" w:ascii="Times New Roman" w:hAnsi="Times New Roman" w:eastAsia="宋体" w:cs="Times New Roman"/>
                      <w:b/>
                      <w:bCs/>
                      <w:color w:val="auto"/>
                      <w:sz w:val="21"/>
                      <w:szCs w:val="21"/>
                    </w:rPr>
                    <w:t>排放标准</w:t>
                  </w:r>
                </w:p>
              </w:tc>
              <w:tc>
                <w:tcPr>
                  <w:tcW w:w="645" w:type="dxa"/>
                  <w:vMerge w:val="restart"/>
                  <w:tcBorders>
                    <w:tl2br w:val="nil"/>
                    <w:tr2bl w:val="nil"/>
                  </w:tcBorders>
                  <w:noWrap w:val="0"/>
                  <w:vAlign w:val="center"/>
                </w:tcPr>
                <w:p w14:paraId="4BEB52A9">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排放口类型</w:t>
                  </w:r>
                </w:p>
              </w:tc>
              <w:tc>
                <w:tcPr>
                  <w:tcW w:w="1675" w:type="dxa"/>
                  <w:gridSpan w:val="2"/>
                  <w:tcBorders>
                    <w:tl2br w:val="nil"/>
                    <w:tr2bl w:val="nil"/>
                  </w:tcBorders>
                  <w:noWrap w:val="0"/>
                  <w:vAlign w:val="center"/>
                </w:tcPr>
                <w:p w14:paraId="7CE154E6">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污染防治措施</w:t>
                  </w:r>
                </w:p>
              </w:tc>
            </w:tr>
            <w:tr w14:paraId="0B77EC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33" w:hRule="atLeast"/>
                <w:jc w:val="center"/>
              </w:trPr>
              <w:tc>
                <w:tcPr>
                  <w:tcW w:w="788" w:type="dxa"/>
                  <w:vMerge w:val="continue"/>
                  <w:tcBorders>
                    <w:tl2br w:val="nil"/>
                    <w:tr2bl w:val="nil"/>
                  </w:tcBorders>
                  <w:noWrap w:val="0"/>
                  <w:vAlign w:val="center"/>
                </w:tcPr>
                <w:p w14:paraId="0797C62F">
                  <w:pPr>
                    <w:pStyle w:val="71"/>
                    <w:spacing w:line="240" w:lineRule="auto"/>
                    <w:jc w:val="center"/>
                    <w:rPr>
                      <w:rFonts w:hint="default" w:ascii="Times New Roman" w:hAnsi="Times New Roman" w:cs="Times New Roman"/>
                      <w:b/>
                      <w:bCs/>
                      <w:color w:val="auto"/>
                      <w:sz w:val="21"/>
                      <w:szCs w:val="21"/>
                    </w:rPr>
                  </w:pPr>
                </w:p>
              </w:tc>
              <w:tc>
                <w:tcPr>
                  <w:tcW w:w="685" w:type="dxa"/>
                  <w:vMerge w:val="continue"/>
                  <w:tcBorders>
                    <w:tl2br w:val="nil"/>
                    <w:tr2bl w:val="nil"/>
                  </w:tcBorders>
                  <w:noWrap w:val="0"/>
                  <w:vAlign w:val="center"/>
                </w:tcPr>
                <w:p w14:paraId="524396FE">
                  <w:pPr>
                    <w:pStyle w:val="71"/>
                    <w:spacing w:line="240" w:lineRule="auto"/>
                    <w:jc w:val="center"/>
                    <w:rPr>
                      <w:rFonts w:hint="default" w:ascii="Times New Roman" w:hAnsi="Times New Roman" w:cs="Times New Roman"/>
                      <w:b/>
                      <w:bCs/>
                      <w:color w:val="auto"/>
                      <w:sz w:val="21"/>
                      <w:szCs w:val="21"/>
                    </w:rPr>
                  </w:pPr>
                </w:p>
              </w:tc>
              <w:tc>
                <w:tcPr>
                  <w:tcW w:w="718" w:type="dxa"/>
                  <w:vMerge w:val="continue"/>
                  <w:tcBorders>
                    <w:tl2br w:val="nil"/>
                    <w:tr2bl w:val="nil"/>
                  </w:tcBorders>
                  <w:noWrap w:val="0"/>
                  <w:vAlign w:val="center"/>
                </w:tcPr>
                <w:p w14:paraId="342C8883">
                  <w:pPr>
                    <w:pStyle w:val="71"/>
                    <w:spacing w:line="240" w:lineRule="auto"/>
                    <w:jc w:val="center"/>
                    <w:rPr>
                      <w:rFonts w:hint="default" w:ascii="Times New Roman" w:hAnsi="Times New Roman" w:cs="Times New Roman"/>
                      <w:b/>
                      <w:bCs/>
                      <w:color w:val="auto"/>
                      <w:sz w:val="21"/>
                      <w:szCs w:val="21"/>
                    </w:rPr>
                  </w:pPr>
                </w:p>
              </w:tc>
              <w:tc>
                <w:tcPr>
                  <w:tcW w:w="477" w:type="dxa"/>
                  <w:vMerge w:val="continue"/>
                  <w:tcBorders>
                    <w:tl2br w:val="nil"/>
                    <w:tr2bl w:val="nil"/>
                  </w:tcBorders>
                  <w:noWrap w:val="0"/>
                  <w:vAlign w:val="center"/>
                </w:tcPr>
                <w:p w14:paraId="653E4C2E">
                  <w:pPr>
                    <w:pStyle w:val="71"/>
                    <w:spacing w:line="240" w:lineRule="auto"/>
                    <w:jc w:val="center"/>
                    <w:rPr>
                      <w:rFonts w:hint="default" w:ascii="Times New Roman" w:hAnsi="Times New Roman" w:cs="Times New Roman"/>
                      <w:b/>
                      <w:bCs/>
                      <w:color w:val="auto"/>
                      <w:sz w:val="21"/>
                      <w:szCs w:val="21"/>
                    </w:rPr>
                  </w:pPr>
                </w:p>
              </w:tc>
              <w:tc>
                <w:tcPr>
                  <w:tcW w:w="859" w:type="dxa"/>
                  <w:vMerge w:val="continue"/>
                  <w:tcBorders>
                    <w:tl2br w:val="nil"/>
                    <w:tr2bl w:val="nil"/>
                  </w:tcBorders>
                  <w:noWrap w:val="0"/>
                  <w:vAlign w:val="center"/>
                </w:tcPr>
                <w:p w14:paraId="6D5EBB05">
                  <w:pPr>
                    <w:pStyle w:val="71"/>
                    <w:spacing w:line="240" w:lineRule="auto"/>
                    <w:jc w:val="center"/>
                    <w:rPr>
                      <w:rFonts w:hint="default" w:ascii="Times New Roman" w:hAnsi="Times New Roman" w:cs="Times New Roman"/>
                      <w:b/>
                      <w:bCs/>
                      <w:color w:val="auto"/>
                      <w:sz w:val="21"/>
                      <w:szCs w:val="21"/>
                    </w:rPr>
                  </w:pPr>
                </w:p>
              </w:tc>
              <w:tc>
                <w:tcPr>
                  <w:tcW w:w="2069" w:type="dxa"/>
                  <w:vMerge w:val="continue"/>
                  <w:tcBorders>
                    <w:tl2br w:val="nil"/>
                    <w:tr2bl w:val="nil"/>
                  </w:tcBorders>
                  <w:noWrap w:val="0"/>
                  <w:vAlign w:val="center"/>
                </w:tcPr>
                <w:p w14:paraId="2192256E">
                  <w:pPr>
                    <w:pStyle w:val="71"/>
                    <w:spacing w:line="240" w:lineRule="auto"/>
                    <w:jc w:val="center"/>
                    <w:rPr>
                      <w:rFonts w:hint="default" w:ascii="Times New Roman" w:hAnsi="Times New Roman" w:cs="Times New Roman"/>
                      <w:b/>
                      <w:bCs/>
                      <w:color w:val="auto"/>
                      <w:sz w:val="21"/>
                      <w:szCs w:val="21"/>
                    </w:rPr>
                  </w:pPr>
                </w:p>
              </w:tc>
              <w:tc>
                <w:tcPr>
                  <w:tcW w:w="645" w:type="dxa"/>
                  <w:vMerge w:val="continue"/>
                  <w:tcBorders>
                    <w:tl2br w:val="nil"/>
                    <w:tr2bl w:val="nil"/>
                  </w:tcBorders>
                  <w:noWrap w:val="0"/>
                  <w:vAlign w:val="center"/>
                </w:tcPr>
                <w:p w14:paraId="28D69456">
                  <w:pPr>
                    <w:pStyle w:val="71"/>
                    <w:spacing w:line="240" w:lineRule="auto"/>
                    <w:jc w:val="center"/>
                    <w:rPr>
                      <w:rFonts w:hint="default" w:ascii="Times New Roman" w:hAnsi="Times New Roman" w:cs="Times New Roman"/>
                      <w:b/>
                      <w:bCs/>
                      <w:color w:val="auto"/>
                      <w:sz w:val="21"/>
                      <w:szCs w:val="21"/>
                    </w:rPr>
                  </w:pPr>
                </w:p>
              </w:tc>
              <w:tc>
                <w:tcPr>
                  <w:tcW w:w="945" w:type="dxa"/>
                  <w:tcBorders>
                    <w:tl2br w:val="nil"/>
                    <w:tr2bl w:val="nil"/>
                  </w:tcBorders>
                  <w:noWrap w:val="0"/>
                  <w:vAlign w:val="center"/>
                </w:tcPr>
                <w:p w14:paraId="6F82E453">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rPr>
                    <w:t>主要污染防治措施</w:t>
                  </w:r>
                </w:p>
              </w:tc>
              <w:tc>
                <w:tcPr>
                  <w:tcW w:w="730" w:type="dxa"/>
                  <w:tcBorders>
                    <w:tl2br w:val="nil"/>
                    <w:tr2bl w:val="nil"/>
                  </w:tcBorders>
                  <w:noWrap w:val="0"/>
                  <w:vAlign w:val="center"/>
                </w:tcPr>
                <w:p w14:paraId="7FB96A56">
                  <w:pPr>
                    <w:pStyle w:val="71"/>
                    <w:spacing w:line="240" w:lineRule="auto"/>
                    <w:jc w:val="center"/>
                    <w:rPr>
                      <w:rFonts w:hint="default" w:ascii="Times New Roman" w:hAnsi="Times New Roman" w:eastAsia="宋体" w:cs="Times New Roman"/>
                      <w:b/>
                      <w:bCs/>
                      <w:color w:val="auto"/>
                      <w:sz w:val="21"/>
                      <w:szCs w:val="21"/>
                      <w:lang w:eastAsia="zh-CN"/>
                    </w:rPr>
                  </w:pPr>
                  <w:r>
                    <w:rPr>
                      <w:rFonts w:hint="default" w:ascii="Times New Roman" w:hAnsi="Times New Roman" w:eastAsia="宋体" w:cs="Times New Roman"/>
                      <w:b/>
                      <w:bCs/>
                      <w:color w:val="auto"/>
                      <w:sz w:val="21"/>
                      <w:szCs w:val="21"/>
                      <w:lang w:eastAsia="zh-CN"/>
                    </w:rPr>
                    <w:t>是否为可行技术</w:t>
                  </w:r>
                </w:p>
              </w:tc>
            </w:tr>
            <w:tr w14:paraId="34F969F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541" w:hRule="atLeast"/>
                <w:jc w:val="center"/>
              </w:trPr>
              <w:tc>
                <w:tcPr>
                  <w:tcW w:w="788" w:type="dxa"/>
                  <w:tcBorders>
                    <w:tl2br w:val="nil"/>
                    <w:tr2bl w:val="nil"/>
                  </w:tcBorders>
                  <w:noWrap w:val="0"/>
                  <w:vAlign w:val="center"/>
                </w:tcPr>
                <w:p w14:paraId="529B7C9E">
                  <w:pPr>
                    <w:pStyle w:val="71"/>
                    <w:spacing w:line="240" w:lineRule="auto"/>
                    <w:jc w:val="center"/>
                    <w:rPr>
                      <w:rFonts w:hint="default" w:ascii="Times New Roman" w:hAnsi="Times New Roman" w:eastAsia="宋体" w:cs="Times New Roman"/>
                      <w:b w:val="0"/>
                      <w:bCs w:val="0"/>
                      <w:color w:val="auto"/>
                      <w:kern w:val="2"/>
                      <w:sz w:val="21"/>
                      <w:szCs w:val="21"/>
                      <w:lang w:val="en-US" w:eastAsia="zh-CN" w:bidi="ar-SA"/>
                    </w:rPr>
                  </w:pPr>
                  <w:r>
                    <w:rPr>
                      <w:rFonts w:hint="default" w:ascii="Times New Roman" w:hAnsi="Times New Roman" w:eastAsia="宋体" w:cs="Times New Roman"/>
                      <w:color w:val="auto"/>
                      <w:sz w:val="21"/>
                      <w:szCs w:val="21"/>
                      <w:lang w:val="en-US" w:eastAsia="zh-CN"/>
                    </w:rPr>
                    <w:t>1台5t/h生物质热风炉</w:t>
                  </w:r>
                </w:p>
              </w:tc>
              <w:tc>
                <w:tcPr>
                  <w:tcW w:w="685" w:type="dxa"/>
                  <w:tcBorders>
                    <w:tl2br w:val="nil"/>
                    <w:tr2bl w:val="nil"/>
                  </w:tcBorders>
                  <w:noWrap w:val="0"/>
                  <w:vAlign w:val="center"/>
                </w:tcPr>
                <w:p w14:paraId="278EBD4B">
                  <w:pPr>
                    <w:pStyle w:val="71"/>
                    <w:spacing w:line="240" w:lineRule="auto"/>
                    <w:jc w:val="center"/>
                    <w:rPr>
                      <w:rFonts w:hint="default" w:ascii="Times New Roman" w:hAnsi="Times New Roman" w:eastAsia="宋体" w:cs="Times New Roman"/>
                      <w:color w:val="auto"/>
                      <w:sz w:val="21"/>
                      <w:szCs w:val="21"/>
                      <w:lang w:eastAsia="zh-CN"/>
                    </w:rPr>
                  </w:pPr>
                  <w:r>
                    <w:rPr>
                      <w:rFonts w:hint="eastAsia" w:eastAsia="宋体" w:cs="Times New Roman"/>
                      <w:color w:val="auto"/>
                      <w:sz w:val="21"/>
                      <w:szCs w:val="21"/>
                      <w:lang w:eastAsia="zh-CN"/>
                    </w:rPr>
                    <w:t>矿</w:t>
                  </w:r>
                  <w:r>
                    <w:rPr>
                      <w:rFonts w:hint="default" w:ascii="Times New Roman" w:hAnsi="Times New Roman" w:eastAsia="宋体" w:cs="Times New Roman"/>
                      <w:color w:val="auto"/>
                      <w:sz w:val="21"/>
                      <w:szCs w:val="21"/>
                      <w:lang w:eastAsia="zh-CN"/>
                    </w:rPr>
                    <w:t>井井筒防冻</w:t>
                  </w:r>
                </w:p>
              </w:tc>
              <w:tc>
                <w:tcPr>
                  <w:tcW w:w="718" w:type="dxa"/>
                  <w:tcBorders>
                    <w:tl2br w:val="nil"/>
                    <w:tr2bl w:val="nil"/>
                  </w:tcBorders>
                  <w:noWrap w:val="0"/>
                  <w:vAlign w:val="center"/>
                </w:tcPr>
                <w:p w14:paraId="5907E711">
                  <w:pPr>
                    <w:pStyle w:val="71"/>
                    <w:spacing w:line="240" w:lineRule="auto"/>
                    <w:jc w:val="center"/>
                    <w:rPr>
                      <w:rFonts w:hint="default" w:ascii="Times New Roman" w:hAnsi="Times New Roman" w:eastAsia="宋体" w:cs="Times New Roman"/>
                      <w:color w:val="auto"/>
                      <w:sz w:val="21"/>
                      <w:szCs w:val="21"/>
                      <w:lang w:val="en-US"/>
                    </w:rPr>
                  </w:pPr>
                  <w:r>
                    <w:rPr>
                      <w:rFonts w:hint="default" w:ascii="Times New Roman" w:hAnsi="Times New Roman" w:eastAsia="宋体" w:cs="Times New Roman"/>
                      <w:color w:val="auto"/>
                      <w:kern w:val="0"/>
                      <w:sz w:val="21"/>
                      <w:szCs w:val="21"/>
                      <w:lang w:val="en-US" w:eastAsia="zh-CN" w:bidi="ar"/>
                    </w:rPr>
                    <w:t>颗粒物、SO</w:t>
                  </w:r>
                  <w:r>
                    <w:rPr>
                      <w:rFonts w:hint="default" w:ascii="Times New Roman" w:hAnsi="Times New Roman" w:eastAsia="宋体" w:cs="Times New Roman"/>
                      <w:color w:val="auto"/>
                      <w:kern w:val="0"/>
                      <w:sz w:val="21"/>
                      <w:szCs w:val="21"/>
                      <w:vertAlign w:val="subscript"/>
                      <w:lang w:val="en-US" w:eastAsia="zh-CN" w:bidi="ar"/>
                    </w:rPr>
                    <w:t>2</w:t>
                  </w:r>
                </w:p>
              </w:tc>
              <w:tc>
                <w:tcPr>
                  <w:tcW w:w="477" w:type="dxa"/>
                  <w:tcBorders>
                    <w:tl2br w:val="nil"/>
                    <w:tr2bl w:val="nil"/>
                  </w:tcBorders>
                  <w:noWrap w:val="0"/>
                  <w:vAlign w:val="center"/>
                </w:tcPr>
                <w:p w14:paraId="0032376A">
                  <w:pPr>
                    <w:pStyle w:val="71"/>
                    <w:spacing w:line="240" w:lineRule="auto"/>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有组织</w:t>
                  </w:r>
                </w:p>
              </w:tc>
              <w:tc>
                <w:tcPr>
                  <w:tcW w:w="859" w:type="dxa"/>
                  <w:tcBorders>
                    <w:tl2br w:val="nil"/>
                    <w:tr2bl w:val="nil"/>
                  </w:tcBorders>
                  <w:noWrap w:val="0"/>
                  <w:vAlign w:val="center"/>
                </w:tcPr>
                <w:p w14:paraId="5D2468C5">
                  <w:pPr>
                    <w:pStyle w:val="71"/>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b w:val="0"/>
                      <w:bCs w:val="0"/>
                      <w:color w:val="auto"/>
                      <w:sz w:val="21"/>
                      <w:szCs w:val="21"/>
                      <w:vertAlign w:val="baseline"/>
                      <w:lang w:val="en-US" w:eastAsia="zh-CN"/>
                    </w:rPr>
                    <w:t>DA001</w:t>
                  </w:r>
                </w:p>
              </w:tc>
              <w:tc>
                <w:tcPr>
                  <w:tcW w:w="2069" w:type="dxa"/>
                  <w:tcBorders>
                    <w:tl2br w:val="nil"/>
                    <w:tr2bl w:val="nil"/>
                  </w:tcBorders>
                  <w:noWrap w:val="0"/>
                  <w:vAlign w:val="center"/>
                </w:tcPr>
                <w:p w14:paraId="744DD901">
                  <w:pPr>
                    <w:pStyle w:val="71"/>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《工业炉窑大气污染物排放标准》</w:t>
                  </w:r>
                </w:p>
                <w:p w14:paraId="67879639">
                  <w:pPr>
                    <w:pStyle w:val="71"/>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（GB9078-1996）</w:t>
                  </w:r>
                </w:p>
                <w:p w14:paraId="6BDDCFD6">
                  <w:pPr>
                    <w:pStyle w:val="71"/>
                    <w:spacing w:line="240" w:lineRule="auto"/>
                    <w:jc w:val="center"/>
                    <w:rPr>
                      <w:rFonts w:hint="default" w:ascii="Times New Roman" w:hAnsi="Times New Roman" w:eastAsia="宋体" w:cs="Times New Roman"/>
                      <w:color w:val="auto"/>
                      <w:sz w:val="21"/>
                      <w:szCs w:val="21"/>
                    </w:rPr>
                  </w:pPr>
                  <w:r>
                    <w:rPr>
                      <w:rFonts w:hint="default" w:ascii="Times New Roman" w:hAnsi="Times New Roman" w:eastAsia="宋体" w:cs="Times New Roman"/>
                      <w:color w:val="auto"/>
                      <w:sz w:val="21"/>
                      <w:szCs w:val="21"/>
                    </w:rPr>
                    <w:t>二级标准</w:t>
                  </w:r>
                </w:p>
              </w:tc>
              <w:tc>
                <w:tcPr>
                  <w:tcW w:w="645" w:type="dxa"/>
                  <w:tcBorders>
                    <w:tl2br w:val="nil"/>
                    <w:tr2bl w:val="nil"/>
                  </w:tcBorders>
                  <w:noWrap w:val="0"/>
                  <w:vAlign w:val="center"/>
                </w:tcPr>
                <w:p w14:paraId="6A1CA7BC">
                  <w:pPr>
                    <w:pStyle w:val="7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一般排放口</w:t>
                  </w:r>
                </w:p>
              </w:tc>
              <w:tc>
                <w:tcPr>
                  <w:tcW w:w="945" w:type="dxa"/>
                  <w:tcBorders>
                    <w:tl2br w:val="nil"/>
                    <w:tr2bl w:val="nil"/>
                  </w:tcBorders>
                  <w:noWrap w:val="0"/>
                  <w:vAlign w:val="center"/>
                </w:tcPr>
                <w:p w14:paraId="31F55AE9">
                  <w:pPr>
                    <w:pStyle w:val="71"/>
                    <w:spacing w:line="240" w:lineRule="auto"/>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布袋除尘器除尘效率为</w:t>
                  </w:r>
                  <w:r>
                    <w:rPr>
                      <w:rFonts w:hint="default" w:ascii="Times New Roman" w:hAnsi="Times New Roman" w:eastAsia="宋体" w:cs="Times New Roman"/>
                      <w:color w:val="auto"/>
                      <w:sz w:val="21"/>
                      <w:szCs w:val="21"/>
                      <w:highlight w:val="none"/>
                      <w:lang w:val="en-US" w:eastAsia="zh-CN"/>
                    </w:rPr>
                    <w:t>99%</w:t>
                  </w:r>
                </w:p>
              </w:tc>
              <w:tc>
                <w:tcPr>
                  <w:tcW w:w="730" w:type="dxa"/>
                  <w:tcBorders>
                    <w:tl2br w:val="nil"/>
                    <w:tr2bl w:val="nil"/>
                  </w:tcBorders>
                  <w:noWrap w:val="0"/>
                  <w:vAlign w:val="center"/>
                </w:tcPr>
                <w:p w14:paraId="444C77D4">
                  <w:pPr>
                    <w:pStyle w:val="71"/>
                    <w:spacing w:line="240" w:lineRule="auto"/>
                    <w:jc w:val="center"/>
                    <w:rPr>
                      <w:rFonts w:hint="default" w:ascii="Times New Roman" w:hAnsi="Times New Roman" w:eastAsia="宋体" w:cs="Times New Roman"/>
                      <w:color w:val="auto"/>
                      <w:sz w:val="21"/>
                      <w:szCs w:val="21"/>
                      <w:lang w:val="en-US" w:eastAsia="zh-CN"/>
                    </w:rPr>
                  </w:pPr>
                  <w:r>
                    <w:rPr>
                      <w:rFonts w:hint="default" w:ascii="Times New Roman" w:hAnsi="Times New Roman" w:eastAsia="宋体" w:cs="Times New Roman"/>
                      <w:color w:val="auto"/>
                      <w:sz w:val="21"/>
                      <w:szCs w:val="21"/>
                      <w:lang w:val="en-US" w:eastAsia="zh-CN"/>
                    </w:rPr>
                    <w:t>是</w:t>
                  </w:r>
                </w:p>
              </w:tc>
            </w:tr>
          </w:tbl>
          <w:p w14:paraId="6D4E420C">
            <w:pPr>
              <w:pStyle w:val="16"/>
              <w:numPr>
                <w:ilvl w:val="0"/>
                <w:numId w:val="0"/>
              </w:numPr>
              <w:spacing w:line="360" w:lineRule="auto"/>
              <w:ind w:leftChars="200"/>
              <w:jc w:val="both"/>
              <w:rPr>
                <w:rFonts w:hint="default" w:ascii="Times New Roman" w:hAnsi="Times New Roman" w:eastAsia="宋体" w:cs="Times New Roman"/>
                <w:b w:val="0"/>
                <w:bCs w:val="0"/>
                <w:color w:val="auto"/>
                <w:kern w:val="2"/>
                <w:sz w:val="24"/>
                <w:szCs w:val="24"/>
                <w:lang w:val="en-US" w:eastAsia="zh-CN" w:bidi="ar-SA"/>
              </w:rPr>
            </w:pPr>
            <w:r>
              <w:rPr>
                <w:rFonts w:hint="default" w:ascii="Times New Roman" w:hAnsi="Times New Roman" w:eastAsia="宋体" w:cs="Times New Roman"/>
                <w:b w:val="0"/>
                <w:bCs w:val="0"/>
                <w:color w:val="auto"/>
                <w:kern w:val="2"/>
                <w:sz w:val="24"/>
                <w:szCs w:val="24"/>
                <w:lang w:val="en-US" w:eastAsia="zh-CN" w:bidi="ar-SA"/>
              </w:rPr>
              <w:t>由上表可知，本项目采取的环保措施是可行的。</w:t>
            </w:r>
          </w:p>
          <w:p w14:paraId="78818748">
            <w:pPr>
              <w:keepNext w:val="0"/>
              <w:keepLines w:val="0"/>
              <w:widowControl/>
              <w:numPr>
                <w:ilvl w:val="0"/>
                <w:numId w:val="0"/>
              </w:numPr>
              <w:suppressLineNumbers w:val="0"/>
              <w:spacing w:line="360" w:lineRule="auto"/>
              <w:ind w:left="420" w:leftChars="0"/>
              <w:jc w:val="left"/>
              <w:rPr>
                <w:rFonts w:hint="default" w:ascii="Times New Roman" w:hAnsi="Times New Roman" w:cs="Times New Roman"/>
                <w:b w:val="0"/>
                <w:bCs w:val="0"/>
                <w:color w:val="auto"/>
                <w:sz w:val="24"/>
                <w:szCs w:val="24"/>
                <w:lang w:val="en-US" w:eastAsia="zh-CN"/>
              </w:rPr>
            </w:pPr>
            <w:r>
              <w:rPr>
                <w:rFonts w:hint="default" w:ascii="Times New Roman" w:hAnsi="Times New Roman" w:cs="Times New Roman"/>
                <w:b w:val="0"/>
                <w:bCs w:val="0"/>
                <w:color w:val="auto"/>
                <w:sz w:val="24"/>
                <w:szCs w:val="24"/>
                <w:lang w:val="en-US" w:eastAsia="zh-CN"/>
              </w:rPr>
              <w:t>5、排放口基本情况</w:t>
            </w:r>
          </w:p>
          <w:p w14:paraId="7E6E76FF">
            <w:pPr>
              <w:pStyle w:val="16"/>
              <w:numPr>
                <w:ilvl w:val="0"/>
                <w:numId w:val="0"/>
              </w:numPr>
              <w:spacing w:line="360" w:lineRule="auto"/>
              <w:ind w:leftChars="200"/>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b w:val="0"/>
                <w:bCs w:val="0"/>
                <w:color w:val="auto"/>
                <w:sz w:val="24"/>
                <w:szCs w:val="24"/>
                <w:lang w:val="en-US" w:eastAsia="zh-CN"/>
              </w:rPr>
              <w:t>正常工况下，大气污染物排放情况见下表。</w:t>
            </w:r>
          </w:p>
          <w:p w14:paraId="27A581EF">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表4-</w:t>
            </w:r>
            <w:r>
              <w:rPr>
                <w:rFonts w:hint="eastAsia" w:cs="Times New Roman"/>
                <w:b/>
                <w:bCs/>
                <w:color w:val="auto"/>
                <w:kern w:val="0"/>
                <w:sz w:val="24"/>
                <w:szCs w:val="24"/>
                <w:lang w:val="en-US" w:eastAsia="zh-CN" w:bidi="ar"/>
              </w:rPr>
              <w:t>4</w:t>
            </w:r>
            <w:r>
              <w:rPr>
                <w:rFonts w:hint="default" w:ascii="Times New Roman" w:hAnsi="Times New Roman" w:eastAsia="宋体" w:cs="Times New Roman"/>
                <w:b/>
                <w:bCs/>
                <w:color w:val="auto"/>
                <w:kern w:val="0"/>
                <w:sz w:val="24"/>
                <w:szCs w:val="24"/>
                <w:lang w:val="en-US" w:eastAsia="zh-CN" w:bidi="ar"/>
              </w:rPr>
              <w:t>废气排放源参数一览表</w:t>
            </w:r>
          </w:p>
          <w:tbl>
            <w:tblPr>
              <w:tblStyle w:val="31"/>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80"/>
              <w:gridCol w:w="1251"/>
              <w:gridCol w:w="1650"/>
              <w:gridCol w:w="1719"/>
              <w:gridCol w:w="996"/>
              <w:gridCol w:w="1882"/>
            </w:tblGrid>
            <w:tr w14:paraId="17DEED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0" w:type="dxa"/>
                  <w:vMerge w:val="restart"/>
                  <w:tcBorders>
                    <w:tl2br w:val="nil"/>
                    <w:tr2bl w:val="nil"/>
                  </w:tcBorders>
                  <w:vAlign w:val="center"/>
                </w:tcPr>
                <w:p w14:paraId="531C7388">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序号</w:t>
                  </w:r>
                </w:p>
              </w:tc>
              <w:tc>
                <w:tcPr>
                  <w:tcW w:w="1251" w:type="dxa"/>
                  <w:vMerge w:val="restart"/>
                  <w:tcBorders>
                    <w:tl2br w:val="nil"/>
                    <w:tr2bl w:val="nil"/>
                  </w:tcBorders>
                  <w:vAlign w:val="center"/>
                </w:tcPr>
                <w:p w14:paraId="53913FB7">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排放口</w:t>
                  </w:r>
                </w:p>
                <w:p w14:paraId="6CEE9944">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编号</w:t>
                  </w:r>
                </w:p>
              </w:tc>
              <w:tc>
                <w:tcPr>
                  <w:tcW w:w="3369" w:type="dxa"/>
                  <w:gridSpan w:val="2"/>
                  <w:tcBorders>
                    <w:tl2br w:val="nil"/>
                    <w:tr2bl w:val="nil"/>
                  </w:tcBorders>
                  <w:vAlign w:val="center"/>
                </w:tcPr>
                <w:p w14:paraId="462575F0">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vertAlign w:val="baseline"/>
                      <w:lang w:val="en-US" w:eastAsia="zh-CN"/>
                    </w:rPr>
                    <w:t>地理坐标</w:t>
                  </w:r>
                </w:p>
              </w:tc>
              <w:tc>
                <w:tcPr>
                  <w:tcW w:w="996" w:type="dxa"/>
                  <w:vMerge w:val="restart"/>
                  <w:tcBorders>
                    <w:tl2br w:val="nil"/>
                    <w:tr2bl w:val="nil"/>
                  </w:tcBorders>
                  <w:vAlign w:val="center"/>
                </w:tcPr>
                <w:p w14:paraId="4CA801FB">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z w:val="21"/>
                      <w:szCs w:val="21"/>
                      <w:vertAlign w:val="baseline"/>
                      <w:lang w:val="en-US" w:eastAsia="zh-CN"/>
                    </w:rPr>
                  </w:pPr>
                  <w:r>
                    <w:rPr>
                      <w:rFonts w:hint="default" w:ascii="Times New Roman" w:hAnsi="Times New Roman" w:cs="Times New Roman"/>
                      <w:b/>
                      <w:bCs/>
                      <w:color w:val="auto"/>
                      <w:sz w:val="21"/>
                      <w:szCs w:val="21"/>
                      <w:highlight w:val="none"/>
                      <w:lang w:eastAsia="zh-CN"/>
                    </w:rPr>
                    <w:t>高度</w:t>
                  </w:r>
                </w:p>
              </w:tc>
              <w:tc>
                <w:tcPr>
                  <w:tcW w:w="1882" w:type="dxa"/>
                  <w:vMerge w:val="restart"/>
                  <w:tcBorders>
                    <w:tl2br w:val="nil"/>
                    <w:tr2bl w:val="nil"/>
                  </w:tcBorders>
                  <w:vAlign w:val="center"/>
                </w:tcPr>
                <w:p w14:paraId="430B31CE">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color w:val="auto"/>
                      <w:sz w:val="21"/>
                      <w:szCs w:val="21"/>
                      <w:highlight w:val="none"/>
                    </w:rPr>
                  </w:pPr>
                  <w:r>
                    <w:rPr>
                      <w:rFonts w:hint="default" w:ascii="Times New Roman" w:hAnsi="Times New Roman" w:cs="Times New Roman"/>
                      <w:b/>
                      <w:bCs/>
                      <w:color w:val="auto"/>
                      <w:sz w:val="21"/>
                      <w:szCs w:val="21"/>
                      <w:highlight w:val="none"/>
                    </w:rPr>
                    <w:t>类型</w:t>
                  </w:r>
                </w:p>
              </w:tc>
            </w:tr>
            <w:tr w14:paraId="134965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0" w:type="dxa"/>
                  <w:vMerge w:val="continue"/>
                  <w:tcBorders>
                    <w:tl2br w:val="nil"/>
                    <w:tr2bl w:val="nil"/>
                  </w:tcBorders>
                  <w:vAlign w:val="center"/>
                </w:tcPr>
                <w:p w14:paraId="3812AAA7">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p>
              </w:tc>
              <w:tc>
                <w:tcPr>
                  <w:tcW w:w="1251" w:type="dxa"/>
                  <w:vMerge w:val="continue"/>
                  <w:tcBorders>
                    <w:tl2br w:val="nil"/>
                    <w:tr2bl w:val="nil"/>
                  </w:tcBorders>
                  <w:vAlign w:val="center"/>
                </w:tcPr>
                <w:p w14:paraId="0C80E8EE">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p>
              </w:tc>
              <w:tc>
                <w:tcPr>
                  <w:tcW w:w="1650" w:type="dxa"/>
                  <w:tcBorders>
                    <w:tl2br w:val="nil"/>
                    <w:tr2bl w:val="nil"/>
                  </w:tcBorders>
                  <w:vAlign w:val="center"/>
                </w:tcPr>
                <w:p w14:paraId="7954B373">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color w:val="auto"/>
                      <w:sz w:val="21"/>
                      <w:szCs w:val="21"/>
                      <w:vertAlign w:val="baseline"/>
                      <w:lang w:val="en-US" w:eastAsia="zh-CN"/>
                    </w:rPr>
                  </w:pPr>
                  <w:r>
                    <w:rPr>
                      <w:rFonts w:hint="default" w:ascii="Times New Roman" w:hAnsi="Times New Roman" w:cs="Times New Roman"/>
                      <w:b/>
                      <w:bCs/>
                      <w:color w:val="auto"/>
                      <w:sz w:val="21"/>
                      <w:szCs w:val="21"/>
                      <w:lang w:eastAsia="zh-CN"/>
                    </w:rPr>
                    <w:t>经度</w:t>
                  </w:r>
                </w:p>
              </w:tc>
              <w:tc>
                <w:tcPr>
                  <w:tcW w:w="1719" w:type="dxa"/>
                  <w:tcBorders>
                    <w:tl2br w:val="nil"/>
                    <w:tr2bl w:val="nil"/>
                  </w:tcBorders>
                  <w:vAlign w:val="center"/>
                </w:tcPr>
                <w:p w14:paraId="315B7FB9">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bCs/>
                      <w:color w:val="auto"/>
                      <w:sz w:val="21"/>
                      <w:szCs w:val="21"/>
                    </w:rPr>
                  </w:pPr>
                  <w:r>
                    <w:rPr>
                      <w:rFonts w:hint="default" w:ascii="Times New Roman" w:hAnsi="Times New Roman" w:cs="Times New Roman"/>
                      <w:b/>
                      <w:bCs/>
                      <w:color w:val="auto"/>
                      <w:sz w:val="21"/>
                      <w:szCs w:val="21"/>
                      <w:vertAlign w:val="baseline"/>
                      <w:lang w:val="en-US" w:eastAsia="zh-CN"/>
                    </w:rPr>
                    <w:t>纬度</w:t>
                  </w:r>
                </w:p>
              </w:tc>
              <w:tc>
                <w:tcPr>
                  <w:tcW w:w="996" w:type="dxa"/>
                  <w:vMerge w:val="continue"/>
                  <w:tcBorders>
                    <w:tl2br w:val="nil"/>
                    <w:tr2bl w:val="nil"/>
                  </w:tcBorders>
                  <w:vAlign w:val="center"/>
                </w:tcPr>
                <w:p w14:paraId="685A1332">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p>
              </w:tc>
              <w:tc>
                <w:tcPr>
                  <w:tcW w:w="1882" w:type="dxa"/>
                  <w:vMerge w:val="continue"/>
                  <w:tcBorders>
                    <w:tl2br w:val="nil"/>
                    <w:tr2bl w:val="nil"/>
                  </w:tcBorders>
                  <w:vAlign w:val="center"/>
                </w:tcPr>
                <w:p w14:paraId="5028493B">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p>
              </w:tc>
            </w:tr>
            <w:tr w14:paraId="74FDE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480" w:type="dxa"/>
                  <w:tcBorders>
                    <w:tl2br w:val="nil"/>
                    <w:tr2bl w:val="nil"/>
                  </w:tcBorders>
                  <w:vAlign w:val="center"/>
                </w:tcPr>
                <w:p w14:paraId="114A2E7E">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1</w:t>
                  </w:r>
                </w:p>
              </w:tc>
              <w:tc>
                <w:tcPr>
                  <w:tcW w:w="1251" w:type="dxa"/>
                  <w:tcBorders>
                    <w:tl2br w:val="nil"/>
                    <w:tr2bl w:val="nil"/>
                  </w:tcBorders>
                  <w:vAlign w:val="center"/>
                </w:tcPr>
                <w:p w14:paraId="382C55DC">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DA001</w:t>
                  </w:r>
                </w:p>
              </w:tc>
              <w:tc>
                <w:tcPr>
                  <w:tcW w:w="1650" w:type="dxa"/>
                  <w:tcBorders>
                    <w:tl2br w:val="nil"/>
                    <w:tr2bl w:val="nil"/>
                  </w:tcBorders>
                  <w:vAlign w:val="center"/>
                </w:tcPr>
                <w:p w14:paraId="14183AFF">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131</w:t>
                  </w:r>
                  <w:r>
                    <w:rPr>
                      <w:rFonts w:hint="eastAsia" w:cs="Times New Roman"/>
                      <w:color w:val="auto"/>
                      <w:sz w:val="21"/>
                      <w:szCs w:val="21"/>
                      <w:highlight w:val="none"/>
                      <w:lang w:val="en-US" w:eastAsia="zh-CN"/>
                    </w:rPr>
                    <w:t>.043878</w:t>
                  </w:r>
                  <w:r>
                    <w:rPr>
                      <w:rFonts w:hint="default" w:ascii="Times New Roman" w:hAnsi="Times New Roman" w:cs="Times New Roman"/>
                      <w:color w:val="auto"/>
                      <w:sz w:val="21"/>
                      <w:szCs w:val="21"/>
                      <w:highlight w:val="none"/>
                      <w:lang w:val="en-US" w:eastAsia="zh-CN"/>
                    </w:rPr>
                    <w:t>°</w:t>
                  </w:r>
                </w:p>
              </w:tc>
              <w:tc>
                <w:tcPr>
                  <w:tcW w:w="1719" w:type="dxa"/>
                  <w:tcBorders>
                    <w:tl2br w:val="nil"/>
                    <w:tr2bl w:val="nil"/>
                  </w:tcBorders>
                  <w:vAlign w:val="center"/>
                </w:tcPr>
                <w:p w14:paraId="2CF71830">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highlight w:val="none"/>
                      <w:vertAlign w:val="baseline"/>
                      <w:lang w:val="en-US" w:eastAsia="zh-CN"/>
                    </w:rPr>
                  </w:pPr>
                  <w:r>
                    <w:rPr>
                      <w:rFonts w:hint="default" w:ascii="Times New Roman" w:hAnsi="Times New Roman" w:cs="Times New Roman"/>
                      <w:b w:val="0"/>
                      <w:bCs w:val="0"/>
                      <w:color w:val="auto"/>
                      <w:sz w:val="21"/>
                      <w:szCs w:val="21"/>
                      <w:highlight w:val="none"/>
                      <w:vertAlign w:val="baseline"/>
                      <w:lang w:val="en-US" w:eastAsia="zh-CN"/>
                    </w:rPr>
                    <w:t>45</w:t>
                  </w:r>
                  <w:r>
                    <w:rPr>
                      <w:rFonts w:hint="eastAsia" w:cs="Times New Roman"/>
                      <w:b w:val="0"/>
                      <w:bCs w:val="0"/>
                      <w:color w:val="auto"/>
                      <w:sz w:val="21"/>
                      <w:szCs w:val="21"/>
                      <w:highlight w:val="none"/>
                      <w:vertAlign w:val="baseline"/>
                      <w:lang w:val="en-US" w:eastAsia="zh-CN"/>
                    </w:rPr>
                    <w:t>.360175</w:t>
                  </w:r>
                  <w:r>
                    <w:rPr>
                      <w:rFonts w:hint="default" w:ascii="Times New Roman" w:hAnsi="Times New Roman" w:cs="Times New Roman"/>
                      <w:b w:val="0"/>
                      <w:bCs w:val="0"/>
                      <w:color w:val="auto"/>
                      <w:sz w:val="21"/>
                      <w:szCs w:val="21"/>
                      <w:highlight w:val="none"/>
                      <w:vertAlign w:val="baseline"/>
                      <w:lang w:val="en-US" w:eastAsia="zh-CN"/>
                    </w:rPr>
                    <w:t>°</w:t>
                  </w:r>
                </w:p>
              </w:tc>
              <w:tc>
                <w:tcPr>
                  <w:tcW w:w="996" w:type="dxa"/>
                  <w:tcBorders>
                    <w:tl2br w:val="nil"/>
                    <w:tr2bl w:val="nil"/>
                  </w:tcBorders>
                  <w:vAlign w:val="center"/>
                </w:tcPr>
                <w:p w14:paraId="12827FF3">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cs="Times New Roman"/>
                      <w:color w:val="auto"/>
                      <w:sz w:val="21"/>
                      <w:szCs w:val="21"/>
                      <w:lang w:val="en-US" w:eastAsia="zh-CN"/>
                    </w:rPr>
                    <w:t>20</w:t>
                  </w:r>
                  <w:r>
                    <w:rPr>
                      <w:rFonts w:hint="default" w:ascii="Times New Roman" w:hAnsi="Times New Roman" w:cs="Times New Roman"/>
                      <w:color w:val="auto"/>
                      <w:sz w:val="21"/>
                      <w:szCs w:val="21"/>
                      <w:lang w:val="en-US" w:eastAsia="zh-CN"/>
                    </w:rPr>
                    <w:t>m</w:t>
                  </w:r>
                </w:p>
              </w:tc>
              <w:tc>
                <w:tcPr>
                  <w:tcW w:w="1882" w:type="dxa"/>
                  <w:tcBorders>
                    <w:tl2br w:val="nil"/>
                    <w:tr2bl w:val="nil"/>
                  </w:tcBorders>
                  <w:vAlign w:val="center"/>
                </w:tcPr>
                <w:p w14:paraId="60178430">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一般排放口</w:t>
                  </w:r>
                </w:p>
              </w:tc>
            </w:tr>
          </w:tbl>
          <w:p w14:paraId="6A651D92">
            <w:pPr>
              <w:keepNext w:val="0"/>
              <w:keepLines w:val="0"/>
              <w:widowControl/>
              <w:numPr>
                <w:ilvl w:val="0"/>
                <w:numId w:val="0"/>
              </w:numPr>
              <w:suppressLineNumbers w:val="0"/>
              <w:spacing w:line="360" w:lineRule="auto"/>
              <w:ind w:leftChars="200"/>
              <w:jc w:val="left"/>
              <w:rPr>
                <w:rFonts w:hint="default" w:ascii="Times New Roman" w:hAnsi="Times New Roman" w:eastAsia="宋体" w:cs="Times New Roman"/>
                <w:b/>
                <w:bCs/>
                <w:color w:val="auto"/>
                <w:kern w:val="0"/>
                <w:sz w:val="21"/>
                <w:szCs w:val="21"/>
                <w:lang w:val="en-US" w:eastAsia="zh-CN" w:bidi="ar"/>
              </w:rPr>
            </w:pPr>
            <w:r>
              <w:rPr>
                <w:rFonts w:hint="default" w:ascii="Times New Roman" w:hAnsi="Times New Roman" w:cs="Times New Roman"/>
                <w:color w:val="auto"/>
                <w:kern w:val="0"/>
                <w:sz w:val="24"/>
                <w:szCs w:val="24"/>
                <w:lang w:val="en-US" w:eastAsia="zh-CN" w:bidi="ar"/>
              </w:rPr>
              <w:t>6、</w:t>
            </w:r>
            <w:r>
              <w:rPr>
                <w:rFonts w:hint="default" w:ascii="Times New Roman" w:hAnsi="Times New Roman" w:eastAsia="宋体" w:cs="Times New Roman"/>
                <w:color w:val="auto"/>
                <w:kern w:val="0"/>
                <w:sz w:val="24"/>
                <w:szCs w:val="24"/>
                <w:lang w:val="en-US" w:eastAsia="zh-CN" w:bidi="ar"/>
              </w:rPr>
              <w:t xml:space="preserve">污染物达标排放分析 </w:t>
            </w:r>
          </w:p>
          <w:p w14:paraId="00118F6D">
            <w:pPr>
              <w:keepNext w:val="0"/>
              <w:keepLines w:val="0"/>
              <w:widowControl/>
              <w:suppressLineNumbers w:val="0"/>
              <w:spacing w:line="240" w:lineRule="auto"/>
              <w:jc w:val="center"/>
              <w:rPr>
                <w:rFonts w:hint="default" w:ascii="Times New Roman" w:hAnsi="Times New Roman" w:eastAsia="宋体" w:cs="Times New Roman"/>
                <w:b/>
                <w:bCs/>
                <w:color w:val="auto"/>
                <w:kern w:val="0"/>
                <w:sz w:val="24"/>
                <w:szCs w:val="24"/>
                <w:lang w:val="en-US" w:eastAsia="zh-CN" w:bidi="ar"/>
              </w:rPr>
            </w:pPr>
            <w:r>
              <w:rPr>
                <w:rFonts w:hint="default" w:ascii="Times New Roman" w:hAnsi="Times New Roman" w:eastAsia="宋体" w:cs="Times New Roman"/>
                <w:b/>
                <w:bCs/>
                <w:color w:val="auto"/>
                <w:kern w:val="0"/>
                <w:sz w:val="24"/>
                <w:szCs w:val="24"/>
                <w:lang w:val="en-US" w:eastAsia="zh-CN" w:bidi="ar"/>
              </w:rPr>
              <w:t>表4-</w:t>
            </w:r>
            <w:r>
              <w:rPr>
                <w:rFonts w:hint="eastAsia" w:cs="Times New Roman"/>
                <w:b/>
                <w:bCs/>
                <w:color w:val="auto"/>
                <w:kern w:val="0"/>
                <w:sz w:val="24"/>
                <w:szCs w:val="24"/>
                <w:lang w:val="en-US" w:eastAsia="zh-CN" w:bidi="ar"/>
              </w:rPr>
              <w:t>5</w:t>
            </w:r>
            <w:r>
              <w:rPr>
                <w:rFonts w:hint="default" w:ascii="Times New Roman" w:hAnsi="Times New Roman" w:eastAsia="宋体" w:cs="Times New Roman"/>
                <w:b/>
                <w:bCs/>
                <w:color w:val="auto"/>
                <w:kern w:val="0"/>
                <w:sz w:val="24"/>
                <w:szCs w:val="24"/>
                <w:lang w:val="en-US" w:eastAsia="zh-CN" w:bidi="ar"/>
              </w:rPr>
              <w:t>本项目废气达标一览表</w:t>
            </w:r>
          </w:p>
          <w:tbl>
            <w:tblPr>
              <w:tblStyle w:val="31"/>
              <w:tblW w:w="805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8"/>
              <w:gridCol w:w="964"/>
              <w:gridCol w:w="992"/>
              <w:gridCol w:w="1108"/>
              <w:gridCol w:w="2100"/>
              <w:gridCol w:w="1136"/>
              <w:gridCol w:w="787"/>
            </w:tblGrid>
            <w:tr w14:paraId="0BEFD1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68" w:type="dxa"/>
                  <w:tcBorders>
                    <w:tl2br w:val="nil"/>
                    <w:tr2bl w:val="nil"/>
                  </w:tcBorders>
                  <w:vAlign w:val="center"/>
                </w:tcPr>
                <w:p w14:paraId="7EC61DA4">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排放口</w:t>
                  </w:r>
                </w:p>
              </w:tc>
              <w:tc>
                <w:tcPr>
                  <w:tcW w:w="964" w:type="dxa"/>
                  <w:tcBorders>
                    <w:tl2br w:val="nil"/>
                    <w:tr2bl w:val="nil"/>
                  </w:tcBorders>
                  <w:vAlign w:val="center"/>
                </w:tcPr>
                <w:p w14:paraId="26F739E2">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污染物</w:t>
                  </w:r>
                </w:p>
              </w:tc>
              <w:tc>
                <w:tcPr>
                  <w:tcW w:w="992" w:type="dxa"/>
                  <w:tcBorders>
                    <w:tl2br w:val="nil"/>
                    <w:tr2bl w:val="nil"/>
                  </w:tcBorders>
                  <w:vAlign w:val="center"/>
                </w:tcPr>
                <w:p w14:paraId="57DF264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排放量t/a</w:t>
                  </w:r>
                </w:p>
              </w:tc>
              <w:tc>
                <w:tcPr>
                  <w:tcW w:w="1108" w:type="dxa"/>
                  <w:tcBorders>
                    <w:tl2br w:val="nil"/>
                    <w:tr2bl w:val="nil"/>
                  </w:tcBorders>
                  <w:vAlign w:val="center"/>
                </w:tcPr>
                <w:p w14:paraId="00BEB84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排放浓度mg/m</w:t>
                  </w:r>
                  <w:r>
                    <w:rPr>
                      <w:rFonts w:hint="eastAsia"/>
                      <w:b/>
                      <w:bCs/>
                      <w:color w:val="auto"/>
                      <w:sz w:val="21"/>
                      <w:szCs w:val="21"/>
                      <w:vertAlign w:val="superscript"/>
                      <w:lang w:val="en-US" w:eastAsia="zh-CN"/>
                    </w:rPr>
                    <w:t>3</w:t>
                  </w:r>
                </w:p>
              </w:tc>
              <w:tc>
                <w:tcPr>
                  <w:tcW w:w="2100" w:type="dxa"/>
                  <w:tcBorders>
                    <w:tl2br w:val="nil"/>
                    <w:tr2bl w:val="nil"/>
                  </w:tcBorders>
                  <w:vAlign w:val="center"/>
                </w:tcPr>
                <w:p w14:paraId="293781E5">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执行标准</w:t>
                  </w:r>
                </w:p>
              </w:tc>
              <w:tc>
                <w:tcPr>
                  <w:tcW w:w="1136" w:type="dxa"/>
                  <w:tcBorders>
                    <w:tl2br w:val="nil"/>
                    <w:tr2bl w:val="nil"/>
                  </w:tcBorders>
                  <w:vAlign w:val="center"/>
                </w:tcPr>
                <w:p w14:paraId="10E3AA9B">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浓度限值mg/m</w:t>
                  </w:r>
                  <w:r>
                    <w:rPr>
                      <w:rFonts w:hint="eastAsia"/>
                      <w:b/>
                      <w:bCs/>
                      <w:color w:val="auto"/>
                      <w:sz w:val="21"/>
                      <w:szCs w:val="21"/>
                      <w:vertAlign w:val="superscript"/>
                      <w:lang w:val="en-US" w:eastAsia="zh-CN"/>
                    </w:rPr>
                    <w:t>3</w:t>
                  </w:r>
                </w:p>
              </w:tc>
              <w:tc>
                <w:tcPr>
                  <w:tcW w:w="787" w:type="dxa"/>
                  <w:tcBorders>
                    <w:tl2br w:val="nil"/>
                    <w:tr2bl w:val="nil"/>
                  </w:tcBorders>
                  <w:vAlign w:val="center"/>
                </w:tcPr>
                <w:p w14:paraId="76A894CF">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kern w:val="2"/>
                      <w:sz w:val="21"/>
                      <w:szCs w:val="21"/>
                      <w:vertAlign w:val="baseline"/>
                      <w:lang w:val="en-US" w:eastAsia="zh-CN" w:bidi="ar-SA"/>
                    </w:rPr>
                  </w:pPr>
                  <w:r>
                    <w:rPr>
                      <w:rFonts w:hint="eastAsia"/>
                      <w:b/>
                      <w:bCs/>
                      <w:color w:val="auto"/>
                      <w:sz w:val="21"/>
                      <w:szCs w:val="21"/>
                      <w:vertAlign w:val="baseline"/>
                      <w:lang w:val="en-US" w:eastAsia="zh-CN"/>
                    </w:rPr>
                    <w:t>达标情况</w:t>
                  </w:r>
                </w:p>
              </w:tc>
            </w:tr>
            <w:tr w14:paraId="23D67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68" w:type="dxa"/>
                  <w:vMerge w:val="restart"/>
                  <w:tcBorders>
                    <w:tl2br w:val="nil"/>
                    <w:tr2bl w:val="nil"/>
                  </w:tcBorders>
                  <w:vAlign w:val="center"/>
                </w:tcPr>
                <w:p w14:paraId="506CE7F9">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DA001</w:t>
                  </w:r>
                </w:p>
              </w:tc>
              <w:tc>
                <w:tcPr>
                  <w:tcW w:w="964" w:type="dxa"/>
                  <w:tcBorders>
                    <w:tl2br w:val="nil"/>
                    <w:tr2bl w:val="nil"/>
                  </w:tcBorders>
                  <w:vAlign w:val="center"/>
                </w:tcPr>
                <w:p w14:paraId="1C4EF0D1">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颗粒物</w:t>
                  </w:r>
                </w:p>
              </w:tc>
              <w:tc>
                <w:tcPr>
                  <w:tcW w:w="992" w:type="dxa"/>
                  <w:tcBorders>
                    <w:tl2br w:val="nil"/>
                    <w:tr2bl w:val="nil"/>
                  </w:tcBorders>
                  <w:vAlign w:val="center"/>
                </w:tcPr>
                <w:p w14:paraId="10F6E473">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0.73</w:t>
                  </w:r>
                </w:p>
              </w:tc>
              <w:tc>
                <w:tcPr>
                  <w:tcW w:w="1108" w:type="dxa"/>
                  <w:tcBorders>
                    <w:tl2br w:val="nil"/>
                    <w:tr2bl w:val="nil"/>
                  </w:tcBorders>
                  <w:vAlign w:val="center"/>
                </w:tcPr>
                <w:p w14:paraId="65200188">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59.16</w:t>
                  </w:r>
                </w:p>
              </w:tc>
              <w:tc>
                <w:tcPr>
                  <w:tcW w:w="2100" w:type="dxa"/>
                  <w:vMerge w:val="restart"/>
                  <w:tcBorders>
                    <w:tl2br w:val="nil"/>
                    <w:tr2bl w:val="nil"/>
                  </w:tcBorders>
                  <w:vAlign w:val="center"/>
                </w:tcPr>
                <w:p w14:paraId="40F56B40">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color w:val="auto"/>
                      <w:sz w:val="21"/>
                      <w:szCs w:val="21"/>
                      <w:highlight w:val="none"/>
                      <w:vertAlign w:val="baseline"/>
                      <w:lang w:val="en-US" w:eastAsia="zh-CN"/>
                    </w:rPr>
                  </w:pPr>
                  <w:r>
                    <w:rPr>
                      <w:rFonts w:hint="default"/>
                      <w:color w:val="auto"/>
                      <w:sz w:val="21"/>
                      <w:szCs w:val="21"/>
                      <w:highlight w:val="none"/>
                      <w:vertAlign w:val="baseline"/>
                      <w:lang w:val="en-US" w:eastAsia="zh-CN"/>
                    </w:rPr>
                    <w:t>《工业炉窑大气污染物排放标准》</w:t>
                  </w:r>
                </w:p>
                <w:p w14:paraId="56EF96A8">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color w:val="auto"/>
                      <w:sz w:val="21"/>
                      <w:szCs w:val="21"/>
                      <w:highlight w:val="none"/>
                      <w:vertAlign w:val="baseline"/>
                      <w:lang w:val="en-US" w:eastAsia="zh-CN"/>
                    </w:rPr>
                    <w:t>（GB 9078-1996）</w:t>
                  </w:r>
                </w:p>
              </w:tc>
              <w:tc>
                <w:tcPr>
                  <w:tcW w:w="1136" w:type="dxa"/>
                  <w:tcBorders>
                    <w:tl2br w:val="nil"/>
                    <w:tr2bl w:val="nil"/>
                  </w:tcBorders>
                  <w:vAlign w:val="center"/>
                </w:tcPr>
                <w:p w14:paraId="3AF39073">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200</w:t>
                  </w:r>
                </w:p>
              </w:tc>
              <w:tc>
                <w:tcPr>
                  <w:tcW w:w="787" w:type="dxa"/>
                  <w:tcBorders>
                    <w:tl2br w:val="nil"/>
                    <w:tr2bl w:val="nil"/>
                  </w:tcBorders>
                  <w:vAlign w:val="center"/>
                </w:tcPr>
                <w:p w14:paraId="2CE0A957">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olor w:val="auto"/>
                      <w:sz w:val="21"/>
                      <w:szCs w:val="21"/>
                      <w:vertAlign w:val="baseline"/>
                      <w:lang w:val="en-US" w:eastAsia="zh-CN"/>
                    </w:rPr>
                    <w:t>达标</w:t>
                  </w:r>
                </w:p>
              </w:tc>
            </w:tr>
            <w:tr w14:paraId="56031F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968" w:type="dxa"/>
                  <w:vMerge w:val="continue"/>
                  <w:tcBorders>
                    <w:tl2br w:val="nil"/>
                    <w:tr2bl w:val="nil"/>
                  </w:tcBorders>
                  <w:vAlign w:val="center"/>
                </w:tcPr>
                <w:p w14:paraId="2168D468">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964" w:type="dxa"/>
                  <w:tcBorders>
                    <w:tl2br w:val="nil"/>
                    <w:tr2bl w:val="nil"/>
                  </w:tcBorders>
                  <w:vAlign w:val="center"/>
                </w:tcPr>
                <w:p w14:paraId="77C7713C">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color w:val="auto"/>
                      <w:kern w:val="2"/>
                      <w:sz w:val="21"/>
                      <w:szCs w:val="21"/>
                      <w:vertAlign w:val="baseline"/>
                      <w:lang w:val="en-US" w:eastAsia="zh-CN" w:bidi="ar-SA"/>
                    </w:rPr>
                  </w:pPr>
                  <w:r>
                    <w:rPr>
                      <w:rFonts w:hint="eastAsia"/>
                      <w:color w:val="auto"/>
                      <w:sz w:val="21"/>
                      <w:szCs w:val="21"/>
                      <w:vertAlign w:val="baseline"/>
                      <w:lang w:val="en-US" w:eastAsia="zh-CN"/>
                    </w:rPr>
                    <w:t>SO</w:t>
                  </w:r>
                  <w:r>
                    <w:rPr>
                      <w:rFonts w:hint="eastAsia"/>
                      <w:color w:val="auto"/>
                      <w:sz w:val="21"/>
                      <w:szCs w:val="21"/>
                      <w:vertAlign w:val="subscript"/>
                      <w:lang w:val="en-US" w:eastAsia="zh-CN"/>
                    </w:rPr>
                    <w:t>2</w:t>
                  </w:r>
                </w:p>
              </w:tc>
              <w:tc>
                <w:tcPr>
                  <w:tcW w:w="992" w:type="dxa"/>
                  <w:tcBorders>
                    <w:tl2br w:val="nil"/>
                    <w:tr2bl w:val="nil"/>
                  </w:tcBorders>
                  <w:vAlign w:val="center"/>
                </w:tcPr>
                <w:p w14:paraId="7360F637">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1.05</w:t>
                  </w:r>
                </w:p>
              </w:tc>
              <w:tc>
                <w:tcPr>
                  <w:tcW w:w="1108" w:type="dxa"/>
                  <w:tcBorders>
                    <w:tl2br w:val="nil"/>
                    <w:tr2bl w:val="nil"/>
                  </w:tcBorders>
                  <w:vAlign w:val="center"/>
                </w:tcPr>
                <w:p w14:paraId="1AE11BFE">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eastAsia" w:eastAsia="宋体" w:cs="Times New Roman"/>
                      <w:color w:val="auto"/>
                      <w:kern w:val="2"/>
                      <w:sz w:val="21"/>
                      <w:szCs w:val="21"/>
                      <w:u w:val="none"/>
                      <w:lang w:val="en-US" w:eastAsia="zh-CN" w:bidi="ar-SA"/>
                    </w:rPr>
                    <w:t>84.90</w:t>
                  </w:r>
                </w:p>
              </w:tc>
              <w:tc>
                <w:tcPr>
                  <w:tcW w:w="2100" w:type="dxa"/>
                  <w:vMerge w:val="continue"/>
                  <w:tcBorders>
                    <w:tl2br w:val="nil"/>
                    <w:tr2bl w:val="nil"/>
                  </w:tcBorders>
                  <w:vAlign w:val="center"/>
                </w:tcPr>
                <w:p w14:paraId="54EA3FC6">
                  <w:pPr>
                    <w:pStyle w:val="16"/>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p>
              </w:tc>
              <w:tc>
                <w:tcPr>
                  <w:tcW w:w="1136" w:type="dxa"/>
                  <w:tcBorders>
                    <w:tl2br w:val="nil"/>
                    <w:tr2bl w:val="nil"/>
                  </w:tcBorders>
                  <w:vAlign w:val="center"/>
                </w:tcPr>
                <w:p w14:paraId="19D460DE">
                  <w:pPr>
                    <w:pStyle w:val="71"/>
                    <w:spacing w:line="240" w:lineRule="auto"/>
                    <w:jc w:val="center"/>
                    <w:rPr>
                      <w:rFonts w:hint="default" w:ascii="Times New Roman" w:hAnsi="Times New Roman" w:eastAsia="宋体" w:cs="Times New Roman"/>
                      <w:color w:val="auto"/>
                      <w:kern w:val="2"/>
                      <w:sz w:val="21"/>
                      <w:szCs w:val="21"/>
                      <w:u w:val="none"/>
                      <w:lang w:val="en-US" w:eastAsia="zh-CN" w:bidi="ar-SA"/>
                    </w:rPr>
                  </w:pPr>
                  <w:r>
                    <w:rPr>
                      <w:rFonts w:hint="default" w:ascii="Times New Roman" w:hAnsi="Times New Roman" w:eastAsia="宋体" w:cs="Times New Roman"/>
                      <w:color w:val="auto"/>
                      <w:kern w:val="2"/>
                      <w:sz w:val="21"/>
                      <w:szCs w:val="21"/>
                      <w:u w:val="none"/>
                      <w:lang w:val="en-US" w:eastAsia="zh-CN" w:bidi="ar-SA"/>
                    </w:rPr>
                    <w:t>850</w:t>
                  </w:r>
                </w:p>
              </w:tc>
              <w:tc>
                <w:tcPr>
                  <w:tcW w:w="787" w:type="dxa"/>
                  <w:tcBorders>
                    <w:tl2br w:val="nil"/>
                    <w:tr2bl w:val="nil"/>
                  </w:tcBorders>
                  <w:vAlign w:val="center"/>
                </w:tcPr>
                <w:p w14:paraId="2EE26EF8">
                  <w:pPr>
                    <w:keepNext w:val="0"/>
                    <w:keepLines w:val="0"/>
                    <w:pageBreakBefore w:val="0"/>
                    <w:widowControl w:val="0"/>
                    <w:numPr>
                      <w:ilvl w:val="0"/>
                      <w:numId w:val="0"/>
                    </w:numPr>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eastAsia"/>
                      <w:color w:val="auto"/>
                      <w:sz w:val="21"/>
                      <w:szCs w:val="21"/>
                      <w:vertAlign w:val="baseline"/>
                      <w:lang w:val="en-US" w:eastAsia="zh-CN"/>
                    </w:rPr>
                    <w:t>达标</w:t>
                  </w:r>
                </w:p>
              </w:tc>
            </w:tr>
          </w:tbl>
          <w:p w14:paraId="47370BC8">
            <w:pPr>
              <w:keepNext w:val="0"/>
              <w:keepLines w:val="0"/>
              <w:widowControl/>
              <w:suppressLineNumbers w:val="0"/>
              <w:spacing w:line="360" w:lineRule="auto"/>
              <w:ind w:firstLine="480" w:firstLineChars="200"/>
              <w:jc w:val="left"/>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cs="Times New Roman"/>
                <w:color w:val="auto"/>
                <w:kern w:val="0"/>
                <w:sz w:val="24"/>
                <w:szCs w:val="24"/>
                <w:lang w:val="en-US" w:eastAsia="zh-CN" w:bidi="ar"/>
              </w:rPr>
              <w:t>综上，本项目废气排放浓度满足</w:t>
            </w:r>
            <w:r>
              <w:rPr>
                <w:rFonts w:hint="eastAsia" w:cs="Times New Roman"/>
                <w:color w:val="auto"/>
                <w:kern w:val="0"/>
                <w:sz w:val="24"/>
                <w:szCs w:val="24"/>
                <w:lang w:val="en-US" w:eastAsia="zh-CN" w:bidi="ar"/>
              </w:rPr>
              <w:t>相应</w:t>
            </w:r>
            <w:r>
              <w:rPr>
                <w:rFonts w:hint="default" w:ascii="Times New Roman" w:hAnsi="Times New Roman" w:cs="Times New Roman"/>
                <w:color w:val="auto"/>
                <w:kern w:val="0"/>
                <w:sz w:val="24"/>
                <w:szCs w:val="24"/>
                <w:lang w:val="en-US" w:eastAsia="zh-CN" w:bidi="ar"/>
              </w:rPr>
              <w:t>标准排放浓度限值要求。</w:t>
            </w:r>
          </w:p>
          <w:p w14:paraId="11E72A73">
            <w:pPr>
              <w:pStyle w:val="71"/>
              <w:numPr>
                <w:ilvl w:val="0"/>
                <w:numId w:val="0"/>
              </w:numPr>
              <w:spacing w:line="360" w:lineRule="auto"/>
              <w:ind w:firstLine="482" w:firstLineChars="200"/>
              <w:rPr>
                <w:rFonts w:hint="default" w:ascii="Times New Roman" w:hAnsi="Times New Roman" w:eastAsia="宋体" w:cs="Times New Roman"/>
                <w:b/>
                <w:bCs/>
                <w:color w:val="auto"/>
                <w:sz w:val="24"/>
                <w:szCs w:val="24"/>
                <w:highlight w:val="none"/>
                <w:lang w:val="en-US" w:eastAsia="zh-CN"/>
              </w:rPr>
            </w:pPr>
            <w:r>
              <w:rPr>
                <w:rFonts w:hint="default" w:ascii="Times New Roman" w:hAnsi="Times New Roman" w:eastAsia="宋体" w:cs="Times New Roman"/>
                <w:b/>
                <w:bCs/>
                <w:color w:val="auto"/>
                <w:sz w:val="24"/>
                <w:szCs w:val="24"/>
                <w:highlight w:val="none"/>
                <w:lang w:val="en-US" w:eastAsia="zh-CN"/>
              </w:rPr>
              <w:t>二、废水</w:t>
            </w:r>
          </w:p>
          <w:p w14:paraId="3FC2386A">
            <w:pPr>
              <w:pStyle w:val="71"/>
              <w:numPr>
                <w:ilvl w:val="0"/>
                <w:numId w:val="0"/>
              </w:numPr>
              <w:spacing w:line="360" w:lineRule="auto"/>
              <w:ind w:firstLine="480" w:firstLineChars="200"/>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1、废水源强分析</w:t>
            </w:r>
          </w:p>
          <w:p w14:paraId="5DA7D7A8">
            <w:pPr>
              <w:spacing w:line="360" w:lineRule="auto"/>
              <w:ind w:firstLine="480" w:firstLineChars="200"/>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项目无新增员工，无</w:t>
            </w:r>
            <w:r>
              <w:rPr>
                <w:rFonts w:hint="eastAsia" w:ascii="Times New Roman" w:hAnsi="Times New Roman" w:eastAsia="宋体" w:cs="Times New Roman"/>
                <w:bCs/>
                <w:color w:val="auto"/>
                <w:kern w:val="2"/>
                <w:sz w:val="24"/>
                <w:szCs w:val="24"/>
                <w:highlight w:val="none"/>
                <w:lang w:val="en-US" w:eastAsia="zh-CN" w:bidi="ar-SA"/>
              </w:rPr>
              <w:t>新增</w:t>
            </w:r>
            <w:r>
              <w:rPr>
                <w:rFonts w:hint="default" w:ascii="Times New Roman" w:hAnsi="Times New Roman" w:eastAsia="宋体" w:cs="Times New Roman"/>
                <w:bCs/>
                <w:color w:val="auto"/>
                <w:kern w:val="2"/>
                <w:sz w:val="24"/>
                <w:szCs w:val="24"/>
                <w:highlight w:val="none"/>
                <w:lang w:val="en-US" w:eastAsia="zh-CN" w:bidi="ar-SA"/>
              </w:rPr>
              <w:t>员工生活污水产生。项目废水主要为原有员工产生的生活污水。</w:t>
            </w:r>
          </w:p>
          <w:p w14:paraId="6BA0E9AD">
            <w:pPr>
              <w:tabs>
                <w:tab w:val="left" w:pos="6510"/>
              </w:tabs>
              <w:spacing w:line="360" w:lineRule="auto"/>
              <w:ind w:firstLine="480" w:firstLineChars="200"/>
              <w:rPr>
                <w:rFonts w:hint="default" w:ascii="Times New Roman" w:hAnsi="Times New Roman" w:eastAsia="宋体" w:cs="Times New Roman"/>
                <w:bCs/>
                <w:color w:val="auto"/>
                <w:kern w:val="2"/>
                <w:sz w:val="24"/>
                <w:szCs w:val="24"/>
                <w:highlight w:val="none"/>
                <w:lang w:val="en-US" w:eastAsia="zh-CN" w:bidi="ar-SA"/>
              </w:rPr>
            </w:pPr>
            <w:r>
              <w:rPr>
                <w:rFonts w:hint="default" w:ascii="Times New Roman" w:hAnsi="Times New Roman" w:eastAsia="宋体" w:cs="Times New Roman"/>
                <w:bCs/>
                <w:color w:val="auto"/>
                <w:kern w:val="2"/>
                <w:sz w:val="24"/>
                <w:szCs w:val="24"/>
                <w:highlight w:val="none"/>
                <w:lang w:val="en-US" w:eastAsia="zh-CN" w:bidi="ar-SA"/>
              </w:rPr>
              <w:t>2、污染物产生及排放情况</w:t>
            </w:r>
          </w:p>
          <w:p w14:paraId="7E253F6A">
            <w:pPr>
              <w:pStyle w:val="87"/>
              <w:ind w:left="0" w:leftChars="0" w:firstLine="480" w:firstLineChars="200"/>
              <w:rPr>
                <w:rFonts w:hint="eastAsia" w:ascii="Times New Roman" w:hAnsi="Times New Roman" w:cs="Times New Roman"/>
                <w:color w:val="auto"/>
                <w:sz w:val="24"/>
                <w:szCs w:val="24"/>
                <w:highlight w:val="none"/>
                <w:lang w:val="en-US" w:eastAsia="zh-CN"/>
              </w:rPr>
            </w:pPr>
            <w:r>
              <w:rPr>
                <w:rFonts w:hint="default" w:ascii="Times New Roman" w:hAnsi="Times New Roman" w:cs="Times New Roman"/>
                <w:color w:val="auto"/>
                <w:sz w:val="24"/>
                <w:szCs w:val="24"/>
                <w:highlight w:val="none"/>
                <w:lang w:val="en-US" w:eastAsia="zh-CN"/>
              </w:rPr>
              <w:t>本次改扩建项目不涉及新增用水，无废水排放</w:t>
            </w:r>
            <w:r>
              <w:rPr>
                <w:rFonts w:hint="eastAsia" w:ascii="Times New Roman" w:hAnsi="Times New Roman" w:cs="Times New Roman"/>
                <w:color w:val="auto"/>
                <w:sz w:val="24"/>
                <w:szCs w:val="24"/>
                <w:highlight w:val="none"/>
                <w:lang w:val="en-US" w:eastAsia="zh-CN"/>
              </w:rPr>
              <w:t>。</w:t>
            </w:r>
          </w:p>
          <w:p w14:paraId="3C7C15F1">
            <w:pPr>
              <w:pStyle w:val="87"/>
              <w:ind w:left="0" w:leftChars="0" w:firstLine="480" w:firstLineChars="200"/>
              <w:rPr>
                <w:rFonts w:hint="default" w:ascii="Times New Roman" w:hAnsi="Times New Roman" w:cs="Times New Roman"/>
                <w:color w:val="auto"/>
                <w:sz w:val="24"/>
                <w:szCs w:val="24"/>
                <w:highlight w:val="none"/>
                <w:lang w:val="en-US" w:eastAsia="zh-CN"/>
              </w:rPr>
            </w:pPr>
            <w:r>
              <w:rPr>
                <w:rFonts w:hint="eastAsia" w:ascii="Times New Roman" w:hAnsi="Times New Roman" w:cs="Times New Roman"/>
                <w:color w:val="auto"/>
                <w:sz w:val="24"/>
                <w:szCs w:val="24"/>
                <w:highlight w:val="none"/>
                <w:lang w:val="en-US" w:eastAsia="zh-CN"/>
              </w:rPr>
              <w:t>3、电锅炉正常密闭循环运行，无日常废水。每年供暖期后排污一次，污水量很少，经一体化设备处理后达标后排入地面静压水池供井下消尘用水，废水不外排。</w:t>
            </w:r>
          </w:p>
          <w:p w14:paraId="7AC0F54C">
            <w:pPr>
              <w:pStyle w:val="71"/>
              <w:numPr>
                <w:ilvl w:val="0"/>
                <w:numId w:val="0"/>
              </w:numPr>
              <w:spacing w:line="360" w:lineRule="auto"/>
              <w:ind w:firstLine="482" w:firstLineChars="200"/>
              <w:rPr>
                <w:rFonts w:hint="default" w:ascii="Times New Roman" w:hAnsi="Times New Roman" w:eastAsia="宋体" w:cs="Times New Roman"/>
                <w:b/>
                <w:bCs/>
                <w:color w:val="auto"/>
                <w:kern w:val="2"/>
                <w:sz w:val="24"/>
                <w:szCs w:val="24"/>
                <w:highlight w:val="none"/>
                <w:lang w:val="en-US" w:eastAsia="zh-CN" w:bidi="ar-SA"/>
              </w:rPr>
            </w:pPr>
            <w:r>
              <w:rPr>
                <w:rFonts w:hint="default" w:ascii="Times New Roman" w:hAnsi="Times New Roman" w:eastAsia="宋体" w:cs="Times New Roman"/>
                <w:b/>
                <w:bCs/>
                <w:color w:val="auto"/>
                <w:kern w:val="2"/>
                <w:sz w:val="24"/>
                <w:szCs w:val="24"/>
                <w:highlight w:val="none"/>
                <w:lang w:val="en-US" w:eastAsia="zh-CN" w:bidi="ar-SA"/>
              </w:rPr>
              <w:t>三、噪声</w:t>
            </w:r>
          </w:p>
          <w:p w14:paraId="248DDEF8">
            <w:pPr>
              <w:pStyle w:val="28"/>
              <w:keepNext w:val="0"/>
              <w:keepLines w:val="0"/>
              <w:pageBreakBefore w:val="0"/>
              <w:widowControl/>
              <w:suppressLineNumbers w:val="0"/>
              <w:kinsoku/>
              <w:wordWrap/>
              <w:overflowPunct/>
              <w:topLinePunct w:val="0"/>
              <w:autoSpaceDE/>
              <w:autoSpaceDN/>
              <w:bidi w:val="0"/>
              <w:adjustRightInd/>
              <w:snapToGrid/>
              <w:spacing w:before="0" w:beforeAutospacing="0" w:after="0" w:afterAutospacing="0" w:line="360" w:lineRule="auto"/>
              <w:ind w:left="0" w:right="0" w:firstLineChars="200"/>
              <w:jc w:val="both"/>
              <w:textAlignment w:val="auto"/>
              <w:rPr>
                <w:rFonts w:hint="eastAsia"/>
                <w:color w:val="auto"/>
                <w:sz w:val="24"/>
                <w:szCs w:val="24"/>
                <w:highlight w:val="none"/>
                <w:lang w:eastAsia="zh-CN"/>
              </w:rPr>
            </w:pPr>
            <w:r>
              <w:rPr>
                <w:rFonts w:hint="default" w:ascii="Times New Roman" w:hAnsi="Times New Roman" w:eastAsia="宋体" w:cs="Times New Roman"/>
                <w:color w:val="auto"/>
                <w:kern w:val="2"/>
                <w:sz w:val="24"/>
                <w:szCs w:val="24"/>
                <w:lang w:val="en-US" w:eastAsia="zh-CN" w:bidi="ar-SA"/>
              </w:rPr>
              <w:t>1、本项目营运期产生的噪声主要来源于</w:t>
            </w:r>
            <w:r>
              <w:rPr>
                <w:rFonts w:hint="eastAsia" w:ascii="Times New Roman" w:hAnsi="Times New Roman" w:eastAsia="宋体" w:cs="Times New Roman"/>
                <w:color w:val="auto"/>
                <w:kern w:val="2"/>
                <w:sz w:val="24"/>
                <w:szCs w:val="24"/>
                <w:lang w:val="en-US" w:eastAsia="zh-CN" w:bidi="ar-SA"/>
              </w:rPr>
              <w:t>热风炉</w:t>
            </w:r>
            <w:r>
              <w:rPr>
                <w:rFonts w:hint="default" w:ascii="Times New Roman" w:hAnsi="Times New Roman" w:eastAsia="宋体" w:cs="Times New Roman"/>
                <w:color w:val="auto"/>
                <w:kern w:val="2"/>
                <w:sz w:val="24"/>
                <w:szCs w:val="24"/>
                <w:lang w:val="en-US" w:eastAsia="zh-CN" w:bidi="ar-SA"/>
              </w:rPr>
              <w:t>风机，其噪声值在</w:t>
            </w:r>
            <w:r>
              <w:rPr>
                <w:rFonts w:hint="eastAsia" w:eastAsia="宋体" w:cs="Times New Roman"/>
                <w:color w:val="auto"/>
                <w:kern w:val="2"/>
                <w:sz w:val="24"/>
                <w:szCs w:val="24"/>
                <w:lang w:val="en-US" w:eastAsia="zh-CN" w:bidi="ar-SA"/>
              </w:rPr>
              <w:t>80</w:t>
            </w:r>
            <w:r>
              <w:rPr>
                <w:rFonts w:hint="default" w:ascii="Times New Roman" w:hAnsi="Times New Roman" w:eastAsia="宋体" w:cs="Times New Roman"/>
                <w:color w:val="auto"/>
                <w:kern w:val="2"/>
                <w:sz w:val="24"/>
                <w:szCs w:val="24"/>
                <w:lang w:val="en-US" w:eastAsia="zh-CN" w:bidi="ar-SA"/>
              </w:rPr>
              <w:t>～</w:t>
            </w:r>
            <w:r>
              <w:rPr>
                <w:rFonts w:hint="eastAsia" w:eastAsia="宋体" w:cs="Times New Roman"/>
                <w:color w:val="auto"/>
                <w:kern w:val="2"/>
                <w:sz w:val="24"/>
                <w:szCs w:val="24"/>
                <w:lang w:val="en-US" w:eastAsia="zh-CN" w:bidi="ar-SA"/>
              </w:rPr>
              <w:t>90</w:t>
            </w:r>
            <w:r>
              <w:rPr>
                <w:rFonts w:hint="default" w:ascii="Times New Roman" w:hAnsi="Times New Roman" w:eastAsia="宋体" w:cs="Times New Roman"/>
                <w:color w:val="auto"/>
                <w:kern w:val="2"/>
                <w:sz w:val="24"/>
                <w:szCs w:val="24"/>
                <w:lang w:val="en-US" w:eastAsia="zh-CN" w:bidi="ar-SA"/>
              </w:rPr>
              <w:t>dB（A）之间。</w:t>
            </w:r>
            <w:r>
              <w:rPr>
                <w:rFonts w:hint="eastAsia"/>
                <w:color w:val="auto"/>
                <w:sz w:val="24"/>
                <w:szCs w:val="24"/>
                <w:highlight w:val="none"/>
              </w:rPr>
              <w:t>选用低噪声设备，</w:t>
            </w:r>
            <w:r>
              <w:rPr>
                <w:rFonts w:hint="eastAsia"/>
                <w:color w:val="auto"/>
                <w:sz w:val="24"/>
                <w:szCs w:val="24"/>
                <w:highlight w:val="none"/>
                <w:lang w:val="en-US" w:eastAsia="zh-CN"/>
              </w:rPr>
              <w:t>锅炉</w:t>
            </w:r>
            <w:r>
              <w:rPr>
                <w:rFonts w:hint="eastAsia"/>
                <w:color w:val="auto"/>
                <w:sz w:val="24"/>
                <w:szCs w:val="24"/>
                <w:highlight w:val="none"/>
                <w:lang w:eastAsia="zh-CN"/>
              </w:rPr>
              <w:t>房隔声，合理布局，优化平面布局</w:t>
            </w:r>
            <w:r>
              <w:rPr>
                <w:rFonts w:hint="eastAsia"/>
                <w:color w:val="auto"/>
                <w:sz w:val="24"/>
                <w:szCs w:val="24"/>
                <w:highlight w:val="none"/>
              </w:rPr>
              <w:t>，设置减振器，风机进出口均设软管连接等措施</w:t>
            </w:r>
            <w:r>
              <w:rPr>
                <w:rFonts w:hint="eastAsia"/>
                <w:color w:val="auto"/>
                <w:sz w:val="24"/>
                <w:szCs w:val="24"/>
                <w:highlight w:val="none"/>
                <w:lang w:eastAsia="zh-CN"/>
              </w:rPr>
              <w:t>；定期对设备进行检查、维修，保持设备最佳运行状态，减少噪声产生量。</w:t>
            </w:r>
            <w:r>
              <w:rPr>
                <w:rFonts w:hint="default" w:ascii="Times New Roman" w:hAnsi="Times New Roman" w:cs="Times New Roman"/>
                <w:color w:val="auto"/>
                <w:spacing w:val="0"/>
                <w:kern w:val="21"/>
                <w:sz w:val="24"/>
                <w:szCs w:val="24"/>
              </w:rPr>
              <w:t>厂界的噪声能满足《工业企业厂界环境噪声排放标准》（GB12348-2008）</w:t>
            </w:r>
            <w:r>
              <w:rPr>
                <w:rFonts w:hint="eastAsia" w:cs="Times New Roman"/>
                <w:color w:val="auto"/>
                <w:spacing w:val="0"/>
                <w:kern w:val="21"/>
                <w:sz w:val="24"/>
                <w:szCs w:val="24"/>
                <w:lang w:val="en-US" w:eastAsia="zh-CN"/>
              </w:rPr>
              <w:t>2</w:t>
            </w:r>
            <w:r>
              <w:rPr>
                <w:rFonts w:hint="default" w:ascii="Times New Roman" w:hAnsi="Times New Roman" w:cs="Times New Roman"/>
                <w:color w:val="auto"/>
                <w:spacing w:val="0"/>
                <w:kern w:val="21"/>
                <w:sz w:val="24"/>
                <w:szCs w:val="24"/>
              </w:rPr>
              <w:t>类标准要求</w:t>
            </w:r>
            <w:r>
              <w:rPr>
                <w:rFonts w:hint="default" w:ascii="Times New Roman" w:hAnsi="Times New Roman" w:cs="Times New Roman"/>
                <w:color w:val="auto"/>
                <w:spacing w:val="0"/>
                <w:kern w:val="21"/>
                <w:sz w:val="24"/>
                <w:szCs w:val="24"/>
                <w:lang w:eastAsia="zh-CN"/>
              </w:rPr>
              <w:t>（</w:t>
            </w:r>
            <w:r>
              <w:rPr>
                <w:rFonts w:hint="default" w:ascii="Times New Roman" w:hAnsi="Times New Roman" w:cs="Times New Roman"/>
                <w:color w:val="auto"/>
                <w:spacing w:val="0"/>
                <w:kern w:val="21"/>
                <w:sz w:val="24"/>
                <w:szCs w:val="24"/>
                <w:lang w:val="en-US" w:eastAsia="zh-CN"/>
              </w:rPr>
              <w:t>昼间6</w:t>
            </w:r>
            <w:r>
              <w:rPr>
                <w:rFonts w:hint="eastAsia" w:cs="Times New Roman"/>
                <w:color w:val="auto"/>
                <w:spacing w:val="0"/>
                <w:kern w:val="21"/>
                <w:sz w:val="24"/>
                <w:szCs w:val="24"/>
                <w:lang w:val="en-US" w:eastAsia="zh-CN"/>
              </w:rPr>
              <w:t>0</w:t>
            </w:r>
            <w:r>
              <w:rPr>
                <w:rFonts w:hint="default" w:ascii="Times New Roman" w:hAnsi="Times New Roman" w:cs="Times New Roman"/>
                <w:color w:val="auto"/>
                <w:spacing w:val="0"/>
                <w:kern w:val="21"/>
                <w:sz w:val="24"/>
                <w:szCs w:val="24"/>
                <w:lang w:val="en-US" w:eastAsia="zh-CN"/>
              </w:rPr>
              <w:t>dB(A)</w:t>
            </w:r>
            <w:r>
              <w:rPr>
                <w:rFonts w:hint="eastAsia" w:cs="Times New Roman"/>
                <w:color w:val="auto"/>
                <w:spacing w:val="0"/>
                <w:kern w:val="21"/>
                <w:sz w:val="24"/>
                <w:szCs w:val="24"/>
                <w:lang w:val="en-US" w:eastAsia="zh-CN"/>
              </w:rPr>
              <w:t>，夜间50dB（A</w:t>
            </w:r>
            <w:r>
              <w:rPr>
                <w:rFonts w:hint="default" w:ascii="Times New Roman" w:hAnsi="Times New Roman" w:cs="Times New Roman"/>
                <w:color w:val="auto"/>
                <w:spacing w:val="0"/>
                <w:kern w:val="21"/>
                <w:sz w:val="24"/>
                <w:szCs w:val="24"/>
                <w:lang w:eastAsia="zh-CN"/>
              </w:rPr>
              <w:t>）</w:t>
            </w:r>
            <w:r>
              <w:rPr>
                <w:rFonts w:hint="eastAsia" w:cs="Times New Roman"/>
                <w:color w:val="auto"/>
                <w:spacing w:val="0"/>
                <w:kern w:val="21"/>
                <w:sz w:val="24"/>
                <w:szCs w:val="24"/>
                <w:lang w:eastAsia="zh-CN"/>
              </w:rPr>
              <w:t>）。</w:t>
            </w:r>
          </w:p>
          <w:p w14:paraId="392A20F6">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表4-</w:t>
            </w:r>
            <w:r>
              <w:rPr>
                <w:rFonts w:hint="eastAsia" w:cs="Times New Roman"/>
                <w:b/>
                <w:bCs/>
                <w:color w:val="auto"/>
                <w:kern w:val="2"/>
                <w:sz w:val="24"/>
                <w:szCs w:val="24"/>
                <w:lang w:val="en-US" w:eastAsia="zh-CN" w:bidi="ar-SA"/>
              </w:rPr>
              <w:t>6</w:t>
            </w:r>
            <w:r>
              <w:rPr>
                <w:rFonts w:hint="eastAsia" w:ascii="Times New Roman" w:hAnsi="Times New Roman" w:cs="Times New Roman"/>
                <w:b/>
                <w:bCs/>
                <w:color w:val="auto"/>
                <w:kern w:val="2"/>
                <w:sz w:val="24"/>
                <w:szCs w:val="24"/>
                <w:lang w:val="en-US" w:eastAsia="zh-CN" w:bidi="ar-SA"/>
              </w:rPr>
              <w:t>噪声污染源源强核算结果及相关参数一览  单位：dB（A）</w:t>
            </w:r>
          </w:p>
          <w:tbl>
            <w:tblPr>
              <w:tblStyle w:val="30"/>
              <w:tblW w:w="505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06"/>
              <w:gridCol w:w="927"/>
              <w:gridCol w:w="668"/>
              <w:gridCol w:w="696"/>
              <w:gridCol w:w="900"/>
              <w:gridCol w:w="1205"/>
              <w:gridCol w:w="805"/>
              <w:gridCol w:w="758"/>
              <w:gridCol w:w="814"/>
              <w:gridCol w:w="538"/>
            </w:tblGrid>
            <w:tr w14:paraId="3EF357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440" w:type="pct"/>
                  <w:vMerge w:val="restart"/>
                  <w:tcBorders>
                    <w:top w:val="single" w:color="auto" w:sz="12" w:space="0"/>
                    <w:left w:val="nil"/>
                    <w:bottom w:val="single" w:color="auto" w:sz="4" w:space="0"/>
                    <w:right w:val="single" w:color="auto" w:sz="4" w:space="0"/>
                  </w:tcBorders>
                  <w:vAlign w:val="center"/>
                </w:tcPr>
                <w:p w14:paraId="3A66284C">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工序/生产线</w:t>
                  </w:r>
                </w:p>
              </w:tc>
              <w:tc>
                <w:tcPr>
                  <w:tcW w:w="578" w:type="pct"/>
                  <w:vMerge w:val="restart"/>
                  <w:tcBorders>
                    <w:top w:val="single" w:color="auto" w:sz="12" w:space="0"/>
                    <w:left w:val="single" w:color="auto" w:sz="4" w:space="0"/>
                    <w:bottom w:val="single" w:color="auto" w:sz="4" w:space="0"/>
                    <w:right w:val="single" w:color="auto" w:sz="4" w:space="0"/>
                  </w:tcBorders>
                  <w:vAlign w:val="center"/>
                </w:tcPr>
                <w:p w14:paraId="0CF80EF6">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噪声源</w:t>
                  </w:r>
                </w:p>
              </w:tc>
              <w:tc>
                <w:tcPr>
                  <w:tcW w:w="416" w:type="pct"/>
                  <w:vMerge w:val="restart"/>
                  <w:tcBorders>
                    <w:top w:val="single" w:color="auto" w:sz="12" w:space="0"/>
                    <w:left w:val="single" w:color="auto" w:sz="4" w:space="0"/>
                    <w:bottom w:val="single" w:color="auto" w:sz="4" w:space="0"/>
                    <w:right w:val="single" w:color="auto" w:sz="4" w:space="0"/>
                  </w:tcBorders>
                  <w:vAlign w:val="center"/>
                </w:tcPr>
                <w:p w14:paraId="41E1499A">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声源类型</w:t>
                  </w:r>
                </w:p>
              </w:tc>
              <w:tc>
                <w:tcPr>
                  <w:tcW w:w="995" w:type="pct"/>
                  <w:gridSpan w:val="2"/>
                  <w:tcBorders>
                    <w:top w:val="single" w:color="auto" w:sz="12" w:space="0"/>
                    <w:left w:val="single" w:color="auto" w:sz="4" w:space="0"/>
                    <w:bottom w:val="single" w:color="auto" w:sz="4" w:space="0"/>
                    <w:right w:val="single" w:color="auto" w:sz="4" w:space="0"/>
                  </w:tcBorders>
                  <w:vAlign w:val="center"/>
                </w:tcPr>
                <w:p w14:paraId="3B0C84FE">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噪声源强</w:t>
                  </w:r>
                </w:p>
              </w:tc>
              <w:tc>
                <w:tcPr>
                  <w:tcW w:w="1253" w:type="pct"/>
                  <w:gridSpan w:val="2"/>
                  <w:tcBorders>
                    <w:top w:val="single" w:color="auto" w:sz="12" w:space="0"/>
                    <w:left w:val="single" w:color="auto" w:sz="4" w:space="0"/>
                    <w:bottom w:val="single" w:color="auto" w:sz="4" w:space="0"/>
                    <w:right w:val="single" w:color="auto" w:sz="4" w:space="0"/>
                  </w:tcBorders>
                  <w:vAlign w:val="center"/>
                </w:tcPr>
                <w:p w14:paraId="3B975D32">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降噪措施</w:t>
                  </w:r>
                </w:p>
              </w:tc>
              <w:tc>
                <w:tcPr>
                  <w:tcW w:w="980" w:type="pct"/>
                  <w:gridSpan w:val="2"/>
                  <w:tcBorders>
                    <w:top w:val="single" w:color="auto" w:sz="12" w:space="0"/>
                    <w:left w:val="single" w:color="auto" w:sz="4" w:space="0"/>
                    <w:bottom w:val="single" w:color="auto" w:sz="4" w:space="0"/>
                    <w:right w:val="single" w:color="auto" w:sz="4" w:space="0"/>
                  </w:tcBorders>
                  <w:vAlign w:val="center"/>
                </w:tcPr>
                <w:p w14:paraId="43D61954">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噪声排放值</w:t>
                  </w:r>
                </w:p>
              </w:tc>
              <w:tc>
                <w:tcPr>
                  <w:tcW w:w="335" w:type="pct"/>
                  <w:vMerge w:val="restart"/>
                  <w:tcBorders>
                    <w:top w:val="single" w:color="auto" w:sz="12" w:space="0"/>
                    <w:left w:val="single" w:color="auto" w:sz="4" w:space="0"/>
                    <w:bottom w:val="single" w:color="auto" w:sz="4" w:space="0"/>
                    <w:right w:val="nil"/>
                  </w:tcBorders>
                  <w:vAlign w:val="center"/>
                </w:tcPr>
                <w:p w14:paraId="5BD68010">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szCs w:val="21"/>
                    </w:rPr>
                  </w:pPr>
                  <w:r>
                    <w:rPr>
                      <w:rFonts w:hint="default" w:ascii="Times New Roman" w:hAnsi="Times New Roman" w:cs="Times New Roman"/>
                      <w:b/>
                      <w:bCs/>
                      <w:color w:val="auto"/>
                      <w:szCs w:val="21"/>
                    </w:rPr>
                    <w:t>工作时间 h</w:t>
                  </w:r>
                </w:p>
              </w:tc>
            </w:tr>
            <w:tr w14:paraId="3EF69A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440" w:type="pct"/>
                  <w:vMerge w:val="continue"/>
                  <w:tcBorders>
                    <w:top w:val="single" w:color="auto" w:sz="4" w:space="0"/>
                    <w:left w:val="nil"/>
                    <w:bottom w:val="single" w:color="auto" w:sz="4" w:space="0"/>
                    <w:right w:val="single" w:color="auto" w:sz="4" w:space="0"/>
                  </w:tcBorders>
                  <w:vAlign w:val="center"/>
                </w:tcPr>
                <w:p w14:paraId="0EEC1403">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b/>
                      <w:bCs/>
                      <w:color w:val="auto"/>
                      <w:szCs w:val="21"/>
                    </w:rPr>
                  </w:pPr>
                </w:p>
              </w:tc>
              <w:tc>
                <w:tcPr>
                  <w:tcW w:w="578" w:type="pct"/>
                  <w:vMerge w:val="continue"/>
                  <w:tcBorders>
                    <w:top w:val="single" w:color="auto" w:sz="4" w:space="0"/>
                    <w:left w:val="single" w:color="auto" w:sz="4" w:space="0"/>
                    <w:bottom w:val="single" w:color="auto" w:sz="4" w:space="0"/>
                    <w:right w:val="single" w:color="auto" w:sz="4" w:space="0"/>
                  </w:tcBorders>
                  <w:vAlign w:val="center"/>
                </w:tcPr>
                <w:p w14:paraId="12BF0818">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b/>
                      <w:bCs/>
                      <w:color w:val="auto"/>
                      <w:szCs w:val="21"/>
                    </w:rPr>
                  </w:pPr>
                </w:p>
              </w:tc>
              <w:tc>
                <w:tcPr>
                  <w:tcW w:w="416" w:type="pct"/>
                  <w:vMerge w:val="continue"/>
                  <w:tcBorders>
                    <w:top w:val="single" w:color="auto" w:sz="4" w:space="0"/>
                    <w:left w:val="single" w:color="auto" w:sz="4" w:space="0"/>
                    <w:bottom w:val="single" w:color="auto" w:sz="4" w:space="0"/>
                    <w:right w:val="single" w:color="auto" w:sz="4" w:space="0"/>
                  </w:tcBorders>
                  <w:vAlign w:val="center"/>
                </w:tcPr>
                <w:p w14:paraId="781717B0">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b/>
                      <w:bCs/>
                      <w:color w:val="auto"/>
                      <w:szCs w:val="21"/>
                    </w:rPr>
                  </w:pPr>
                </w:p>
              </w:tc>
              <w:tc>
                <w:tcPr>
                  <w:tcW w:w="434" w:type="pct"/>
                  <w:tcBorders>
                    <w:top w:val="single" w:color="auto" w:sz="4" w:space="0"/>
                    <w:left w:val="single" w:color="auto" w:sz="4" w:space="0"/>
                    <w:bottom w:val="single" w:color="auto" w:sz="4" w:space="0"/>
                    <w:right w:val="single" w:color="auto" w:sz="4" w:space="0"/>
                  </w:tcBorders>
                  <w:vAlign w:val="center"/>
                </w:tcPr>
                <w:p w14:paraId="385C3A43">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核算</w:t>
                  </w:r>
                </w:p>
                <w:p w14:paraId="1F869C25">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方法</w:t>
                  </w:r>
                </w:p>
              </w:tc>
              <w:tc>
                <w:tcPr>
                  <w:tcW w:w="561" w:type="pct"/>
                  <w:tcBorders>
                    <w:top w:val="single" w:color="auto" w:sz="4" w:space="0"/>
                    <w:left w:val="single" w:color="auto" w:sz="4" w:space="0"/>
                    <w:bottom w:val="single" w:color="auto" w:sz="4" w:space="0"/>
                    <w:right w:val="single" w:color="auto" w:sz="4" w:space="0"/>
                  </w:tcBorders>
                  <w:vAlign w:val="center"/>
                </w:tcPr>
                <w:p w14:paraId="4E524857">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噪声值</w:t>
                  </w:r>
                </w:p>
                <w:p w14:paraId="7C06EC52">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dB(A)</w:t>
                  </w:r>
                </w:p>
              </w:tc>
              <w:tc>
                <w:tcPr>
                  <w:tcW w:w="751" w:type="pct"/>
                  <w:tcBorders>
                    <w:top w:val="single" w:color="auto" w:sz="4" w:space="0"/>
                    <w:left w:val="single" w:color="auto" w:sz="4" w:space="0"/>
                    <w:bottom w:val="single" w:color="auto" w:sz="4" w:space="0"/>
                    <w:right w:val="single" w:color="auto" w:sz="4" w:space="0"/>
                  </w:tcBorders>
                  <w:vAlign w:val="center"/>
                </w:tcPr>
                <w:p w14:paraId="77D737AB">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工艺</w:t>
                  </w:r>
                </w:p>
              </w:tc>
              <w:tc>
                <w:tcPr>
                  <w:tcW w:w="502" w:type="pct"/>
                  <w:tcBorders>
                    <w:top w:val="single" w:color="auto" w:sz="4" w:space="0"/>
                    <w:left w:val="single" w:color="auto" w:sz="4" w:space="0"/>
                    <w:bottom w:val="single" w:color="auto" w:sz="4" w:space="0"/>
                    <w:right w:val="single" w:color="auto" w:sz="4" w:space="0"/>
                  </w:tcBorders>
                  <w:vAlign w:val="center"/>
                </w:tcPr>
                <w:p w14:paraId="77BCBEF1">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降噪效果</w:t>
                  </w:r>
                </w:p>
              </w:tc>
              <w:tc>
                <w:tcPr>
                  <w:tcW w:w="472" w:type="pct"/>
                  <w:tcBorders>
                    <w:top w:val="single" w:color="auto" w:sz="4" w:space="0"/>
                    <w:left w:val="single" w:color="auto" w:sz="4" w:space="0"/>
                    <w:bottom w:val="single" w:color="auto" w:sz="4" w:space="0"/>
                    <w:right w:val="single" w:color="auto" w:sz="4" w:space="0"/>
                  </w:tcBorders>
                  <w:vAlign w:val="center"/>
                </w:tcPr>
                <w:p w14:paraId="09BE760F">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核算方法</w:t>
                  </w:r>
                </w:p>
              </w:tc>
              <w:tc>
                <w:tcPr>
                  <w:tcW w:w="507" w:type="pct"/>
                  <w:tcBorders>
                    <w:top w:val="single" w:color="auto" w:sz="4" w:space="0"/>
                    <w:left w:val="single" w:color="auto" w:sz="4" w:space="0"/>
                    <w:bottom w:val="single" w:color="auto" w:sz="4" w:space="0"/>
                    <w:right w:val="single" w:color="auto" w:sz="4" w:space="0"/>
                  </w:tcBorders>
                  <w:vAlign w:val="center"/>
                </w:tcPr>
                <w:p w14:paraId="4C9F3A53">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b/>
                      <w:bCs/>
                      <w:color w:val="auto"/>
                    </w:rPr>
                  </w:pPr>
                  <w:r>
                    <w:rPr>
                      <w:rFonts w:hint="default" w:ascii="Times New Roman" w:hAnsi="Times New Roman" w:cs="Times New Roman"/>
                      <w:b/>
                      <w:bCs/>
                      <w:color w:val="auto"/>
                    </w:rPr>
                    <w:t>噪声值dB(A)</w:t>
                  </w:r>
                </w:p>
              </w:tc>
              <w:tc>
                <w:tcPr>
                  <w:tcW w:w="335" w:type="pct"/>
                  <w:vMerge w:val="continue"/>
                  <w:tcBorders>
                    <w:top w:val="single" w:color="auto" w:sz="4" w:space="0"/>
                    <w:left w:val="single" w:color="auto" w:sz="4" w:space="0"/>
                    <w:bottom w:val="single" w:color="auto" w:sz="4" w:space="0"/>
                    <w:right w:val="nil"/>
                  </w:tcBorders>
                  <w:vAlign w:val="center"/>
                </w:tcPr>
                <w:p w14:paraId="073CFC9E">
                  <w:pPr>
                    <w:keepNext w:val="0"/>
                    <w:keepLines w:val="0"/>
                    <w:pageBreakBefore w:val="0"/>
                    <w:widowControl/>
                    <w:kinsoku/>
                    <w:wordWrap/>
                    <w:overflowPunct/>
                    <w:topLinePunct w:val="0"/>
                    <w:autoSpaceDE/>
                    <w:autoSpaceDN/>
                    <w:bidi w:val="0"/>
                    <w:adjustRightInd/>
                    <w:snapToGrid/>
                    <w:spacing w:line="0" w:lineRule="atLeast"/>
                    <w:jc w:val="left"/>
                    <w:textAlignment w:val="auto"/>
                    <w:rPr>
                      <w:rFonts w:hint="default" w:ascii="Times New Roman" w:hAnsi="Times New Roman" w:cs="Times New Roman"/>
                      <w:b/>
                      <w:bCs/>
                      <w:color w:val="auto"/>
                      <w:szCs w:val="21"/>
                    </w:rPr>
                  </w:pPr>
                </w:p>
              </w:tc>
            </w:tr>
            <w:tr w14:paraId="778A43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jc w:val="center"/>
              </w:trPr>
              <w:tc>
                <w:tcPr>
                  <w:tcW w:w="440" w:type="pct"/>
                  <w:tcBorders>
                    <w:top w:val="single" w:color="auto" w:sz="4" w:space="0"/>
                    <w:left w:val="nil"/>
                    <w:bottom w:val="single" w:color="auto" w:sz="12" w:space="0"/>
                    <w:right w:val="single" w:color="auto" w:sz="4" w:space="0"/>
                  </w:tcBorders>
                  <w:shd w:val="clear" w:color="auto" w:fill="auto"/>
                  <w:vAlign w:val="center"/>
                </w:tcPr>
                <w:p w14:paraId="7955C425">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供、排风</w:t>
                  </w:r>
                </w:p>
              </w:tc>
              <w:tc>
                <w:tcPr>
                  <w:tcW w:w="578" w:type="pct"/>
                  <w:tcBorders>
                    <w:top w:val="single" w:color="auto" w:sz="4" w:space="0"/>
                    <w:left w:val="single" w:color="auto" w:sz="4" w:space="0"/>
                    <w:bottom w:val="single" w:color="auto" w:sz="12" w:space="0"/>
                    <w:right w:val="single" w:color="auto" w:sz="4" w:space="0"/>
                  </w:tcBorders>
                  <w:shd w:val="clear" w:color="auto" w:fill="auto"/>
                  <w:vAlign w:val="center"/>
                </w:tcPr>
                <w:p w14:paraId="60FEF8C4">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lang w:val="zh-CN"/>
                    </w:rPr>
                  </w:pPr>
                  <w:r>
                    <w:rPr>
                      <w:rFonts w:hint="eastAsia" w:cs="Times New Roman"/>
                      <w:color w:val="auto"/>
                      <w:szCs w:val="21"/>
                      <w:lang w:eastAsia="zh-CN"/>
                    </w:rPr>
                    <w:t>矿井热风炉</w:t>
                  </w:r>
                  <w:r>
                    <w:rPr>
                      <w:rFonts w:hint="default" w:ascii="Times New Roman" w:hAnsi="Times New Roman" w:cs="Times New Roman"/>
                      <w:color w:val="auto"/>
                      <w:szCs w:val="21"/>
                      <w:lang w:val="zh-CN"/>
                    </w:rPr>
                    <w:t>风机</w:t>
                  </w:r>
                </w:p>
              </w:tc>
              <w:tc>
                <w:tcPr>
                  <w:tcW w:w="416" w:type="pct"/>
                  <w:tcBorders>
                    <w:top w:val="single" w:color="auto" w:sz="4" w:space="0"/>
                    <w:left w:val="single" w:color="auto" w:sz="4" w:space="0"/>
                    <w:bottom w:val="single" w:color="auto" w:sz="12" w:space="0"/>
                    <w:right w:val="single" w:color="auto" w:sz="4" w:space="0"/>
                  </w:tcBorders>
                  <w:shd w:val="clear" w:color="auto" w:fill="auto"/>
                  <w:vAlign w:val="center"/>
                </w:tcPr>
                <w:p w14:paraId="27A6602C">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频发</w:t>
                  </w:r>
                </w:p>
              </w:tc>
              <w:tc>
                <w:tcPr>
                  <w:tcW w:w="434" w:type="pct"/>
                  <w:tcBorders>
                    <w:top w:val="single" w:color="auto" w:sz="4" w:space="0"/>
                    <w:left w:val="single" w:color="auto" w:sz="4" w:space="0"/>
                    <w:bottom w:val="single" w:color="auto" w:sz="12" w:space="0"/>
                    <w:right w:val="single" w:color="auto" w:sz="4" w:space="0"/>
                  </w:tcBorders>
                  <w:shd w:val="clear" w:color="auto" w:fill="FFFFFF"/>
                  <w:vAlign w:val="center"/>
                </w:tcPr>
                <w:p w14:paraId="162798A1">
                  <w:pPr>
                    <w:keepNext w:val="0"/>
                    <w:keepLines w:val="0"/>
                    <w:pageBreakBefore w:val="0"/>
                    <w:shd w:val="clear" w:color="auto" w:fill="FFFFFF"/>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61" w:type="pct"/>
                  <w:tcBorders>
                    <w:top w:val="single" w:color="auto" w:sz="4" w:space="0"/>
                    <w:left w:val="single" w:color="auto" w:sz="4" w:space="0"/>
                    <w:bottom w:val="single" w:color="auto" w:sz="12" w:space="0"/>
                    <w:right w:val="single" w:color="auto" w:sz="4" w:space="0"/>
                  </w:tcBorders>
                  <w:shd w:val="clear" w:color="auto" w:fill="FFFFFF"/>
                  <w:vAlign w:val="center"/>
                </w:tcPr>
                <w:p w14:paraId="2F998229">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lang w:val="en-US" w:eastAsia="zh-CN"/>
                    </w:rPr>
                  </w:pPr>
                  <w:r>
                    <w:rPr>
                      <w:rFonts w:hint="eastAsia" w:cs="Times New Roman"/>
                      <w:color w:val="auto"/>
                      <w:lang w:val="en-US" w:eastAsia="zh-CN"/>
                    </w:rPr>
                    <w:t>90</w:t>
                  </w:r>
                </w:p>
              </w:tc>
              <w:tc>
                <w:tcPr>
                  <w:tcW w:w="751" w:type="pct"/>
                  <w:tcBorders>
                    <w:top w:val="single" w:color="auto" w:sz="4" w:space="0"/>
                    <w:left w:val="single" w:color="auto" w:sz="4" w:space="0"/>
                    <w:bottom w:val="single" w:color="auto" w:sz="12" w:space="0"/>
                    <w:right w:val="single" w:color="auto" w:sz="4" w:space="0"/>
                  </w:tcBorders>
                  <w:vAlign w:val="center"/>
                </w:tcPr>
                <w:p w14:paraId="132136FE">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pacing w:val="-6"/>
                      <w:szCs w:val="21"/>
                    </w:rPr>
                  </w:pPr>
                  <w:r>
                    <w:rPr>
                      <w:rFonts w:hint="default" w:ascii="Times New Roman" w:hAnsi="Times New Roman" w:cs="Times New Roman"/>
                      <w:color w:val="auto"/>
                    </w:rPr>
                    <w:t>选取低噪声设备，采取减振、隔声等措施</w:t>
                  </w:r>
                </w:p>
              </w:tc>
              <w:tc>
                <w:tcPr>
                  <w:tcW w:w="502" w:type="pct"/>
                  <w:tcBorders>
                    <w:top w:val="single" w:color="auto" w:sz="4" w:space="0"/>
                    <w:left w:val="single" w:color="auto" w:sz="4" w:space="0"/>
                    <w:bottom w:val="single" w:color="auto" w:sz="12" w:space="0"/>
                    <w:right w:val="single" w:color="auto" w:sz="4" w:space="0"/>
                  </w:tcBorders>
                  <w:vAlign w:val="center"/>
                </w:tcPr>
                <w:p w14:paraId="23CB3530">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降低2</w:t>
                  </w:r>
                  <w:r>
                    <w:rPr>
                      <w:rFonts w:hint="eastAsia" w:cs="Times New Roman"/>
                      <w:color w:val="auto"/>
                      <w:szCs w:val="21"/>
                      <w:lang w:val="en-US" w:eastAsia="zh-CN"/>
                    </w:rPr>
                    <w:t>5</w:t>
                  </w:r>
                  <w:r>
                    <w:rPr>
                      <w:rFonts w:hint="default" w:ascii="Times New Roman" w:hAnsi="Times New Roman" w:cs="Times New Roman"/>
                      <w:color w:val="auto"/>
                      <w:szCs w:val="21"/>
                    </w:rPr>
                    <w:t>dB</w:t>
                  </w:r>
                  <w:r>
                    <w:rPr>
                      <w:rFonts w:hint="default" w:ascii="Times New Roman" w:hAnsi="Times New Roman" w:cs="Times New Roman"/>
                      <w:color w:val="auto"/>
                      <w:spacing w:val="-6"/>
                      <w:szCs w:val="21"/>
                    </w:rPr>
                    <w:t>(A)</w:t>
                  </w:r>
                </w:p>
              </w:tc>
              <w:tc>
                <w:tcPr>
                  <w:tcW w:w="472" w:type="pct"/>
                  <w:tcBorders>
                    <w:top w:val="single" w:color="auto" w:sz="4" w:space="0"/>
                    <w:left w:val="single" w:color="auto" w:sz="4" w:space="0"/>
                    <w:bottom w:val="single" w:color="auto" w:sz="12" w:space="0"/>
                    <w:right w:val="single" w:color="auto" w:sz="4" w:space="0"/>
                  </w:tcBorders>
                  <w:vAlign w:val="center"/>
                </w:tcPr>
                <w:p w14:paraId="1B1C4109">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类比法</w:t>
                  </w:r>
                </w:p>
              </w:tc>
              <w:tc>
                <w:tcPr>
                  <w:tcW w:w="507" w:type="pct"/>
                  <w:tcBorders>
                    <w:top w:val="single" w:color="auto" w:sz="4" w:space="0"/>
                    <w:left w:val="single" w:color="auto" w:sz="4" w:space="0"/>
                    <w:bottom w:val="single" w:color="auto" w:sz="12" w:space="0"/>
                    <w:right w:val="single" w:color="auto" w:sz="4" w:space="0"/>
                  </w:tcBorders>
                  <w:vAlign w:val="center"/>
                </w:tcPr>
                <w:p w14:paraId="563211DB">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color w:val="auto"/>
                      <w:szCs w:val="21"/>
                      <w:lang w:val="en-US" w:eastAsia="zh-CN"/>
                    </w:rPr>
                  </w:pPr>
                  <w:r>
                    <w:rPr>
                      <w:rFonts w:hint="eastAsia" w:cs="Times New Roman"/>
                      <w:color w:val="auto"/>
                      <w:szCs w:val="21"/>
                      <w:lang w:val="en-US" w:eastAsia="zh-CN"/>
                    </w:rPr>
                    <w:t>65</w:t>
                  </w:r>
                </w:p>
              </w:tc>
              <w:tc>
                <w:tcPr>
                  <w:tcW w:w="335" w:type="pct"/>
                  <w:tcBorders>
                    <w:top w:val="single" w:color="auto" w:sz="4" w:space="0"/>
                    <w:left w:val="single" w:color="auto" w:sz="4" w:space="0"/>
                    <w:bottom w:val="single" w:color="auto" w:sz="12" w:space="0"/>
                    <w:right w:val="nil"/>
                  </w:tcBorders>
                  <w:vAlign w:val="center"/>
                </w:tcPr>
                <w:p w14:paraId="6DD1F513">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cs="Times New Roman"/>
                      <w:color w:val="auto"/>
                      <w:szCs w:val="21"/>
                    </w:rPr>
                  </w:pPr>
                  <w:r>
                    <w:rPr>
                      <w:rFonts w:hint="default" w:ascii="Times New Roman" w:hAnsi="Times New Roman" w:cs="Times New Roman"/>
                      <w:color w:val="auto"/>
                      <w:szCs w:val="21"/>
                    </w:rPr>
                    <w:t>1440</w:t>
                  </w:r>
                </w:p>
              </w:tc>
            </w:tr>
          </w:tbl>
          <w:p w14:paraId="7C0D48E1">
            <w:pPr>
              <w:pStyle w:val="72"/>
              <w:tabs>
                <w:tab w:val="left" w:pos="5805"/>
              </w:tabs>
              <w:spacing w:line="360" w:lineRule="auto"/>
              <w:ind w:left="0" w:leftChars="0" w:firstLine="480" w:firstLineChars="200"/>
              <w:rPr>
                <w:rFonts w:hint="default" w:ascii="Times New Roman" w:hAnsi="Times New Roman" w:cs="Times New Roman"/>
                <w:color w:val="auto"/>
                <w:spacing w:val="0"/>
                <w:kern w:val="21"/>
                <w:szCs w:val="24"/>
                <w:highlight w:val="none"/>
              </w:rPr>
            </w:pPr>
            <w:r>
              <w:rPr>
                <w:rFonts w:hint="default" w:ascii="Times New Roman" w:hAnsi="Times New Roman" w:cs="Times New Roman"/>
                <w:color w:val="auto"/>
                <w:spacing w:val="0"/>
                <w:kern w:val="21"/>
                <w:szCs w:val="24"/>
                <w:highlight w:val="none"/>
                <w:lang w:val="en-US" w:eastAsia="zh-CN"/>
              </w:rPr>
              <w:t>2、</w:t>
            </w:r>
            <w:r>
              <w:rPr>
                <w:rFonts w:hint="default" w:ascii="Times New Roman" w:hAnsi="Times New Roman" w:cs="Times New Roman"/>
                <w:color w:val="auto"/>
                <w:spacing w:val="0"/>
                <w:kern w:val="21"/>
                <w:szCs w:val="24"/>
                <w:highlight w:val="none"/>
              </w:rPr>
              <w:t>噪声源源强的预测</w:t>
            </w:r>
          </w:p>
          <w:p w14:paraId="1B8141CD">
            <w:pPr>
              <w:pStyle w:val="72"/>
              <w:tabs>
                <w:tab w:val="left" w:pos="5805"/>
              </w:tabs>
              <w:spacing w:line="360" w:lineRule="auto"/>
              <w:ind w:firstLine="480"/>
              <w:rPr>
                <w:rFonts w:hint="default" w:ascii="Times New Roman" w:hAnsi="Times New Roman" w:cs="Times New Roman"/>
                <w:color w:val="auto"/>
                <w:spacing w:val="0"/>
                <w:kern w:val="21"/>
                <w:szCs w:val="24"/>
              </w:rPr>
            </w:pPr>
            <w:r>
              <w:rPr>
                <w:rFonts w:hint="default" w:ascii="Times New Roman" w:hAnsi="Times New Roman" w:cs="Times New Roman"/>
                <w:color w:val="auto"/>
                <w:spacing w:val="0"/>
                <w:kern w:val="21"/>
                <w:szCs w:val="24"/>
              </w:rPr>
              <w:t>根据拟建项目设备声源特征和声学环境的特点，视设备声源为点源，声场为半自由声场，依据HJ2.4-20</w:t>
            </w:r>
            <w:r>
              <w:rPr>
                <w:rFonts w:hint="eastAsia" w:cs="Times New Roman"/>
                <w:color w:val="auto"/>
                <w:spacing w:val="0"/>
                <w:kern w:val="21"/>
                <w:szCs w:val="24"/>
                <w:lang w:val="en-US" w:eastAsia="zh-CN"/>
              </w:rPr>
              <w:t>21</w:t>
            </w:r>
            <w:r>
              <w:rPr>
                <w:rFonts w:hint="default" w:ascii="Times New Roman" w:hAnsi="Times New Roman" w:cs="Times New Roman"/>
                <w:color w:val="auto"/>
                <w:spacing w:val="0"/>
                <w:kern w:val="21"/>
                <w:szCs w:val="24"/>
              </w:rPr>
              <w:t>《环境影响评价技术导则 声环境》，选用无指向性声源几何发散衰减预测模式预测厂界噪声，具体见下表。</w:t>
            </w:r>
          </w:p>
          <w:p w14:paraId="764017C4">
            <w:pPr>
              <w:pStyle w:val="72"/>
              <w:tabs>
                <w:tab w:val="left" w:pos="5805"/>
              </w:tabs>
              <w:spacing w:line="360" w:lineRule="auto"/>
              <w:ind w:firstLine="480"/>
              <w:rPr>
                <w:rFonts w:hint="default" w:ascii="Times New Roman" w:hAnsi="Times New Roman" w:cs="Times New Roman"/>
                <w:color w:val="auto"/>
                <w:spacing w:val="0"/>
                <w:kern w:val="21"/>
                <w:szCs w:val="24"/>
                <w:lang w:eastAsia="zh-CN"/>
              </w:rPr>
            </w:pPr>
            <w:r>
              <w:rPr>
                <w:rFonts w:hint="default" w:ascii="Times New Roman" w:hAnsi="Times New Roman" w:cs="Times New Roman"/>
                <w:color w:val="auto"/>
                <w:spacing w:val="0"/>
                <w:kern w:val="21"/>
                <w:szCs w:val="24"/>
                <w:lang w:val="en-US" w:eastAsia="zh-CN"/>
              </w:rPr>
              <w:t xml:space="preserve">    </w:t>
            </w:r>
            <w:r>
              <w:rPr>
                <w:rFonts w:hint="default" w:ascii="Times New Roman" w:hAnsi="Times New Roman" w:cs="Times New Roman"/>
                <w:color w:val="auto"/>
                <w:spacing w:val="0"/>
                <w:kern w:val="21"/>
                <w:szCs w:val="24"/>
              </w:rPr>
              <w:t>点声源衰减模式：</w:t>
            </w:r>
          </w:p>
          <w:p w14:paraId="271FB8DE">
            <w:pPr>
              <w:pStyle w:val="72"/>
              <w:tabs>
                <w:tab w:val="left" w:pos="5805"/>
              </w:tabs>
              <w:spacing w:line="360" w:lineRule="auto"/>
              <w:ind w:firstLine="480"/>
              <w:rPr>
                <w:rFonts w:hint="default" w:ascii="Times New Roman" w:hAnsi="Times New Roman" w:cs="Times New Roman"/>
                <w:color w:val="auto"/>
                <w:spacing w:val="0"/>
                <w:kern w:val="21"/>
                <w:szCs w:val="24"/>
              </w:rPr>
            </w:pPr>
            <w:r>
              <w:rPr>
                <w:rFonts w:hint="default" w:ascii="Times New Roman" w:hAnsi="Times New Roman" w:cs="Times New Roman"/>
                <w:color w:val="auto"/>
                <w:spacing w:val="0"/>
                <w:kern w:val="21"/>
                <w:szCs w:val="24"/>
              </w:rPr>
              <w:t xml:space="preserve">                 Lp（r）= Lp（r0）-20lg（r/r0）</w:t>
            </w:r>
          </w:p>
          <w:p w14:paraId="1E2F6169">
            <w:pPr>
              <w:pStyle w:val="72"/>
              <w:tabs>
                <w:tab w:val="left" w:pos="5805"/>
              </w:tabs>
              <w:spacing w:line="360" w:lineRule="auto"/>
              <w:ind w:firstLine="480"/>
              <w:rPr>
                <w:rFonts w:hint="default" w:ascii="Times New Roman" w:hAnsi="Times New Roman" w:cs="Times New Roman"/>
                <w:color w:val="auto"/>
                <w:spacing w:val="0"/>
                <w:kern w:val="21"/>
                <w:szCs w:val="24"/>
                <w:lang w:eastAsia="zh-CN"/>
              </w:rPr>
            </w:pPr>
            <w:r>
              <w:rPr>
                <w:rFonts w:hint="default" w:ascii="Times New Roman" w:hAnsi="Times New Roman" w:cs="Times New Roman"/>
                <w:color w:val="auto"/>
                <w:spacing w:val="0"/>
                <w:kern w:val="21"/>
                <w:szCs w:val="24"/>
              </w:rPr>
              <w:t xml:space="preserve"> 式中：Lp（r）——距噪声源r0处预测点的A声级（dB(A)）；</w:t>
            </w:r>
          </w:p>
          <w:p w14:paraId="7C49863E">
            <w:pPr>
              <w:pStyle w:val="72"/>
              <w:tabs>
                <w:tab w:val="left" w:pos="5805"/>
              </w:tabs>
              <w:spacing w:line="360" w:lineRule="auto"/>
              <w:ind w:firstLine="1440" w:firstLineChars="600"/>
              <w:rPr>
                <w:rFonts w:hint="default" w:ascii="Times New Roman" w:hAnsi="Times New Roman" w:cs="Times New Roman"/>
                <w:color w:val="auto"/>
                <w:spacing w:val="0"/>
                <w:kern w:val="21"/>
                <w:szCs w:val="24"/>
                <w:lang w:eastAsia="zh-CN"/>
              </w:rPr>
            </w:pPr>
            <w:r>
              <w:rPr>
                <w:rFonts w:hint="default" w:ascii="Times New Roman" w:hAnsi="Times New Roman" w:cs="Times New Roman"/>
                <w:color w:val="auto"/>
                <w:spacing w:val="0"/>
                <w:kern w:val="21"/>
                <w:szCs w:val="24"/>
              </w:rPr>
              <w:t>Lp(r0) ——点声源的A声级（dB(A)）；</w:t>
            </w:r>
          </w:p>
          <w:p w14:paraId="010FEC55">
            <w:pPr>
              <w:pStyle w:val="72"/>
              <w:pageBreakBefore w:val="0"/>
              <w:tabs>
                <w:tab w:val="left" w:pos="5805"/>
              </w:tabs>
              <w:adjustRightInd/>
              <w:snapToGrid/>
              <w:spacing w:line="360" w:lineRule="auto"/>
              <w:ind w:firstLine="1440" w:firstLineChars="600"/>
              <w:jc w:val="left"/>
              <w:rPr>
                <w:rFonts w:hint="default" w:ascii="Times New Roman" w:hAnsi="Times New Roman" w:cs="Times New Roman"/>
                <w:b/>
                <w:bCs/>
                <w:color w:val="auto"/>
                <w:spacing w:val="0"/>
                <w:kern w:val="21"/>
                <w:sz w:val="24"/>
                <w:szCs w:val="24"/>
                <w:highlight w:val="none"/>
              </w:rPr>
            </w:pPr>
            <w:r>
              <w:rPr>
                <w:rFonts w:hint="default" w:ascii="Times New Roman" w:hAnsi="Times New Roman" w:cs="Times New Roman"/>
                <w:color w:val="auto"/>
                <w:spacing w:val="0"/>
                <w:kern w:val="21"/>
                <w:szCs w:val="24"/>
              </w:rPr>
              <w:t>r ——点声源至预测点的距离（m）</w:t>
            </w:r>
          </w:p>
          <w:p w14:paraId="3DEF3B6A">
            <w:pPr>
              <w:pStyle w:val="72"/>
              <w:pageBreakBefore/>
              <w:tabs>
                <w:tab w:val="left" w:pos="5805"/>
              </w:tabs>
              <w:adjustRightInd w:val="0"/>
              <w:snapToGrid w:val="0"/>
              <w:spacing w:line="240" w:lineRule="auto"/>
              <w:ind w:firstLine="0" w:firstLineChars="0"/>
              <w:jc w:val="center"/>
              <w:rPr>
                <w:rFonts w:hint="default" w:ascii="Times New Roman" w:hAnsi="Times New Roman" w:cs="Times New Roman"/>
                <w:b/>
                <w:bCs/>
                <w:color w:val="auto"/>
                <w:spacing w:val="0"/>
                <w:kern w:val="21"/>
                <w:sz w:val="24"/>
                <w:szCs w:val="24"/>
                <w:highlight w:val="none"/>
              </w:rPr>
            </w:pPr>
            <w:r>
              <w:rPr>
                <w:rFonts w:hint="default" w:ascii="Times New Roman" w:hAnsi="Times New Roman" w:cs="Times New Roman"/>
                <w:b/>
                <w:bCs/>
                <w:color w:val="auto"/>
                <w:spacing w:val="0"/>
                <w:kern w:val="21"/>
                <w:sz w:val="24"/>
                <w:szCs w:val="24"/>
                <w:highlight w:val="none"/>
              </w:rPr>
              <w:t>表</w:t>
            </w:r>
            <w:r>
              <w:rPr>
                <w:rFonts w:hint="default" w:ascii="Times New Roman" w:hAnsi="Times New Roman" w:cs="Times New Roman"/>
                <w:b/>
                <w:bCs/>
                <w:color w:val="auto"/>
                <w:spacing w:val="0"/>
                <w:kern w:val="21"/>
                <w:sz w:val="24"/>
                <w:szCs w:val="24"/>
                <w:highlight w:val="none"/>
                <w:lang w:val="en-US" w:eastAsia="zh-CN"/>
              </w:rPr>
              <w:t>4</w:t>
            </w:r>
            <w:r>
              <w:rPr>
                <w:rFonts w:hint="default" w:ascii="Times New Roman" w:hAnsi="Times New Roman" w:cs="Times New Roman"/>
                <w:b/>
                <w:bCs/>
                <w:color w:val="auto"/>
                <w:spacing w:val="0"/>
                <w:kern w:val="21"/>
                <w:sz w:val="24"/>
                <w:szCs w:val="24"/>
                <w:highlight w:val="none"/>
              </w:rPr>
              <w:t>-</w:t>
            </w:r>
            <w:r>
              <w:rPr>
                <w:rFonts w:hint="eastAsia" w:cs="Times New Roman"/>
                <w:b/>
                <w:bCs/>
                <w:color w:val="auto"/>
                <w:spacing w:val="0"/>
                <w:kern w:val="21"/>
                <w:sz w:val="24"/>
                <w:szCs w:val="24"/>
                <w:highlight w:val="none"/>
                <w:lang w:val="en-US" w:eastAsia="zh-CN"/>
              </w:rPr>
              <w:t xml:space="preserve">7 </w:t>
            </w:r>
            <w:r>
              <w:rPr>
                <w:rFonts w:hint="default" w:ascii="Times New Roman" w:hAnsi="Times New Roman" w:cs="Times New Roman"/>
                <w:b/>
                <w:bCs/>
                <w:color w:val="auto"/>
                <w:spacing w:val="0"/>
                <w:kern w:val="21"/>
                <w:sz w:val="24"/>
                <w:szCs w:val="24"/>
                <w:highlight w:val="none"/>
              </w:rPr>
              <w:t xml:space="preserve"> 厂界噪声预测结果表  单位：dB(A)</w:t>
            </w:r>
          </w:p>
          <w:tbl>
            <w:tblPr>
              <w:tblStyle w:val="30"/>
              <w:tblW w:w="793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1215"/>
              <w:gridCol w:w="1858"/>
              <w:gridCol w:w="1440"/>
              <w:gridCol w:w="3425"/>
            </w:tblGrid>
            <w:tr w14:paraId="2C29C0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noWrap w:val="0"/>
                  <w:vAlign w:val="center"/>
                </w:tcPr>
                <w:p w14:paraId="76478DBB">
                  <w:pPr>
                    <w:spacing w:line="0" w:lineRule="atLeast"/>
                    <w:jc w:val="center"/>
                    <w:rPr>
                      <w:b/>
                      <w:bCs/>
                      <w:color w:val="auto"/>
                      <w:sz w:val="21"/>
                      <w:szCs w:val="21"/>
                      <w:highlight w:val="none"/>
                    </w:rPr>
                  </w:pPr>
                  <w:r>
                    <w:rPr>
                      <w:b/>
                      <w:bCs/>
                      <w:color w:val="auto"/>
                      <w:sz w:val="21"/>
                      <w:szCs w:val="21"/>
                      <w:highlight w:val="none"/>
                    </w:rPr>
                    <w:t>预测</w:t>
                  </w:r>
                </w:p>
                <w:p w14:paraId="4B94DBA5">
                  <w:pPr>
                    <w:spacing w:line="0" w:lineRule="atLeast"/>
                    <w:jc w:val="center"/>
                    <w:rPr>
                      <w:rFonts w:hint="default" w:ascii="Times New Roman" w:hAnsi="Times New Roman" w:eastAsia="宋体" w:cs="Times New Roman"/>
                      <w:color w:val="auto"/>
                      <w:kern w:val="21"/>
                      <w:sz w:val="21"/>
                      <w:szCs w:val="21"/>
                      <w:lang w:val="en-US" w:eastAsia="zh-CN" w:bidi="ar-SA"/>
                    </w:rPr>
                  </w:pPr>
                  <w:r>
                    <w:rPr>
                      <w:b/>
                      <w:bCs/>
                      <w:color w:val="auto"/>
                      <w:sz w:val="21"/>
                      <w:szCs w:val="21"/>
                      <w:highlight w:val="none"/>
                    </w:rPr>
                    <w:t>点位</w:t>
                  </w:r>
                </w:p>
              </w:tc>
              <w:tc>
                <w:tcPr>
                  <w:tcW w:w="1858" w:type="dxa"/>
                  <w:noWrap w:val="0"/>
                  <w:vAlign w:val="center"/>
                </w:tcPr>
                <w:p w14:paraId="7F8D7B6A">
                  <w:pPr>
                    <w:widowControl/>
                    <w:autoSpaceDE w:val="0"/>
                    <w:autoSpaceDN w:val="0"/>
                    <w:spacing w:line="240" w:lineRule="auto"/>
                    <w:jc w:val="center"/>
                    <w:rPr>
                      <w:rFonts w:hint="eastAsia"/>
                      <w:color w:val="auto"/>
                      <w:sz w:val="21"/>
                      <w:szCs w:val="21"/>
                      <w:lang w:val="en-US" w:eastAsia="zh-CN"/>
                    </w:rPr>
                  </w:pPr>
                  <w:r>
                    <w:rPr>
                      <w:b/>
                      <w:bCs/>
                      <w:color w:val="auto"/>
                      <w:sz w:val="21"/>
                      <w:szCs w:val="21"/>
                      <w:highlight w:val="none"/>
                    </w:rPr>
                    <w:t>预测时段</w:t>
                  </w:r>
                </w:p>
              </w:tc>
              <w:tc>
                <w:tcPr>
                  <w:tcW w:w="1440" w:type="dxa"/>
                  <w:noWrap w:val="0"/>
                  <w:vAlign w:val="center"/>
                </w:tcPr>
                <w:p w14:paraId="37F8ABC7">
                  <w:pPr>
                    <w:widowControl/>
                    <w:autoSpaceDE w:val="0"/>
                    <w:autoSpaceDN w:val="0"/>
                    <w:spacing w:line="240" w:lineRule="auto"/>
                    <w:jc w:val="center"/>
                    <w:rPr>
                      <w:rFonts w:hint="eastAsia" w:cs="Times New Roman"/>
                      <w:b/>
                      <w:bCs w:val="0"/>
                      <w:color w:val="auto"/>
                      <w:kern w:val="21"/>
                      <w:sz w:val="21"/>
                      <w:szCs w:val="21"/>
                      <w:highlight w:val="none"/>
                      <w:lang w:val="en-US" w:eastAsia="zh-CN"/>
                    </w:rPr>
                  </w:pPr>
                  <w:r>
                    <w:rPr>
                      <w:rFonts w:hint="eastAsia" w:cs="Times New Roman"/>
                      <w:b/>
                      <w:bCs w:val="0"/>
                      <w:color w:val="auto"/>
                      <w:kern w:val="21"/>
                      <w:sz w:val="21"/>
                      <w:szCs w:val="21"/>
                      <w:highlight w:val="none"/>
                      <w:lang w:val="en-US" w:eastAsia="zh-CN"/>
                    </w:rPr>
                    <w:t>贡献值</w:t>
                  </w:r>
                </w:p>
              </w:tc>
              <w:tc>
                <w:tcPr>
                  <w:tcW w:w="3425" w:type="dxa"/>
                  <w:noWrap w:val="0"/>
                  <w:vAlign w:val="center"/>
                </w:tcPr>
                <w:p w14:paraId="16D84925">
                  <w:pPr>
                    <w:widowControl/>
                    <w:autoSpaceDE w:val="0"/>
                    <w:autoSpaceDN w:val="0"/>
                    <w:spacing w:line="240" w:lineRule="auto"/>
                    <w:jc w:val="center"/>
                    <w:rPr>
                      <w:rFonts w:hint="default" w:ascii="Times New Roman" w:hAnsi="Times New Roman" w:cs="Times New Roman"/>
                      <w:color w:val="auto"/>
                      <w:kern w:val="21"/>
                      <w:sz w:val="21"/>
                      <w:szCs w:val="21"/>
                    </w:rPr>
                  </w:pPr>
                  <w:r>
                    <w:rPr>
                      <w:rFonts w:hint="default" w:ascii="Times New Roman" w:hAnsi="Times New Roman" w:cs="Times New Roman"/>
                      <w:b/>
                      <w:bCs/>
                      <w:color w:val="auto"/>
                      <w:kern w:val="21"/>
                      <w:sz w:val="21"/>
                      <w:szCs w:val="21"/>
                    </w:rPr>
                    <w:t>标准限值</w:t>
                  </w:r>
                </w:p>
              </w:tc>
            </w:tr>
            <w:tr w14:paraId="195F83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restart"/>
                  <w:shd w:val="clear" w:color="auto" w:fill="auto"/>
                  <w:noWrap w:val="0"/>
                  <w:vAlign w:val="center"/>
                </w:tcPr>
                <w:p w14:paraId="6E002901">
                  <w:pPr>
                    <w:spacing w:line="0" w:lineRule="atLeast"/>
                    <w:jc w:val="center"/>
                    <w:rPr>
                      <w:rFonts w:hint="default" w:ascii="Times New Roman" w:hAnsi="Times New Roman" w:eastAsia="宋体" w:cs="Times New Roman"/>
                      <w:color w:val="auto"/>
                      <w:kern w:val="21"/>
                      <w:sz w:val="21"/>
                      <w:szCs w:val="21"/>
                      <w:lang w:val="en-US" w:eastAsia="zh-CN" w:bidi="ar-SA"/>
                    </w:rPr>
                  </w:pPr>
                  <w:r>
                    <w:rPr>
                      <w:color w:val="auto"/>
                      <w:sz w:val="21"/>
                      <w:szCs w:val="21"/>
                      <w:highlight w:val="none"/>
                    </w:rPr>
                    <w:t>东</w:t>
                  </w:r>
                </w:p>
              </w:tc>
              <w:tc>
                <w:tcPr>
                  <w:tcW w:w="1858" w:type="dxa"/>
                  <w:shd w:val="clear" w:color="auto" w:fill="auto"/>
                  <w:noWrap w:val="0"/>
                  <w:vAlign w:val="center"/>
                </w:tcPr>
                <w:p w14:paraId="19367D4C">
                  <w:pPr>
                    <w:widowControl/>
                    <w:autoSpaceDE w:val="0"/>
                    <w:autoSpaceDN w:val="0"/>
                    <w:adjustRightInd w:val="0"/>
                    <w:snapToGrid w:val="0"/>
                    <w:jc w:val="center"/>
                    <w:rPr>
                      <w:rFonts w:hint="default" w:cs="Times New Roman"/>
                      <w:b/>
                      <w:bCs w:val="0"/>
                      <w:color w:val="auto"/>
                      <w:kern w:val="21"/>
                      <w:sz w:val="21"/>
                      <w:szCs w:val="21"/>
                      <w:highlight w:val="none"/>
                      <w:lang w:val="en-US" w:eastAsia="zh-CN"/>
                    </w:rPr>
                  </w:pPr>
                  <w:r>
                    <w:rPr>
                      <w:rFonts w:hint="eastAsia"/>
                      <w:color w:val="auto"/>
                      <w:sz w:val="21"/>
                      <w:szCs w:val="21"/>
                      <w:highlight w:val="none"/>
                    </w:rPr>
                    <w:t>昼间</w:t>
                  </w:r>
                </w:p>
              </w:tc>
              <w:tc>
                <w:tcPr>
                  <w:tcW w:w="1440" w:type="dxa"/>
                  <w:shd w:val="clear" w:color="auto" w:fill="auto"/>
                  <w:noWrap w:val="0"/>
                  <w:vAlign w:val="center"/>
                </w:tcPr>
                <w:p w14:paraId="6FFDC04E">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14.84</w:t>
                  </w:r>
                </w:p>
              </w:tc>
              <w:tc>
                <w:tcPr>
                  <w:tcW w:w="3425" w:type="dxa"/>
                  <w:vMerge w:val="restart"/>
                  <w:shd w:val="clear" w:color="auto" w:fill="FFFFFF"/>
                  <w:noWrap w:val="0"/>
                  <w:vAlign w:val="center"/>
                </w:tcPr>
                <w:p w14:paraId="3916DFC5">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r>
                    <w:rPr>
                      <w:rFonts w:hint="default" w:ascii="Times New Roman" w:hAnsi="Times New Roman" w:cs="Times New Roman"/>
                      <w:bCs/>
                      <w:color w:val="auto"/>
                      <w:kern w:val="21"/>
                      <w:sz w:val="21"/>
                      <w:szCs w:val="21"/>
                      <w:highlight w:val="none"/>
                    </w:rPr>
                    <w:t>《工业企业厂界环境噪声排放标准》（GB12348-2008）</w:t>
                  </w:r>
                  <w:r>
                    <w:rPr>
                      <w:rFonts w:hint="eastAsia" w:ascii="Times New Roman" w:hAnsi="Times New Roman" w:cs="Times New Roman"/>
                      <w:bCs/>
                      <w:color w:val="auto"/>
                      <w:kern w:val="21"/>
                      <w:sz w:val="21"/>
                      <w:szCs w:val="21"/>
                      <w:highlight w:val="none"/>
                      <w:lang w:val="en-US" w:eastAsia="zh-CN"/>
                    </w:rPr>
                    <w:t>2</w:t>
                  </w:r>
                  <w:r>
                    <w:rPr>
                      <w:rFonts w:hint="default" w:ascii="Times New Roman" w:hAnsi="Times New Roman" w:cs="Times New Roman"/>
                      <w:bCs/>
                      <w:color w:val="auto"/>
                      <w:kern w:val="21"/>
                      <w:sz w:val="21"/>
                      <w:szCs w:val="21"/>
                      <w:highlight w:val="none"/>
                      <w:lang w:val="en-US" w:eastAsia="zh-CN"/>
                    </w:rPr>
                    <w:t>类</w:t>
                  </w:r>
                  <w:r>
                    <w:rPr>
                      <w:rFonts w:hint="default" w:ascii="Times New Roman" w:hAnsi="Times New Roman" w:cs="Times New Roman"/>
                      <w:bCs/>
                      <w:color w:val="auto"/>
                      <w:kern w:val="21"/>
                      <w:sz w:val="21"/>
                      <w:szCs w:val="21"/>
                      <w:highlight w:val="none"/>
                    </w:rPr>
                    <w:t>标准要求</w:t>
                  </w:r>
                </w:p>
              </w:tc>
            </w:tr>
            <w:tr w14:paraId="2EB7F0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continue"/>
                  <w:shd w:val="clear" w:color="auto" w:fill="auto"/>
                  <w:noWrap w:val="0"/>
                  <w:vAlign w:val="center"/>
                </w:tcPr>
                <w:p w14:paraId="59172805">
                  <w:pPr>
                    <w:spacing w:line="0" w:lineRule="atLeast"/>
                    <w:jc w:val="center"/>
                    <w:rPr>
                      <w:color w:val="auto"/>
                      <w:sz w:val="21"/>
                      <w:szCs w:val="21"/>
                      <w:highlight w:val="none"/>
                    </w:rPr>
                  </w:pPr>
                </w:p>
              </w:tc>
              <w:tc>
                <w:tcPr>
                  <w:tcW w:w="1858" w:type="dxa"/>
                  <w:shd w:val="clear" w:color="auto" w:fill="auto"/>
                  <w:noWrap w:val="0"/>
                  <w:vAlign w:val="center"/>
                </w:tcPr>
                <w:p w14:paraId="69E510C2">
                  <w:pPr>
                    <w:widowControl/>
                    <w:autoSpaceDE w:val="0"/>
                    <w:autoSpaceDN w:val="0"/>
                    <w:adjustRightInd w:val="0"/>
                    <w:snapToGrid w:val="0"/>
                    <w:jc w:val="center"/>
                    <w:rPr>
                      <w:rFonts w:hint="eastAsia"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夜间</w:t>
                  </w:r>
                </w:p>
              </w:tc>
              <w:tc>
                <w:tcPr>
                  <w:tcW w:w="1440" w:type="dxa"/>
                  <w:shd w:val="clear" w:color="auto" w:fill="auto"/>
                  <w:noWrap w:val="0"/>
                  <w:vAlign w:val="center"/>
                </w:tcPr>
                <w:p w14:paraId="50C12797">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14.84</w:t>
                  </w:r>
                </w:p>
              </w:tc>
              <w:tc>
                <w:tcPr>
                  <w:tcW w:w="3425" w:type="dxa"/>
                  <w:vMerge w:val="continue"/>
                  <w:shd w:val="clear" w:color="auto" w:fill="FFFFFF"/>
                  <w:noWrap w:val="0"/>
                  <w:vAlign w:val="center"/>
                </w:tcPr>
                <w:p w14:paraId="33880C61">
                  <w:pPr>
                    <w:widowControl/>
                    <w:autoSpaceDE w:val="0"/>
                    <w:autoSpaceDN w:val="0"/>
                    <w:adjustRightInd w:val="0"/>
                    <w:snapToGrid w:val="0"/>
                    <w:jc w:val="center"/>
                    <w:rPr>
                      <w:rFonts w:hint="default" w:ascii="Times New Roman" w:hAnsi="Times New Roman" w:cs="Times New Roman"/>
                      <w:color w:val="auto"/>
                      <w:kern w:val="21"/>
                      <w:sz w:val="21"/>
                      <w:szCs w:val="21"/>
                      <w:highlight w:val="none"/>
                      <w:lang w:val="en-US" w:eastAsia="zh-CN"/>
                    </w:rPr>
                  </w:pPr>
                </w:p>
              </w:tc>
            </w:tr>
            <w:tr w14:paraId="03206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restart"/>
                  <w:shd w:val="clear" w:color="auto" w:fill="auto"/>
                  <w:noWrap w:val="0"/>
                  <w:vAlign w:val="center"/>
                </w:tcPr>
                <w:p w14:paraId="214B9B39">
                  <w:pPr>
                    <w:spacing w:line="0" w:lineRule="atLeast"/>
                    <w:jc w:val="center"/>
                    <w:rPr>
                      <w:rFonts w:hint="default" w:ascii="Times New Roman" w:hAnsi="Times New Roman" w:eastAsia="宋体" w:cs="Times New Roman"/>
                      <w:color w:val="auto"/>
                      <w:kern w:val="21"/>
                      <w:sz w:val="21"/>
                      <w:szCs w:val="21"/>
                      <w:lang w:val="en-US" w:eastAsia="zh-CN" w:bidi="ar-SA"/>
                    </w:rPr>
                  </w:pPr>
                  <w:r>
                    <w:rPr>
                      <w:color w:val="auto"/>
                      <w:sz w:val="21"/>
                      <w:szCs w:val="21"/>
                      <w:highlight w:val="none"/>
                    </w:rPr>
                    <w:t>南</w:t>
                  </w:r>
                </w:p>
              </w:tc>
              <w:tc>
                <w:tcPr>
                  <w:tcW w:w="1858" w:type="dxa"/>
                  <w:shd w:val="clear" w:color="auto" w:fill="auto"/>
                  <w:noWrap w:val="0"/>
                  <w:vAlign w:val="center"/>
                </w:tcPr>
                <w:p w14:paraId="251C0395">
                  <w:pPr>
                    <w:widowControl/>
                    <w:autoSpaceDE w:val="0"/>
                    <w:autoSpaceDN w:val="0"/>
                    <w:adjustRightInd w:val="0"/>
                    <w:snapToGrid w:val="0"/>
                    <w:jc w:val="center"/>
                    <w:rPr>
                      <w:rFonts w:hint="default" w:cs="Times New Roman"/>
                      <w:b/>
                      <w:bCs w:val="0"/>
                      <w:color w:val="auto"/>
                      <w:kern w:val="21"/>
                      <w:sz w:val="21"/>
                      <w:szCs w:val="21"/>
                      <w:highlight w:val="none"/>
                      <w:lang w:val="en-US" w:eastAsia="zh-CN"/>
                    </w:rPr>
                  </w:pPr>
                  <w:r>
                    <w:rPr>
                      <w:rFonts w:hint="eastAsia"/>
                      <w:color w:val="auto"/>
                      <w:sz w:val="21"/>
                      <w:szCs w:val="21"/>
                      <w:highlight w:val="none"/>
                    </w:rPr>
                    <w:t>昼间</w:t>
                  </w:r>
                </w:p>
              </w:tc>
              <w:tc>
                <w:tcPr>
                  <w:tcW w:w="1440" w:type="dxa"/>
                  <w:shd w:val="clear" w:color="auto" w:fill="auto"/>
                  <w:noWrap w:val="0"/>
                  <w:vAlign w:val="center"/>
                </w:tcPr>
                <w:p w14:paraId="78F55F3C">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12.99</w:t>
                  </w:r>
                </w:p>
              </w:tc>
              <w:tc>
                <w:tcPr>
                  <w:tcW w:w="3425" w:type="dxa"/>
                  <w:vMerge w:val="continue"/>
                  <w:shd w:val="clear" w:color="auto" w:fill="FFFFFF"/>
                  <w:noWrap w:val="0"/>
                  <w:vAlign w:val="center"/>
                </w:tcPr>
                <w:p w14:paraId="1328EDD2">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r w14:paraId="7872D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continue"/>
                  <w:shd w:val="clear" w:color="auto" w:fill="auto"/>
                  <w:noWrap w:val="0"/>
                  <w:vAlign w:val="center"/>
                </w:tcPr>
                <w:p w14:paraId="17A616CD">
                  <w:pPr>
                    <w:spacing w:line="0" w:lineRule="atLeast"/>
                    <w:jc w:val="center"/>
                    <w:rPr>
                      <w:color w:val="auto"/>
                      <w:sz w:val="21"/>
                      <w:szCs w:val="21"/>
                      <w:highlight w:val="none"/>
                    </w:rPr>
                  </w:pPr>
                </w:p>
              </w:tc>
              <w:tc>
                <w:tcPr>
                  <w:tcW w:w="1858" w:type="dxa"/>
                  <w:shd w:val="clear" w:color="auto" w:fill="auto"/>
                  <w:noWrap w:val="0"/>
                  <w:vAlign w:val="center"/>
                </w:tcPr>
                <w:p w14:paraId="1AAF1199">
                  <w:pPr>
                    <w:widowControl/>
                    <w:autoSpaceDE w:val="0"/>
                    <w:autoSpaceDN w:val="0"/>
                    <w:adjustRightInd w:val="0"/>
                    <w:snapToGrid w:val="0"/>
                    <w:jc w:val="center"/>
                    <w:rPr>
                      <w:rFonts w:hint="eastAsia"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夜间</w:t>
                  </w:r>
                </w:p>
              </w:tc>
              <w:tc>
                <w:tcPr>
                  <w:tcW w:w="1440" w:type="dxa"/>
                  <w:shd w:val="clear" w:color="auto" w:fill="auto"/>
                  <w:noWrap w:val="0"/>
                  <w:vAlign w:val="center"/>
                </w:tcPr>
                <w:p w14:paraId="02E014E2">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12.99</w:t>
                  </w:r>
                </w:p>
              </w:tc>
              <w:tc>
                <w:tcPr>
                  <w:tcW w:w="3425" w:type="dxa"/>
                  <w:vMerge w:val="continue"/>
                  <w:shd w:val="clear" w:color="auto" w:fill="FFFFFF"/>
                  <w:noWrap w:val="0"/>
                  <w:vAlign w:val="center"/>
                </w:tcPr>
                <w:p w14:paraId="7221DFF3">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r w14:paraId="265AB8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restart"/>
                  <w:shd w:val="clear" w:color="auto" w:fill="auto"/>
                  <w:noWrap w:val="0"/>
                  <w:vAlign w:val="center"/>
                </w:tcPr>
                <w:p w14:paraId="398FB912">
                  <w:pPr>
                    <w:spacing w:line="0" w:lineRule="atLeast"/>
                    <w:jc w:val="center"/>
                    <w:rPr>
                      <w:rFonts w:hint="default" w:ascii="Times New Roman" w:hAnsi="Times New Roman" w:eastAsia="宋体" w:cs="Times New Roman"/>
                      <w:color w:val="auto"/>
                      <w:kern w:val="21"/>
                      <w:sz w:val="21"/>
                      <w:szCs w:val="21"/>
                      <w:lang w:val="en-US" w:eastAsia="zh-CN" w:bidi="ar-SA"/>
                    </w:rPr>
                  </w:pPr>
                  <w:r>
                    <w:rPr>
                      <w:rFonts w:hint="eastAsia"/>
                      <w:color w:val="auto"/>
                      <w:sz w:val="21"/>
                      <w:szCs w:val="21"/>
                      <w:highlight w:val="none"/>
                      <w:lang w:eastAsia="zh-CN"/>
                    </w:rPr>
                    <w:t>西</w:t>
                  </w:r>
                </w:p>
              </w:tc>
              <w:tc>
                <w:tcPr>
                  <w:tcW w:w="1858" w:type="dxa"/>
                  <w:shd w:val="clear" w:color="auto" w:fill="auto"/>
                  <w:noWrap w:val="0"/>
                  <w:vAlign w:val="center"/>
                </w:tcPr>
                <w:p w14:paraId="32C4448C">
                  <w:pPr>
                    <w:widowControl/>
                    <w:autoSpaceDE w:val="0"/>
                    <w:autoSpaceDN w:val="0"/>
                    <w:adjustRightInd w:val="0"/>
                    <w:snapToGrid w:val="0"/>
                    <w:jc w:val="center"/>
                    <w:rPr>
                      <w:rFonts w:hint="default" w:cs="Times New Roman"/>
                      <w:b/>
                      <w:bCs w:val="0"/>
                      <w:color w:val="auto"/>
                      <w:kern w:val="21"/>
                      <w:sz w:val="21"/>
                      <w:szCs w:val="21"/>
                      <w:highlight w:val="none"/>
                      <w:lang w:val="en-US" w:eastAsia="zh-CN"/>
                    </w:rPr>
                  </w:pPr>
                  <w:r>
                    <w:rPr>
                      <w:rFonts w:hint="eastAsia"/>
                      <w:color w:val="auto"/>
                      <w:sz w:val="21"/>
                      <w:szCs w:val="21"/>
                      <w:highlight w:val="none"/>
                    </w:rPr>
                    <w:t>昼间</w:t>
                  </w:r>
                </w:p>
              </w:tc>
              <w:tc>
                <w:tcPr>
                  <w:tcW w:w="1440" w:type="dxa"/>
                  <w:shd w:val="clear" w:color="auto" w:fill="auto"/>
                  <w:noWrap w:val="0"/>
                  <w:vAlign w:val="center"/>
                </w:tcPr>
                <w:p w14:paraId="14F82D76">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9.60</w:t>
                  </w:r>
                </w:p>
              </w:tc>
              <w:tc>
                <w:tcPr>
                  <w:tcW w:w="3425" w:type="dxa"/>
                  <w:vMerge w:val="continue"/>
                  <w:shd w:val="clear" w:color="auto" w:fill="FFFFFF"/>
                  <w:noWrap w:val="0"/>
                  <w:vAlign w:val="center"/>
                </w:tcPr>
                <w:p w14:paraId="5A874490">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r w14:paraId="470A96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continue"/>
                  <w:shd w:val="clear" w:color="auto" w:fill="auto"/>
                  <w:noWrap w:val="0"/>
                  <w:vAlign w:val="center"/>
                </w:tcPr>
                <w:p w14:paraId="75DE4844">
                  <w:pPr>
                    <w:spacing w:line="0" w:lineRule="atLeast"/>
                    <w:jc w:val="center"/>
                    <w:rPr>
                      <w:rFonts w:hint="eastAsia"/>
                      <w:color w:val="auto"/>
                      <w:sz w:val="21"/>
                      <w:szCs w:val="21"/>
                      <w:highlight w:val="none"/>
                      <w:lang w:eastAsia="zh-CN"/>
                    </w:rPr>
                  </w:pPr>
                </w:p>
              </w:tc>
              <w:tc>
                <w:tcPr>
                  <w:tcW w:w="1858" w:type="dxa"/>
                  <w:shd w:val="clear" w:color="auto" w:fill="auto"/>
                  <w:noWrap w:val="0"/>
                  <w:vAlign w:val="center"/>
                </w:tcPr>
                <w:p w14:paraId="037B858A">
                  <w:pPr>
                    <w:widowControl/>
                    <w:autoSpaceDE w:val="0"/>
                    <w:autoSpaceDN w:val="0"/>
                    <w:adjustRightInd w:val="0"/>
                    <w:snapToGrid w:val="0"/>
                    <w:jc w:val="center"/>
                    <w:rPr>
                      <w:rFonts w:hint="eastAsia"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夜间</w:t>
                  </w:r>
                </w:p>
              </w:tc>
              <w:tc>
                <w:tcPr>
                  <w:tcW w:w="1440" w:type="dxa"/>
                  <w:shd w:val="clear" w:color="auto" w:fill="auto"/>
                  <w:noWrap w:val="0"/>
                  <w:vAlign w:val="center"/>
                </w:tcPr>
                <w:p w14:paraId="672BD477">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9.60</w:t>
                  </w:r>
                </w:p>
              </w:tc>
              <w:tc>
                <w:tcPr>
                  <w:tcW w:w="3425" w:type="dxa"/>
                  <w:vMerge w:val="continue"/>
                  <w:shd w:val="clear" w:color="auto" w:fill="FFFFFF"/>
                  <w:noWrap w:val="0"/>
                  <w:vAlign w:val="center"/>
                </w:tcPr>
                <w:p w14:paraId="6E6D523A">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r w14:paraId="09F473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restart"/>
                  <w:shd w:val="clear" w:color="auto" w:fill="auto"/>
                  <w:noWrap w:val="0"/>
                  <w:vAlign w:val="center"/>
                </w:tcPr>
                <w:p w14:paraId="6391FDC1">
                  <w:pPr>
                    <w:spacing w:line="0" w:lineRule="atLeast"/>
                    <w:jc w:val="center"/>
                    <w:rPr>
                      <w:rFonts w:hint="default" w:ascii="Times New Roman" w:hAnsi="Times New Roman" w:eastAsia="宋体" w:cs="Times New Roman"/>
                      <w:color w:val="auto"/>
                      <w:kern w:val="21"/>
                      <w:sz w:val="21"/>
                      <w:szCs w:val="21"/>
                      <w:lang w:val="en-US" w:eastAsia="zh-CN" w:bidi="ar-SA"/>
                    </w:rPr>
                  </w:pPr>
                  <w:r>
                    <w:rPr>
                      <w:rFonts w:hint="eastAsia"/>
                      <w:color w:val="auto"/>
                      <w:sz w:val="21"/>
                      <w:szCs w:val="21"/>
                      <w:highlight w:val="none"/>
                      <w:lang w:eastAsia="zh-CN"/>
                    </w:rPr>
                    <w:t>北</w:t>
                  </w:r>
                </w:p>
              </w:tc>
              <w:tc>
                <w:tcPr>
                  <w:tcW w:w="1858" w:type="dxa"/>
                  <w:shd w:val="clear" w:color="auto" w:fill="auto"/>
                  <w:noWrap w:val="0"/>
                  <w:vAlign w:val="center"/>
                </w:tcPr>
                <w:p w14:paraId="0B6E2A37">
                  <w:pPr>
                    <w:widowControl/>
                    <w:autoSpaceDE w:val="0"/>
                    <w:autoSpaceDN w:val="0"/>
                    <w:adjustRightInd w:val="0"/>
                    <w:snapToGrid w:val="0"/>
                    <w:jc w:val="center"/>
                    <w:rPr>
                      <w:rFonts w:hint="default" w:cs="Times New Roman"/>
                      <w:b/>
                      <w:bCs w:val="0"/>
                      <w:color w:val="auto"/>
                      <w:kern w:val="21"/>
                      <w:sz w:val="21"/>
                      <w:szCs w:val="21"/>
                      <w:highlight w:val="none"/>
                      <w:lang w:val="en-US" w:eastAsia="zh-CN"/>
                    </w:rPr>
                  </w:pPr>
                  <w:r>
                    <w:rPr>
                      <w:rFonts w:hint="eastAsia"/>
                      <w:color w:val="auto"/>
                      <w:sz w:val="21"/>
                      <w:szCs w:val="21"/>
                      <w:highlight w:val="none"/>
                    </w:rPr>
                    <w:t>昼间</w:t>
                  </w:r>
                </w:p>
              </w:tc>
              <w:tc>
                <w:tcPr>
                  <w:tcW w:w="1440" w:type="dxa"/>
                  <w:shd w:val="clear" w:color="auto" w:fill="auto"/>
                  <w:noWrap w:val="0"/>
                  <w:vAlign w:val="center"/>
                </w:tcPr>
                <w:p w14:paraId="04D74E70">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9.59</w:t>
                  </w:r>
                </w:p>
              </w:tc>
              <w:tc>
                <w:tcPr>
                  <w:tcW w:w="3425" w:type="dxa"/>
                  <w:vMerge w:val="continue"/>
                  <w:shd w:val="clear" w:color="auto" w:fill="FFFFFF"/>
                  <w:noWrap w:val="0"/>
                  <w:vAlign w:val="center"/>
                </w:tcPr>
                <w:p w14:paraId="65A6F67A">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r w14:paraId="791B61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63" w:hRule="atLeast"/>
                <w:jc w:val="center"/>
              </w:trPr>
              <w:tc>
                <w:tcPr>
                  <w:tcW w:w="1215" w:type="dxa"/>
                  <w:vMerge w:val="continue"/>
                  <w:shd w:val="clear" w:color="auto" w:fill="auto"/>
                  <w:noWrap w:val="0"/>
                  <w:vAlign w:val="center"/>
                </w:tcPr>
                <w:p w14:paraId="67FCD0C9">
                  <w:pPr>
                    <w:spacing w:line="0" w:lineRule="atLeast"/>
                    <w:jc w:val="center"/>
                    <w:rPr>
                      <w:rFonts w:hint="eastAsia"/>
                      <w:color w:val="auto"/>
                      <w:sz w:val="21"/>
                      <w:szCs w:val="21"/>
                      <w:highlight w:val="none"/>
                      <w:lang w:eastAsia="zh-CN"/>
                    </w:rPr>
                  </w:pPr>
                </w:p>
              </w:tc>
              <w:tc>
                <w:tcPr>
                  <w:tcW w:w="1858" w:type="dxa"/>
                  <w:shd w:val="clear" w:color="auto" w:fill="auto"/>
                  <w:noWrap w:val="0"/>
                  <w:vAlign w:val="center"/>
                </w:tcPr>
                <w:p w14:paraId="56D26C2E">
                  <w:pPr>
                    <w:widowControl/>
                    <w:autoSpaceDE w:val="0"/>
                    <w:autoSpaceDN w:val="0"/>
                    <w:adjustRightInd w:val="0"/>
                    <w:snapToGrid w:val="0"/>
                    <w:jc w:val="center"/>
                    <w:rPr>
                      <w:rFonts w:hint="eastAsia"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夜间</w:t>
                  </w:r>
                </w:p>
              </w:tc>
              <w:tc>
                <w:tcPr>
                  <w:tcW w:w="1440" w:type="dxa"/>
                  <w:shd w:val="clear" w:color="auto" w:fill="auto"/>
                  <w:noWrap w:val="0"/>
                  <w:vAlign w:val="center"/>
                </w:tcPr>
                <w:p w14:paraId="237C63D3">
                  <w:pPr>
                    <w:widowControl/>
                    <w:autoSpaceDE w:val="0"/>
                    <w:autoSpaceDN w:val="0"/>
                    <w:adjustRightInd w:val="0"/>
                    <w:snapToGrid w:val="0"/>
                    <w:jc w:val="center"/>
                    <w:rPr>
                      <w:rFonts w:hint="default" w:ascii="Times New Roman" w:hAnsi="Times New Roman" w:cs="Times New Roman"/>
                      <w:bCs/>
                      <w:color w:val="auto"/>
                      <w:kern w:val="21"/>
                      <w:sz w:val="21"/>
                      <w:szCs w:val="21"/>
                      <w:highlight w:val="none"/>
                      <w:lang w:val="en-US" w:eastAsia="zh-CN"/>
                    </w:rPr>
                  </w:pPr>
                  <w:r>
                    <w:rPr>
                      <w:rFonts w:hint="eastAsia" w:cs="Times New Roman"/>
                      <w:bCs/>
                      <w:color w:val="auto"/>
                      <w:kern w:val="21"/>
                      <w:sz w:val="21"/>
                      <w:szCs w:val="21"/>
                      <w:highlight w:val="none"/>
                      <w:lang w:val="en-US" w:eastAsia="zh-CN"/>
                    </w:rPr>
                    <w:t>9.59</w:t>
                  </w:r>
                </w:p>
              </w:tc>
              <w:tc>
                <w:tcPr>
                  <w:tcW w:w="3425" w:type="dxa"/>
                  <w:vMerge w:val="continue"/>
                  <w:shd w:val="clear" w:color="auto" w:fill="FFFFFF"/>
                  <w:noWrap w:val="0"/>
                  <w:vAlign w:val="center"/>
                </w:tcPr>
                <w:p w14:paraId="37E6AB1F">
                  <w:pPr>
                    <w:widowControl/>
                    <w:autoSpaceDE w:val="0"/>
                    <w:autoSpaceDN w:val="0"/>
                    <w:adjustRightInd w:val="0"/>
                    <w:snapToGrid w:val="0"/>
                    <w:jc w:val="center"/>
                    <w:rPr>
                      <w:rFonts w:hint="default" w:ascii="Times New Roman" w:hAnsi="Times New Roman" w:eastAsia="宋体" w:cs="Times New Roman"/>
                      <w:color w:val="auto"/>
                      <w:kern w:val="21"/>
                      <w:sz w:val="21"/>
                      <w:szCs w:val="21"/>
                      <w:highlight w:val="none"/>
                      <w:lang w:val="en-US" w:eastAsia="zh-CN"/>
                    </w:rPr>
                  </w:pPr>
                </w:p>
              </w:tc>
            </w:tr>
          </w:tbl>
          <w:p w14:paraId="53AA46A7">
            <w:pPr>
              <w:pStyle w:val="72"/>
              <w:keepNext w:val="0"/>
              <w:keepLines w:val="0"/>
              <w:pageBreakBefore w:val="0"/>
              <w:widowControl w:val="0"/>
              <w:tabs>
                <w:tab w:val="left" w:pos="5805"/>
              </w:tabs>
              <w:kinsoku/>
              <w:wordWrap/>
              <w:overflowPunct/>
              <w:topLinePunct w:val="0"/>
              <w:autoSpaceDE/>
              <w:autoSpaceDN/>
              <w:bidi w:val="0"/>
              <w:adjustRightInd/>
              <w:snapToGrid/>
              <w:spacing w:line="120" w:lineRule="auto"/>
              <w:ind w:left="0" w:leftChars="0" w:firstLine="0" w:firstLineChars="0"/>
              <w:jc w:val="center"/>
              <w:textAlignment w:val="auto"/>
              <w:rPr>
                <w:rFonts w:hint="default" w:ascii="Times New Roman" w:hAnsi="Times New Roman" w:eastAsia="宋体" w:cs="Times New Roman"/>
                <w:color w:val="auto"/>
                <w:spacing w:val="0"/>
                <w:kern w:val="21"/>
                <w:szCs w:val="24"/>
                <w:lang w:eastAsia="zh-CN"/>
              </w:rPr>
            </w:pPr>
          </w:p>
          <w:p w14:paraId="1AE5CC50">
            <w:pPr>
              <w:keepNext w:val="0"/>
              <w:keepLines w:val="0"/>
              <w:widowControl/>
              <w:suppressLineNumbers w:val="0"/>
              <w:spacing w:line="360" w:lineRule="auto"/>
              <w:jc w:val="left"/>
              <w:rPr>
                <w:rFonts w:hint="default" w:ascii="Times New Roman" w:hAnsi="Times New Roman" w:cs="Times New Roman"/>
                <w:color w:val="auto"/>
              </w:rPr>
            </w:pPr>
            <w:r>
              <w:rPr>
                <w:rFonts w:hint="default" w:ascii="Times New Roman" w:hAnsi="Times New Roman" w:eastAsia="宋体" w:cs="Times New Roman"/>
                <w:color w:val="auto"/>
                <w:kern w:val="0"/>
                <w:sz w:val="24"/>
                <w:szCs w:val="24"/>
                <w:lang w:val="en-US" w:eastAsia="zh-CN" w:bidi="ar"/>
              </w:rPr>
              <w:t xml:space="preserve">    3、噪声环境影响分析</w:t>
            </w:r>
          </w:p>
          <w:p w14:paraId="74DDBE67">
            <w:pPr>
              <w:pStyle w:val="72"/>
              <w:tabs>
                <w:tab w:val="left" w:pos="5805"/>
              </w:tabs>
              <w:spacing w:line="360" w:lineRule="auto"/>
              <w:ind w:firstLine="420"/>
              <w:jc w:val="both"/>
              <w:rPr>
                <w:rFonts w:hint="default" w:ascii="Times New Roman" w:hAnsi="Times New Roman" w:cs="Times New Roman"/>
                <w:color w:val="auto"/>
                <w:spacing w:val="0"/>
                <w:kern w:val="21"/>
                <w:sz w:val="24"/>
                <w:szCs w:val="24"/>
                <w:lang w:eastAsia="zh-CN"/>
              </w:rPr>
            </w:pPr>
            <w:r>
              <w:rPr>
                <w:rFonts w:hint="default" w:ascii="Times New Roman" w:hAnsi="Times New Roman" w:cs="Times New Roman"/>
                <w:color w:val="auto"/>
                <w:spacing w:val="0"/>
                <w:kern w:val="21"/>
                <w:sz w:val="24"/>
                <w:szCs w:val="24"/>
              </w:rPr>
              <w:t>由预测结果可知，</w:t>
            </w:r>
            <w:r>
              <w:rPr>
                <w:rFonts w:hint="default" w:ascii="Times New Roman" w:hAnsi="Times New Roman" w:cs="Times New Roman"/>
                <w:color w:val="auto"/>
                <w:spacing w:val="0"/>
                <w:kern w:val="21"/>
                <w:sz w:val="24"/>
                <w:szCs w:val="24"/>
                <w:lang w:val="en-US" w:eastAsia="zh-CN"/>
              </w:rPr>
              <w:t>运营期选取低噪声设备，采取减振、隔声等措施</w:t>
            </w:r>
            <w:r>
              <w:rPr>
                <w:rFonts w:hint="eastAsia" w:cs="Times New Roman"/>
                <w:color w:val="auto"/>
                <w:spacing w:val="0"/>
                <w:kern w:val="21"/>
                <w:sz w:val="24"/>
                <w:szCs w:val="24"/>
                <w:lang w:val="en-US" w:eastAsia="zh-CN"/>
              </w:rPr>
              <w:t>后，</w:t>
            </w:r>
            <w:r>
              <w:rPr>
                <w:rFonts w:hint="default" w:ascii="Times New Roman" w:hAnsi="Times New Roman" w:cs="Times New Roman"/>
                <w:color w:val="auto"/>
                <w:spacing w:val="0"/>
                <w:kern w:val="21"/>
                <w:sz w:val="24"/>
                <w:szCs w:val="24"/>
              </w:rPr>
              <w:t>噪声对厂界的噪声能满足《工业企业厂界环境噪声排放标准》（GB12348-2008）</w:t>
            </w:r>
            <w:r>
              <w:rPr>
                <w:rFonts w:hint="eastAsia" w:cs="Times New Roman"/>
                <w:color w:val="auto"/>
                <w:spacing w:val="0"/>
                <w:kern w:val="21"/>
                <w:sz w:val="24"/>
                <w:szCs w:val="24"/>
                <w:lang w:val="en-US" w:eastAsia="zh-CN"/>
              </w:rPr>
              <w:t>2</w:t>
            </w:r>
            <w:r>
              <w:rPr>
                <w:rFonts w:hint="default" w:ascii="Times New Roman" w:hAnsi="Times New Roman" w:cs="Times New Roman"/>
                <w:color w:val="auto"/>
                <w:spacing w:val="0"/>
                <w:kern w:val="21"/>
                <w:sz w:val="24"/>
                <w:szCs w:val="24"/>
              </w:rPr>
              <w:t>类标准要求</w:t>
            </w:r>
            <w:r>
              <w:rPr>
                <w:rFonts w:hint="default" w:ascii="Times New Roman" w:hAnsi="Times New Roman" w:cs="Times New Roman"/>
                <w:color w:val="auto"/>
                <w:spacing w:val="0"/>
                <w:kern w:val="21"/>
                <w:sz w:val="24"/>
                <w:szCs w:val="24"/>
                <w:lang w:eastAsia="zh-CN"/>
              </w:rPr>
              <w:t>（</w:t>
            </w:r>
            <w:r>
              <w:rPr>
                <w:rFonts w:hint="default" w:ascii="Times New Roman" w:hAnsi="Times New Roman" w:cs="Times New Roman"/>
                <w:color w:val="auto"/>
                <w:spacing w:val="0"/>
                <w:kern w:val="21"/>
                <w:sz w:val="24"/>
                <w:szCs w:val="24"/>
                <w:lang w:val="en-US" w:eastAsia="zh-CN"/>
              </w:rPr>
              <w:t>昼间6</w:t>
            </w:r>
            <w:r>
              <w:rPr>
                <w:rFonts w:hint="eastAsia" w:cs="Times New Roman"/>
                <w:color w:val="auto"/>
                <w:spacing w:val="0"/>
                <w:kern w:val="21"/>
                <w:sz w:val="24"/>
                <w:szCs w:val="24"/>
                <w:lang w:val="en-US" w:eastAsia="zh-CN"/>
              </w:rPr>
              <w:t>0</w:t>
            </w:r>
            <w:r>
              <w:rPr>
                <w:rFonts w:hint="default" w:ascii="Times New Roman" w:hAnsi="Times New Roman" w:cs="Times New Roman"/>
                <w:color w:val="auto"/>
                <w:spacing w:val="0"/>
                <w:kern w:val="21"/>
                <w:sz w:val="24"/>
                <w:szCs w:val="24"/>
                <w:lang w:val="en-US" w:eastAsia="zh-CN"/>
              </w:rPr>
              <w:t>dB(A)</w:t>
            </w:r>
            <w:r>
              <w:rPr>
                <w:rFonts w:hint="eastAsia" w:cs="Times New Roman"/>
                <w:color w:val="auto"/>
                <w:spacing w:val="0"/>
                <w:kern w:val="21"/>
                <w:sz w:val="24"/>
                <w:szCs w:val="24"/>
                <w:lang w:val="en-US" w:eastAsia="zh-CN"/>
              </w:rPr>
              <w:t>，夜间50dB（A</w:t>
            </w:r>
            <w:r>
              <w:rPr>
                <w:rFonts w:hint="default" w:ascii="Times New Roman" w:hAnsi="Times New Roman" w:cs="Times New Roman"/>
                <w:color w:val="auto"/>
                <w:spacing w:val="0"/>
                <w:kern w:val="21"/>
                <w:sz w:val="24"/>
                <w:szCs w:val="24"/>
                <w:lang w:eastAsia="zh-CN"/>
              </w:rPr>
              <w:t>）</w:t>
            </w:r>
            <w:r>
              <w:rPr>
                <w:rFonts w:hint="eastAsia" w:cs="Times New Roman"/>
                <w:color w:val="auto"/>
                <w:spacing w:val="0"/>
                <w:kern w:val="21"/>
                <w:sz w:val="24"/>
                <w:szCs w:val="24"/>
                <w:lang w:eastAsia="zh-CN"/>
              </w:rPr>
              <w:t>）</w:t>
            </w:r>
            <w:r>
              <w:rPr>
                <w:rFonts w:hint="default" w:ascii="Times New Roman" w:hAnsi="Times New Roman" w:cs="Times New Roman"/>
                <w:color w:val="auto"/>
                <w:spacing w:val="0"/>
                <w:kern w:val="21"/>
                <w:sz w:val="24"/>
                <w:szCs w:val="24"/>
              </w:rPr>
              <w:t>。</w:t>
            </w:r>
          </w:p>
          <w:p w14:paraId="3A4E664F">
            <w:pPr>
              <w:pStyle w:val="7"/>
              <w:numPr>
                <w:ilvl w:val="0"/>
                <w:numId w:val="0"/>
              </w:numPr>
              <w:spacing w:line="360" w:lineRule="auto"/>
              <w:ind w:firstLine="482" w:firstLineChars="200"/>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四、固体废物</w:t>
            </w:r>
          </w:p>
          <w:p w14:paraId="0905F059">
            <w:pPr>
              <w:numPr>
                <w:ilvl w:val="0"/>
                <w:numId w:val="0"/>
              </w:numPr>
              <w:spacing w:line="360" w:lineRule="auto"/>
              <w:ind w:firstLine="480" w:firstLineChars="200"/>
              <w:rPr>
                <w:rFonts w:hint="eastAsia" w:cs="Times New Roman"/>
                <w:color w:val="auto"/>
                <w:kern w:val="2"/>
                <w:sz w:val="24"/>
                <w:szCs w:val="24"/>
                <w:lang w:val="en-US" w:eastAsia="zh-CN" w:bidi="ar-SA"/>
              </w:rPr>
            </w:pPr>
            <w:r>
              <w:rPr>
                <w:rFonts w:hint="default" w:ascii="Times New Roman" w:hAnsi="Times New Roman" w:eastAsia="宋体" w:cs="Times New Roman"/>
                <w:color w:val="auto"/>
                <w:kern w:val="2"/>
                <w:sz w:val="24"/>
                <w:szCs w:val="24"/>
                <w:lang w:val="en-US" w:eastAsia="zh-CN" w:bidi="ar-SA"/>
              </w:rPr>
              <w:t>本项目</w:t>
            </w:r>
            <w:r>
              <w:rPr>
                <w:rFonts w:hint="default" w:ascii="Times New Roman" w:hAnsi="Times New Roman" w:cs="Times New Roman"/>
                <w:color w:val="auto"/>
                <w:kern w:val="2"/>
                <w:sz w:val="24"/>
                <w:szCs w:val="24"/>
                <w:lang w:val="en-US" w:eastAsia="zh-CN" w:bidi="ar-SA"/>
              </w:rPr>
              <w:t>无新增员工，无员工生活垃圾产生。</w:t>
            </w:r>
            <w:r>
              <w:rPr>
                <w:rFonts w:hint="default" w:ascii="Times New Roman" w:hAnsi="Times New Roman" w:eastAsia="宋体" w:cs="Times New Roman"/>
                <w:color w:val="auto"/>
                <w:kern w:val="2"/>
                <w:sz w:val="24"/>
                <w:szCs w:val="24"/>
                <w:lang w:val="en-US" w:eastAsia="zh-CN" w:bidi="ar-SA"/>
              </w:rPr>
              <w:t>固体废物主要为锅炉灰渣</w:t>
            </w:r>
            <w:r>
              <w:rPr>
                <w:rFonts w:hint="eastAsia" w:cs="Times New Roman"/>
                <w:color w:val="auto"/>
                <w:kern w:val="2"/>
                <w:sz w:val="24"/>
                <w:szCs w:val="24"/>
                <w:lang w:val="en-US" w:eastAsia="zh-CN" w:bidi="ar-SA"/>
              </w:rPr>
              <w:t>、废布袋</w:t>
            </w:r>
            <w:r>
              <w:rPr>
                <w:rFonts w:hint="eastAsia" w:cs="Times New Roman"/>
                <w:color w:val="auto"/>
                <w:kern w:val="2"/>
                <w:sz w:val="24"/>
                <w:szCs w:val="24"/>
                <w:highlight w:val="none"/>
                <w:lang w:val="en-US" w:eastAsia="zh-CN" w:bidi="ar-SA"/>
              </w:rPr>
              <w:t>及维修过程产生的废机油及含油废抹布。</w:t>
            </w:r>
          </w:p>
          <w:p w14:paraId="1F78D0C7">
            <w:pPr>
              <w:numPr>
                <w:ilvl w:val="0"/>
                <w:numId w:val="0"/>
              </w:numPr>
              <w:spacing w:line="360" w:lineRule="auto"/>
              <w:ind w:firstLine="480" w:firstLineChars="200"/>
              <w:rPr>
                <w:rFonts w:hint="default" w:cs="Times New Roman"/>
                <w:color w:val="auto"/>
                <w:kern w:val="2"/>
                <w:sz w:val="24"/>
                <w:szCs w:val="24"/>
                <w:lang w:val="en-US" w:eastAsia="zh-CN" w:bidi="ar-SA"/>
              </w:rPr>
            </w:pPr>
            <w:r>
              <w:rPr>
                <w:rFonts w:hint="eastAsia" w:cs="Times New Roman"/>
                <w:color w:val="auto"/>
                <w:kern w:val="2"/>
                <w:sz w:val="24"/>
                <w:szCs w:val="24"/>
                <w:lang w:val="en-US" w:eastAsia="zh-CN" w:bidi="ar-SA"/>
              </w:rPr>
              <w:t>（1）灰渣</w:t>
            </w:r>
          </w:p>
          <w:p w14:paraId="39E556CF">
            <w:pPr>
              <w:pStyle w:val="71"/>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燃生物质锅炉灰渣产生量可根据灰渣平衡</w:t>
            </w:r>
            <w:r>
              <w:rPr>
                <w:rFonts w:hint="default" w:ascii="Times New Roman" w:hAnsi="Times New Roman" w:eastAsia="宋体" w:cs="Times New Roman"/>
                <w:color w:val="auto"/>
                <w:sz w:val="24"/>
                <w:szCs w:val="24"/>
                <w:highlight w:val="none"/>
                <w:lang w:val="en-US" w:eastAsia="zh-CN"/>
              </w:rPr>
              <w:t>工公式：</w:t>
            </w:r>
          </w:p>
          <w:p w14:paraId="3EE9A103">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drawing>
                <wp:inline distT="0" distB="0" distL="114300" distR="114300">
                  <wp:extent cx="2449195" cy="558165"/>
                  <wp:effectExtent l="0" t="0" r="8255" b="13335"/>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6"/>
                          <a:stretch>
                            <a:fillRect/>
                          </a:stretch>
                        </pic:blipFill>
                        <pic:spPr>
                          <a:xfrm>
                            <a:off x="0" y="0"/>
                            <a:ext cx="2449195" cy="558165"/>
                          </a:xfrm>
                          <a:prstGeom prst="rect">
                            <a:avLst/>
                          </a:prstGeom>
                          <a:noFill/>
                          <a:ln>
                            <a:noFill/>
                          </a:ln>
                        </pic:spPr>
                      </pic:pic>
                    </a:graphicData>
                  </a:graphic>
                </wp:inline>
              </w:drawing>
            </w:r>
          </w:p>
          <w:p w14:paraId="31ECD667">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式中∶ En——核算时段内灰渣产生量</w:t>
            </w:r>
            <w:r>
              <w:rPr>
                <w:rFonts w:hint="default" w:ascii="Times New Roman" w:hAnsi="Times New Roman" w:cs="Times New Roman"/>
                <w:color w:val="auto"/>
                <w:sz w:val="24"/>
                <w:szCs w:val="24"/>
                <w:highlight w:val="none"/>
                <w:lang w:val="en-US" w:eastAsia="zh-CN"/>
              </w:rPr>
              <w:t>；</w:t>
            </w:r>
          </w:p>
          <w:p w14:paraId="08711347">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 xml:space="preserve">根据飞灰份额 </w:t>
            </w:r>
            <w:r>
              <w:rPr>
                <w:rFonts w:hint="default" w:ascii="Times New Roman" w:hAnsi="Times New Roman" w:eastAsia="宋体" w:cs="Times New Roman"/>
                <w:color w:val="auto"/>
                <w:sz w:val="24"/>
                <w:szCs w:val="24"/>
                <w:highlight w:val="none"/>
                <w:lang w:val="en-US" w:eastAsia="zh-CN"/>
              </w:rPr>
              <w:t>dfh</w:t>
            </w:r>
            <w:r>
              <w:rPr>
                <w:rFonts w:hint="default" w:ascii="Times New Roman" w:hAnsi="Times New Roman" w:eastAsia="宋体" w:cs="Times New Roman"/>
                <w:color w:val="auto"/>
                <w:sz w:val="24"/>
                <w:szCs w:val="24"/>
                <w:highlight w:val="none"/>
                <w:lang w:val="en-US"/>
              </w:rPr>
              <w:t>可分别核算飞灰、</w:t>
            </w:r>
            <w:r>
              <w:rPr>
                <w:rFonts w:hint="default" w:ascii="Times New Roman" w:hAnsi="Times New Roman" w:eastAsia="宋体" w:cs="Times New Roman"/>
                <w:color w:val="auto"/>
                <w:sz w:val="24"/>
                <w:szCs w:val="24"/>
                <w:highlight w:val="none"/>
                <w:lang w:val="en-US" w:eastAsia="zh-CN"/>
              </w:rPr>
              <w:t>灰渣</w:t>
            </w:r>
            <w:r>
              <w:rPr>
                <w:rFonts w:hint="default" w:ascii="Times New Roman" w:hAnsi="Times New Roman" w:eastAsia="宋体" w:cs="Times New Roman"/>
                <w:color w:val="auto"/>
                <w:sz w:val="24"/>
                <w:szCs w:val="24"/>
                <w:highlight w:val="none"/>
                <w:lang w:val="en-US"/>
              </w:rPr>
              <w:t>产生量</w:t>
            </w:r>
            <w:r>
              <w:rPr>
                <w:rFonts w:hint="default" w:ascii="Times New Roman" w:hAnsi="Times New Roman" w:cs="Times New Roman"/>
                <w:color w:val="auto"/>
                <w:sz w:val="24"/>
                <w:szCs w:val="24"/>
                <w:highlight w:val="none"/>
                <w:lang w:val="en-US" w:eastAsia="zh-CN"/>
              </w:rPr>
              <w:t>；</w:t>
            </w:r>
          </w:p>
          <w:p w14:paraId="5ABD82B1">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R—核算时段内锅炉燃料耗量</w:t>
            </w:r>
            <w:r>
              <w:rPr>
                <w:rFonts w:hint="eastAsia" w:cs="Times New Roman"/>
                <w:color w:val="auto"/>
                <w:sz w:val="24"/>
                <w:szCs w:val="24"/>
                <w:highlight w:val="none"/>
                <w:lang w:val="en-US" w:eastAsia="zh-CN"/>
              </w:rPr>
              <w:t>,2014</w:t>
            </w:r>
            <w:r>
              <w:rPr>
                <w:rFonts w:hint="default" w:ascii="Times New Roman" w:hAnsi="Times New Roman" w:cs="Times New Roman"/>
                <w:color w:val="auto"/>
                <w:sz w:val="24"/>
                <w:szCs w:val="24"/>
                <w:highlight w:val="none"/>
                <w:lang w:val="en-US" w:eastAsia="zh-CN"/>
              </w:rPr>
              <w:t>t/a，</w:t>
            </w:r>
          </w:p>
          <w:p w14:paraId="7398AEEB">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rPr>
              <w:t>A</w:t>
            </w:r>
            <w:r>
              <w:rPr>
                <w:rFonts w:hint="default" w:ascii="Times New Roman" w:hAnsi="Times New Roman" w:eastAsia="宋体" w:cs="Times New Roman"/>
                <w:color w:val="auto"/>
                <w:sz w:val="24"/>
                <w:szCs w:val="24"/>
                <w:highlight w:val="none"/>
                <w:lang w:val="en-US" w:eastAsia="zh-CN"/>
              </w:rPr>
              <w:t>ar</w:t>
            </w:r>
            <w:r>
              <w:rPr>
                <w:rFonts w:hint="default" w:ascii="Times New Roman" w:hAnsi="Times New Roman" w:eastAsia="宋体" w:cs="Times New Roman"/>
                <w:color w:val="auto"/>
                <w:sz w:val="24"/>
                <w:szCs w:val="24"/>
                <w:highlight w:val="none"/>
                <w:lang w:val="en-US"/>
              </w:rPr>
              <w:t>—收到基灰分的质量分数，</w:t>
            </w:r>
            <w:r>
              <w:rPr>
                <w:rFonts w:hint="eastAsia" w:cs="Times New Roman"/>
                <w:color w:val="auto"/>
                <w:sz w:val="24"/>
                <w:szCs w:val="24"/>
                <w:highlight w:val="none"/>
                <w:lang w:val="en-US" w:eastAsia="zh-CN"/>
              </w:rPr>
              <w:t>16.33</w:t>
            </w:r>
            <w:r>
              <w:rPr>
                <w:rFonts w:hint="default" w:ascii="Times New Roman" w:hAnsi="Times New Roman" w:eastAsia="宋体" w:cs="Times New Roman"/>
                <w:color w:val="auto"/>
                <w:sz w:val="24"/>
                <w:szCs w:val="24"/>
                <w:highlight w:val="none"/>
                <w:lang w:val="en-US"/>
              </w:rPr>
              <w:t>%，</w:t>
            </w:r>
          </w:p>
          <w:p w14:paraId="28DB8317">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rPr>
              <w:t>q4——锅炉机械不完全燃烧热损失，</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lang w:val="en-US"/>
              </w:rPr>
              <w:t>%</w:t>
            </w:r>
            <w:r>
              <w:rPr>
                <w:rFonts w:hint="default" w:ascii="Times New Roman" w:hAnsi="Times New Roman" w:cs="Times New Roman"/>
                <w:color w:val="auto"/>
                <w:sz w:val="24"/>
                <w:szCs w:val="24"/>
                <w:highlight w:val="none"/>
                <w:lang w:val="en-US" w:eastAsia="zh-CN"/>
              </w:rPr>
              <w:t>；</w:t>
            </w:r>
          </w:p>
          <w:p w14:paraId="15C408CF">
            <w:pPr>
              <w:pStyle w:val="24"/>
              <w:spacing w:line="360" w:lineRule="auto"/>
              <w:ind w:left="0" w:leftChars="0" w:firstLine="480" w:firstLineChars="200"/>
              <w:rPr>
                <w:rFonts w:hint="default" w:ascii="Times New Roman" w:hAnsi="Times New Roman" w:eastAsia="宋体" w:cs="Times New Roman"/>
                <w:color w:val="auto"/>
                <w:sz w:val="24"/>
                <w:szCs w:val="24"/>
                <w:highlight w:val="none"/>
                <w:lang w:val="en-US"/>
              </w:rPr>
            </w:pPr>
            <w:r>
              <w:rPr>
                <w:rFonts w:hint="default" w:ascii="Times New Roman" w:hAnsi="Times New Roman" w:eastAsia="宋体" w:cs="Times New Roman"/>
                <w:color w:val="auto"/>
                <w:sz w:val="24"/>
                <w:szCs w:val="24"/>
                <w:highlight w:val="none"/>
                <w:lang w:val="en-US"/>
              </w:rPr>
              <w:t>Oneta———收到基低位发热量，</w:t>
            </w:r>
            <w:r>
              <w:rPr>
                <w:rFonts w:hint="eastAsia" w:ascii="Times New Roman" w:hAnsi="Times New Roman" w:eastAsia="宋体" w:cs="Times New Roman"/>
                <w:color w:val="auto"/>
                <w:sz w:val="24"/>
                <w:szCs w:val="24"/>
                <w:highlight w:val="none"/>
                <w:lang w:val="en-US" w:eastAsia="zh-CN"/>
              </w:rPr>
              <w:t>14.</w:t>
            </w:r>
            <w:r>
              <w:rPr>
                <w:rFonts w:hint="eastAsia" w:cs="Times New Roman"/>
                <w:color w:val="auto"/>
                <w:sz w:val="24"/>
                <w:szCs w:val="24"/>
                <w:highlight w:val="none"/>
                <w:lang w:val="en-US" w:eastAsia="zh-CN"/>
              </w:rPr>
              <w:t>132</w:t>
            </w:r>
            <w:r>
              <w:rPr>
                <w:rFonts w:hint="default" w:ascii="Times New Roman" w:hAnsi="Times New Roman" w:eastAsia="宋体" w:cs="Times New Roman"/>
                <w:color w:val="auto"/>
                <w:sz w:val="24"/>
                <w:szCs w:val="24"/>
                <w:highlight w:val="none"/>
                <w:lang w:val="en-US" w:eastAsia="zh-CN"/>
              </w:rPr>
              <w:t xml:space="preserve"> </w:t>
            </w:r>
            <w:r>
              <w:rPr>
                <w:rFonts w:hint="eastAsia" w:ascii="Times New Roman" w:hAnsi="Times New Roman" w:eastAsia="宋体" w:cs="Times New Roman"/>
                <w:color w:val="auto"/>
                <w:sz w:val="24"/>
                <w:szCs w:val="24"/>
                <w:highlight w:val="none"/>
                <w:lang w:val="en-US" w:eastAsia="zh-CN"/>
              </w:rPr>
              <w:t>M</w:t>
            </w:r>
            <w:r>
              <w:rPr>
                <w:rFonts w:hint="default" w:ascii="Times New Roman" w:hAnsi="Times New Roman" w:eastAsia="宋体" w:cs="Times New Roman"/>
                <w:color w:val="auto"/>
                <w:sz w:val="24"/>
                <w:szCs w:val="24"/>
                <w:highlight w:val="none"/>
                <w:lang w:val="en-US"/>
              </w:rPr>
              <w:t>J/kg。</w:t>
            </w:r>
          </w:p>
          <w:p w14:paraId="02F4E7DC">
            <w:pPr>
              <w:pStyle w:val="16"/>
              <w:numPr>
                <w:ilvl w:val="0"/>
                <w:numId w:val="0"/>
              </w:numPr>
              <w:spacing w:line="360" w:lineRule="auto"/>
              <w:ind w:firstLine="480" w:firstLineChars="200"/>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cs="Times New Roman"/>
                <w:color w:val="auto"/>
                <w:sz w:val="24"/>
                <w:szCs w:val="24"/>
                <w:highlight w:val="none"/>
                <w:lang w:val="en-US" w:eastAsia="zh-CN"/>
              </w:rPr>
              <w:t>本项目锅炉灰渣总量为</w:t>
            </w:r>
            <w:r>
              <w:rPr>
                <w:rFonts w:hint="eastAsia" w:cs="Times New Roman"/>
                <w:color w:val="auto"/>
                <w:sz w:val="24"/>
                <w:szCs w:val="24"/>
                <w:highlight w:val="none"/>
                <w:lang w:val="en-US" w:eastAsia="zh-CN"/>
              </w:rPr>
              <w:t>387.71</w:t>
            </w:r>
            <w:r>
              <w:rPr>
                <w:rFonts w:hint="default" w:ascii="Times New Roman" w:hAnsi="Times New Roman" w:cs="Times New Roman"/>
                <w:color w:val="auto"/>
                <w:sz w:val="24"/>
                <w:szCs w:val="24"/>
                <w:highlight w:val="none"/>
                <w:lang w:val="en-US" w:eastAsia="zh-CN"/>
              </w:rPr>
              <w:t>t/a，</w:t>
            </w:r>
            <w:r>
              <w:rPr>
                <w:rFonts w:hint="eastAsia" w:ascii="Times New Roman" w:hAnsi="Times New Roman" w:cs="Times New Roman"/>
                <w:color w:val="auto"/>
                <w:sz w:val="24"/>
                <w:szCs w:val="24"/>
                <w:highlight w:val="none"/>
                <w:lang w:val="en-US" w:eastAsia="zh-CN"/>
              </w:rPr>
              <w:t>热风炉</w:t>
            </w:r>
            <w:r>
              <w:rPr>
                <w:rFonts w:hint="default" w:ascii="Times New Roman" w:hAnsi="Times New Roman" w:cs="Times New Roman"/>
                <w:color w:val="auto"/>
                <w:sz w:val="24"/>
                <w:szCs w:val="24"/>
                <w:highlight w:val="none"/>
                <w:lang w:val="en-US" w:eastAsia="zh-CN"/>
              </w:rPr>
              <w:t>灰渣集中收集</w:t>
            </w:r>
            <w:r>
              <w:rPr>
                <w:rFonts w:hint="eastAsia" w:ascii="Times New Roman" w:hAnsi="Times New Roman" w:cs="Times New Roman"/>
                <w:color w:val="auto"/>
                <w:sz w:val="24"/>
                <w:szCs w:val="24"/>
                <w:highlight w:val="none"/>
                <w:lang w:val="en-US" w:eastAsia="zh-CN"/>
              </w:rPr>
              <w:t>后暂存于灰渣间，定期外售</w:t>
            </w:r>
            <w:r>
              <w:rPr>
                <w:rFonts w:hint="eastAsia" w:cs="Times New Roman"/>
                <w:color w:val="auto"/>
                <w:sz w:val="24"/>
                <w:szCs w:val="24"/>
                <w:highlight w:val="none"/>
                <w:lang w:val="en-US" w:eastAsia="zh-CN"/>
              </w:rPr>
              <w:t>作</w:t>
            </w:r>
            <w:r>
              <w:rPr>
                <w:rFonts w:hint="eastAsia" w:ascii="Times New Roman" w:hAnsi="Times New Roman" w:cs="Times New Roman"/>
                <w:color w:val="auto"/>
                <w:sz w:val="24"/>
                <w:szCs w:val="24"/>
                <w:highlight w:val="none"/>
                <w:lang w:val="en-US" w:eastAsia="zh-CN"/>
              </w:rPr>
              <w:t>肥料</w:t>
            </w:r>
            <w:r>
              <w:rPr>
                <w:rFonts w:hint="default" w:ascii="Times New Roman" w:hAnsi="Times New Roman" w:cs="Times New Roman"/>
                <w:color w:val="auto"/>
                <w:sz w:val="24"/>
                <w:szCs w:val="24"/>
                <w:highlight w:val="none"/>
                <w:lang w:val="en-US" w:eastAsia="zh-CN"/>
              </w:rPr>
              <w:t>。</w:t>
            </w:r>
            <w:r>
              <w:rPr>
                <w:rFonts w:hint="default" w:ascii="Times New Roman" w:hAnsi="Times New Roman" w:eastAsia="宋体" w:cs="Times New Roman"/>
                <w:color w:val="auto"/>
                <w:kern w:val="2"/>
                <w:sz w:val="24"/>
                <w:szCs w:val="24"/>
                <w:highlight w:val="none"/>
                <w:lang w:val="en-US" w:eastAsia="zh-CN" w:bidi="ar-SA"/>
              </w:rPr>
              <w:t>热风炉</w:t>
            </w:r>
            <w:r>
              <w:rPr>
                <w:rFonts w:hint="eastAsia" w:eastAsia="宋体" w:cs="Times New Roman"/>
                <w:color w:val="auto"/>
                <w:kern w:val="2"/>
                <w:sz w:val="24"/>
                <w:szCs w:val="24"/>
                <w:highlight w:val="none"/>
                <w:lang w:val="en-US" w:eastAsia="zh-CN" w:bidi="ar-SA"/>
              </w:rPr>
              <w:t>灰渣在除渣过程中易产生扬尘，除渣频率低</w:t>
            </w:r>
            <w:r>
              <w:rPr>
                <w:rFonts w:hint="eastAsia" w:cs="Times New Roman"/>
                <w:color w:val="auto"/>
                <w:kern w:val="2"/>
                <w:sz w:val="24"/>
                <w:szCs w:val="24"/>
                <w:highlight w:val="none"/>
                <w:lang w:val="en-US" w:eastAsia="zh-CN" w:bidi="ar-SA"/>
              </w:rPr>
              <w:t>且</w:t>
            </w:r>
            <w:r>
              <w:rPr>
                <w:rFonts w:hint="eastAsia" w:eastAsia="宋体" w:cs="Times New Roman"/>
                <w:color w:val="auto"/>
                <w:kern w:val="2"/>
                <w:sz w:val="24"/>
                <w:szCs w:val="24"/>
                <w:highlight w:val="none"/>
                <w:lang w:val="en-US" w:eastAsia="zh-CN" w:bidi="ar-SA"/>
              </w:rPr>
              <w:t>锅炉除渣过程在密闭锅炉房内完成，除渣过程中采取洒水降尘措施</w:t>
            </w:r>
            <w:r>
              <w:rPr>
                <w:rFonts w:hint="default" w:ascii="Times New Roman" w:hAnsi="Times New Roman" w:eastAsia="宋体" w:cs="Times New Roman"/>
                <w:color w:val="auto"/>
                <w:kern w:val="2"/>
                <w:sz w:val="24"/>
                <w:szCs w:val="24"/>
                <w:highlight w:val="none"/>
                <w:lang w:val="en-US" w:eastAsia="zh-CN" w:bidi="ar-SA"/>
              </w:rPr>
              <w:t>。</w:t>
            </w:r>
          </w:p>
          <w:p w14:paraId="6C90FE60">
            <w:pPr>
              <w:pStyle w:val="16"/>
              <w:numPr>
                <w:ilvl w:val="0"/>
                <w:numId w:val="0"/>
              </w:numPr>
              <w:spacing w:line="360" w:lineRule="auto"/>
              <w:ind w:firstLine="480" w:firstLineChars="200"/>
              <w:rPr>
                <w:rFonts w:hint="eastAsia" w:cs="Times New Roman"/>
                <w:color w:val="auto"/>
                <w:kern w:val="2"/>
                <w:sz w:val="24"/>
                <w:szCs w:val="24"/>
                <w:highlight w:val="none"/>
                <w:lang w:val="en-US" w:eastAsia="zh-CN" w:bidi="ar-SA"/>
              </w:rPr>
            </w:pPr>
            <w:r>
              <w:rPr>
                <w:rFonts w:hint="eastAsia" w:cs="Times New Roman"/>
                <w:color w:val="auto"/>
                <w:kern w:val="2"/>
                <w:sz w:val="24"/>
                <w:szCs w:val="24"/>
                <w:highlight w:val="none"/>
                <w:lang w:val="en-US" w:eastAsia="zh-CN" w:bidi="ar-SA"/>
              </w:rPr>
              <w:t>（2）废布袋</w:t>
            </w:r>
          </w:p>
          <w:p w14:paraId="714358D1">
            <w:pPr>
              <w:pStyle w:val="16"/>
              <w:numPr>
                <w:ilvl w:val="0"/>
                <w:numId w:val="0"/>
              </w:numPr>
              <w:spacing w:line="360" w:lineRule="auto"/>
              <w:ind w:firstLine="480" w:firstLineChars="200"/>
              <w:rPr>
                <w:rFonts w:hint="default" w:cs="Times New Roman"/>
                <w:color w:val="auto"/>
                <w:kern w:val="2"/>
                <w:sz w:val="24"/>
                <w:szCs w:val="24"/>
                <w:highlight w:val="none"/>
                <w:lang w:val="en-US" w:eastAsia="zh-CN" w:bidi="ar-SA"/>
              </w:rPr>
            </w:pPr>
            <w:r>
              <w:rPr>
                <w:rFonts w:hint="default" w:cs="Times New Roman"/>
                <w:color w:val="auto"/>
                <w:kern w:val="2"/>
                <w:sz w:val="24"/>
                <w:szCs w:val="24"/>
                <w:highlight w:val="none"/>
                <w:lang w:val="en-US" w:eastAsia="zh-CN" w:bidi="ar-SA"/>
              </w:rPr>
              <w:t>本项目除尘器为保证除尘效率，定期更换布袋，每年更换一次，废弃布袋产生量</w:t>
            </w:r>
            <w:r>
              <w:rPr>
                <w:rFonts w:hint="eastAsia" w:cs="Times New Roman"/>
                <w:color w:val="auto"/>
                <w:kern w:val="2"/>
                <w:sz w:val="24"/>
                <w:szCs w:val="24"/>
                <w:highlight w:val="none"/>
                <w:lang w:val="en-US" w:eastAsia="zh-CN" w:bidi="ar-SA"/>
              </w:rPr>
              <w:t>1.0</w:t>
            </w:r>
            <w:r>
              <w:rPr>
                <w:rFonts w:hint="default" w:cs="Times New Roman"/>
                <w:color w:val="auto"/>
                <w:kern w:val="2"/>
                <w:sz w:val="24"/>
                <w:szCs w:val="24"/>
                <w:highlight w:val="none"/>
                <w:lang w:val="en-US" w:eastAsia="zh-CN" w:bidi="ar-SA"/>
              </w:rPr>
              <w:t>t/a，更换后由厂家直接带走</w:t>
            </w:r>
            <w:r>
              <w:rPr>
                <w:rFonts w:hint="eastAsia" w:cs="Times New Roman"/>
                <w:color w:val="auto"/>
                <w:kern w:val="2"/>
                <w:sz w:val="24"/>
                <w:szCs w:val="24"/>
                <w:highlight w:val="none"/>
                <w:lang w:val="en-US" w:eastAsia="zh-CN" w:bidi="ar-SA"/>
              </w:rPr>
              <w:t>，不在场内储存</w:t>
            </w:r>
            <w:r>
              <w:rPr>
                <w:rFonts w:hint="default" w:cs="Times New Roman"/>
                <w:color w:val="auto"/>
                <w:kern w:val="2"/>
                <w:sz w:val="24"/>
                <w:szCs w:val="24"/>
                <w:highlight w:val="none"/>
                <w:lang w:val="en-US" w:eastAsia="zh-CN" w:bidi="ar-SA"/>
              </w:rPr>
              <w:t>。</w:t>
            </w:r>
          </w:p>
          <w:p w14:paraId="746ED2C5">
            <w:pPr>
              <w:pStyle w:val="93"/>
              <w:rPr>
                <w:rFonts w:eastAsiaTheme="minorEastAsia"/>
                <w:color w:val="auto"/>
                <w:highlight w:val="none"/>
              </w:rPr>
            </w:pPr>
            <w:r>
              <w:rPr>
                <w:rFonts w:eastAsiaTheme="minorEastAsia"/>
                <w:b/>
                <w:bCs/>
                <w:color w:val="auto"/>
                <w:sz w:val="24"/>
                <w:highlight w:val="none"/>
              </w:rPr>
              <w:t>表4-</w:t>
            </w:r>
            <w:r>
              <w:rPr>
                <w:rFonts w:hint="eastAsia" w:eastAsiaTheme="minorEastAsia"/>
                <w:b/>
                <w:bCs/>
                <w:color w:val="auto"/>
                <w:sz w:val="24"/>
                <w:highlight w:val="none"/>
                <w:lang w:val="en-US" w:eastAsia="zh-CN"/>
              </w:rPr>
              <w:t>8</w:t>
            </w:r>
            <w:r>
              <w:rPr>
                <w:rFonts w:eastAsiaTheme="minorEastAsia"/>
                <w:b/>
                <w:bCs/>
                <w:color w:val="auto"/>
                <w:sz w:val="24"/>
                <w:highlight w:val="none"/>
              </w:rPr>
              <w:t xml:space="preserve">  固体废物污染源源强核算结果及相关参数一览表</w:t>
            </w:r>
          </w:p>
          <w:tbl>
            <w:tblPr>
              <w:tblStyle w:val="30"/>
              <w:tblW w:w="8257" w:type="dxa"/>
              <w:jc w:val="center"/>
              <w:tblBorders>
                <w:top w:val="single" w:color="auto" w:sz="8" w:space="0"/>
                <w:left w:val="none" w:color="auto" w:sz="0" w:space="0"/>
                <w:bottom w:val="single" w:color="auto" w:sz="8"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0"/>
              <w:gridCol w:w="645"/>
              <w:gridCol w:w="716"/>
              <w:gridCol w:w="949"/>
              <w:gridCol w:w="930"/>
              <w:gridCol w:w="900"/>
              <w:gridCol w:w="705"/>
              <w:gridCol w:w="855"/>
              <w:gridCol w:w="1687"/>
            </w:tblGrid>
            <w:tr w14:paraId="57AB198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restart"/>
                  <w:tcBorders>
                    <w:top w:val="single" w:color="auto" w:sz="12" w:space="0"/>
                  </w:tcBorders>
                  <w:vAlign w:val="center"/>
                </w:tcPr>
                <w:p w14:paraId="6096FD4B">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固废</w:t>
                  </w:r>
                </w:p>
                <w:p w14:paraId="5795C0AD">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名称</w:t>
                  </w:r>
                </w:p>
              </w:tc>
              <w:tc>
                <w:tcPr>
                  <w:tcW w:w="390" w:type="pct"/>
                  <w:vMerge w:val="restart"/>
                  <w:tcBorders>
                    <w:top w:val="single" w:color="auto" w:sz="12" w:space="0"/>
                  </w:tcBorders>
                  <w:vAlign w:val="center"/>
                </w:tcPr>
                <w:p w14:paraId="689CD409">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产生节点</w:t>
                  </w:r>
                </w:p>
              </w:tc>
              <w:tc>
                <w:tcPr>
                  <w:tcW w:w="433" w:type="pct"/>
                  <w:vMerge w:val="restart"/>
                  <w:tcBorders>
                    <w:top w:val="single" w:color="auto" w:sz="12" w:space="0"/>
                  </w:tcBorders>
                  <w:vAlign w:val="center"/>
                </w:tcPr>
                <w:p w14:paraId="13F12D7E">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固废</w:t>
                  </w:r>
                </w:p>
                <w:p w14:paraId="410CD81D">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属性</w:t>
                  </w:r>
                </w:p>
              </w:tc>
              <w:tc>
                <w:tcPr>
                  <w:tcW w:w="574" w:type="pct"/>
                  <w:vMerge w:val="restart"/>
                  <w:tcBorders>
                    <w:top w:val="single" w:color="auto" w:sz="12" w:space="0"/>
                  </w:tcBorders>
                  <w:vAlign w:val="center"/>
                </w:tcPr>
                <w:p w14:paraId="02366784">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类别代码</w:t>
                  </w:r>
                </w:p>
              </w:tc>
              <w:tc>
                <w:tcPr>
                  <w:tcW w:w="1108" w:type="pct"/>
                  <w:gridSpan w:val="2"/>
                  <w:tcBorders>
                    <w:top w:val="single" w:color="auto" w:sz="12" w:space="0"/>
                  </w:tcBorders>
                  <w:vAlign w:val="center"/>
                </w:tcPr>
                <w:p w14:paraId="421B2BEB">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产生情况</w:t>
                  </w:r>
                </w:p>
              </w:tc>
              <w:tc>
                <w:tcPr>
                  <w:tcW w:w="944" w:type="pct"/>
                  <w:gridSpan w:val="2"/>
                  <w:tcBorders>
                    <w:top w:val="single" w:color="auto" w:sz="12" w:space="0"/>
                  </w:tcBorders>
                  <w:vAlign w:val="center"/>
                </w:tcPr>
                <w:p w14:paraId="467AEC32">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处理措施</w:t>
                  </w:r>
                </w:p>
              </w:tc>
              <w:tc>
                <w:tcPr>
                  <w:tcW w:w="1021" w:type="pct"/>
                  <w:vMerge w:val="restart"/>
                  <w:tcBorders>
                    <w:top w:val="single" w:color="auto" w:sz="12" w:space="0"/>
                  </w:tcBorders>
                  <w:vAlign w:val="center"/>
                </w:tcPr>
                <w:p w14:paraId="5A676272">
                  <w:pPr>
                    <w:adjustRightInd w:val="0"/>
                    <w:snapToGrid w:val="0"/>
                    <w:jc w:val="center"/>
                    <w:rPr>
                      <w:rFonts w:eastAsiaTheme="minorEastAsia"/>
                      <w:b/>
                      <w:bCs/>
                      <w:snapToGrid w:val="0"/>
                      <w:color w:val="auto"/>
                      <w:szCs w:val="21"/>
                      <w:highlight w:val="none"/>
                    </w:rPr>
                  </w:pPr>
                  <w:r>
                    <w:rPr>
                      <w:rFonts w:eastAsiaTheme="minorEastAsia"/>
                      <w:b/>
                      <w:bCs/>
                      <w:snapToGrid w:val="0"/>
                      <w:color w:val="auto"/>
                      <w:szCs w:val="21"/>
                      <w:highlight w:val="none"/>
                    </w:rPr>
                    <w:t>处置去向</w:t>
                  </w:r>
                </w:p>
              </w:tc>
            </w:tr>
            <w:tr w14:paraId="014850EB">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Merge w:val="continue"/>
                  <w:vAlign w:val="center"/>
                </w:tcPr>
                <w:p w14:paraId="32E0AC1C">
                  <w:pPr>
                    <w:widowControl/>
                    <w:jc w:val="center"/>
                    <w:rPr>
                      <w:rFonts w:eastAsiaTheme="minorEastAsia"/>
                      <w:snapToGrid w:val="0"/>
                      <w:color w:val="auto"/>
                      <w:szCs w:val="21"/>
                    </w:rPr>
                  </w:pPr>
                </w:p>
              </w:tc>
              <w:tc>
                <w:tcPr>
                  <w:tcW w:w="390" w:type="pct"/>
                  <w:vMerge w:val="continue"/>
                  <w:vAlign w:val="center"/>
                </w:tcPr>
                <w:p w14:paraId="20A4BD97">
                  <w:pPr>
                    <w:widowControl/>
                    <w:jc w:val="center"/>
                    <w:rPr>
                      <w:rFonts w:eastAsiaTheme="minorEastAsia"/>
                      <w:snapToGrid w:val="0"/>
                      <w:color w:val="auto"/>
                      <w:szCs w:val="21"/>
                    </w:rPr>
                  </w:pPr>
                </w:p>
              </w:tc>
              <w:tc>
                <w:tcPr>
                  <w:tcW w:w="433" w:type="pct"/>
                  <w:vMerge w:val="continue"/>
                  <w:vAlign w:val="center"/>
                </w:tcPr>
                <w:p w14:paraId="5E68508D">
                  <w:pPr>
                    <w:adjustRightInd w:val="0"/>
                    <w:snapToGrid w:val="0"/>
                    <w:jc w:val="center"/>
                    <w:rPr>
                      <w:rFonts w:eastAsiaTheme="minorEastAsia"/>
                      <w:snapToGrid w:val="0"/>
                      <w:color w:val="auto"/>
                      <w:szCs w:val="21"/>
                    </w:rPr>
                  </w:pPr>
                </w:p>
              </w:tc>
              <w:tc>
                <w:tcPr>
                  <w:tcW w:w="574" w:type="pct"/>
                  <w:vMerge w:val="continue"/>
                  <w:vAlign w:val="center"/>
                </w:tcPr>
                <w:p w14:paraId="62E1AEC0">
                  <w:pPr>
                    <w:adjustRightInd w:val="0"/>
                    <w:snapToGrid w:val="0"/>
                    <w:jc w:val="center"/>
                    <w:rPr>
                      <w:rFonts w:eastAsiaTheme="minorEastAsia"/>
                      <w:snapToGrid w:val="0"/>
                      <w:color w:val="auto"/>
                      <w:szCs w:val="21"/>
                    </w:rPr>
                  </w:pPr>
                </w:p>
              </w:tc>
              <w:tc>
                <w:tcPr>
                  <w:tcW w:w="563" w:type="pct"/>
                  <w:vAlign w:val="center"/>
                </w:tcPr>
                <w:p w14:paraId="2F5D1355">
                  <w:pPr>
                    <w:adjustRightInd w:val="0"/>
                    <w:snapToGrid w:val="0"/>
                    <w:jc w:val="center"/>
                    <w:rPr>
                      <w:rFonts w:eastAsiaTheme="minorEastAsia"/>
                      <w:b/>
                      <w:bCs/>
                      <w:snapToGrid w:val="0"/>
                      <w:color w:val="auto"/>
                      <w:szCs w:val="21"/>
                    </w:rPr>
                  </w:pPr>
                  <w:r>
                    <w:rPr>
                      <w:rFonts w:eastAsiaTheme="minorEastAsia"/>
                      <w:b/>
                      <w:bCs/>
                      <w:snapToGrid w:val="0"/>
                      <w:color w:val="auto"/>
                      <w:szCs w:val="21"/>
                    </w:rPr>
                    <w:t>核算方法</w:t>
                  </w:r>
                </w:p>
              </w:tc>
              <w:tc>
                <w:tcPr>
                  <w:tcW w:w="544" w:type="pct"/>
                  <w:vAlign w:val="center"/>
                </w:tcPr>
                <w:p w14:paraId="33AA447D">
                  <w:pPr>
                    <w:adjustRightInd w:val="0"/>
                    <w:snapToGrid w:val="0"/>
                    <w:jc w:val="center"/>
                    <w:rPr>
                      <w:rFonts w:eastAsiaTheme="minorEastAsia"/>
                      <w:b/>
                      <w:bCs/>
                      <w:snapToGrid w:val="0"/>
                      <w:color w:val="auto"/>
                      <w:szCs w:val="21"/>
                    </w:rPr>
                  </w:pPr>
                  <w:r>
                    <w:rPr>
                      <w:rFonts w:eastAsiaTheme="minorEastAsia"/>
                      <w:b/>
                      <w:bCs/>
                      <w:snapToGrid w:val="0"/>
                      <w:color w:val="auto"/>
                      <w:szCs w:val="21"/>
                    </w:rPr>
                    <w:t>产生量（t/a）</w:t>
                  </w:r>
                </w:p>
              </w:tc>
              <w:tc>
                <w:tcPr>
                  <w:tcW w:w="426" w:type="pct"/>
                  <w:vAlign w:val="center"/>
                </w:tcPr>
                <w:p w14:paraId="2E617D56">
                  <w:pPr>
                    <w:adjustRightInd w:val="0"/>
                    <w:snapToGrid w:val="0"/>
                    <w:jc w:val="center"/>
                    <w:rPr>
                      <w:rFonts w:eastAsiaTheme="minorEastAsia"/>
                      <w:b/>
                      <w:bCs/>
                      <w:snapToGrid w:val="0"/>
                      <w:color w:val="auto"/>
                      <w:szCs w:val="21"/>
                    </w:rPr>
                  </w:pPr>
                  <w:r>
                    <w:rPr>
                      <w:rFonts w:eastAsiaTheme="minorEastAsia"/>
                      <w:b/>
                      <w:bCs/>
                      <w:snapToGrid w:val="0"/>
                      <w:color w:val="auto"/>
                      <w:szCs w:val="21"/>
                    </w:rPr>
                    <w:t>工艺</w:t>
                  </w:r>
                </w:p>
              </w:tc>
              <w:tc>
                <w:tcPr>
                  <w:tcW w:w="517" w:type="pct"/>
                  <w:vAlign w:val="center"/>
                </w:tcPr>
                <w:p w14:paraId="2C3CA108">
                  <w:pPr>
                    <w:adjustRightInd w:val="0"/>
                    <w:snapToGrid w:val="0"/>
                    <w:jc w:val="center"/>
                    <w:rPr>
                      <w:rFonts w:eastAsiaTheme="minorEastAsia"/>
                      <w:snapToGrid w:val="0"/>
                      <w:color w:val="auto"/>
                      <w:szCs w:val="21"/>
                    </w:rPr>
                  </w:pPr>
                  <w:r>
                    <w:rPr>
                      <w:rFonts w:eastAsiaTheme="minorEastAsia"/>
                      <w:b/>
                      <w:bCs/>
                      <w:snapToGrid w:val="0"/>
                      <w:color w:val="auto"/>
                      <w:szCs w:val="21"/>
                    </w:rPr>
                    <w:t>处置量（t/a）</w:t>
                  </w:r>
                </w:p>
              </w:tc>
              <w:tc>
                <w:tcPr>
                  <w:tcW w:w="1021" w:type="pct"/>
                  <w:vMerge w:val="continue"/>
                  <w:vAlign w:val="center"/>
                </w:tcPr>
                <w:p w14:paraId="6EDF0227">
                  <w:pPr>
                    <w:widowControl/>
                    <w:jc w:val="center"/>
                    <w:rPr>
                      <w:rFonts w:eastAsiaTheme="minorEastAsia"/>
                      <w:snapToGrid w:val="0"/>
                      <w:color w:val="auto"/>
                      <w:szCs w:val="21"/>
                    </w:rPr>
                  </w:pPr>
                </w:p>
              </w:tc>
            </w:tr>
            <w:tr w14:paraId="4897F626">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15236B84">
                  <w:pPr>
                    <w:adjustRightInd w:val="0"/>
                    <w:snapToGrid w:val="0"/>
                    <w:jc w:val="center"/>
                    <w:rPr>
                      <w:rFonts w:ascii="Times New Roman" w:hAnsi="Times New Roman" w:cs="Times New Roman" w:eastAsiaTheme="minorEastAsia"/>
                      <w:color w:val="auto"/>
                      <w:sz w:val="21"/>
                      <w:szCs w:val="21"/>
                    </w:rPr>
                  </w:pPr>
                  <w:r>
                    <w:rPr>
                      <w:rFonts w:eastAsiaTheme="minorEastAsia"/>
                      <w:snapToGrid w:val="0"/>
                      <w:color w:val="auto"/>
                      <w:szCs w:val="21"/>
                    </w:rPr>
                    <w:t>灰渣</w:t>
                  </w:r>
                </w:p>
              </w:tc>
              <w:tc>
                <w:tcPr>
                  <w:tcW w:w="390" w:type="pct"/>
                  <w:vAlign w:val="center"/>
                </w:tcPr>
                <w:p w14:paraId="0F7D35B4">
                  <w:pPr>
                    <w:adjustRightInd w:val="0"/>
                    <w:snapToGrid w:val="0"/>
                    <w:jc w:val="center"/>
                    <w:rPr>
                      <w:rFonts w:eastAsiaTheme="minorEastAsia"/>
                      <w:snapToGrid w:val="0"/>
                      <w:color w:val="auto"/>
                      <w:szCs w:val="21"/>
                    </w:rPr>
                  </w:pPr>
                  <w:r>
                    <w:rPr>
                      <w:rFonts w:eastAsiaTheme="minorEastAsia"/>
                      <w:color w:val="auto"/>
                      <w:szCs w:val="21"/>
                    </w:rPr>
                    <w:t>热风炉</w:t>
                  </w:r>
                </w:p>
              </w:tc>
              <w:tc>
                <w:tcPr>
                  <w:tcW w:w="433" w:type="pct"/>
                  <w:vMerge w:val="restart"/>
                  <w:vAlign w:val="center"/>
                </w:tcPr>
                <w:p w14:paraId="732F735E">
                  <w:pPr>
                    <w:adjustRightInd w:val="0"/>
                    <w:snapToGrid w:val="0"/>
                    <w:jc w:val="center"/>
                    <w:rPr>
                      <w:rFonts w:eastAsiaTheme="minorEastAsia"/>
                      <w:snapToGrid w:val="0"/>
                      <w:color w:val="auto"/>
                      <w:szCs w:val="21"/>
                    </w:rPr>
                  </w:pPr>
                  <w:r>
                    <w:rPr>
                      <w:rFonts w:hint="default" w:ascii="Times New Roman" w:hAnsi="Times New Roman" w:cs="Times New Roman"/>
                      <w:color w:val="auto"/>
                      <w:sz w:val="21"/>
                      <w:szCs w:val="21"/>
                    </w:rPr>
                    <w:t>一般工业固体废物</w:t>
                  </w:r>
                </w:p>
              </w:tc>
              <w:tc>
                <w:tcPr>
                  <w:tcW w:w="574" w:type="pct"/>
                  <w:vAlign w:val="center"/>
                </w:tcPr>
                <w:p w14:paraId="05F679E6">
                  <w:pPr>
                    <w:adjustRightInd w:val="0"/>
                    <w:snapToGrid w:val="0"/>
                    <w:jc w:val="center"/>
                    <w:rPr>
                      <w:rFonts w:eastAsiaTheme="minorEastAsia"/>
                      <w:snapToGrid w:val="0"/>
                      <w:color w:val="auto"/>
                      <w:szCs w:val="21"/>
                    </w:rPr>
                  </w:pPr>
                  <w:r>
                    <w:rPr>
                      <w:rFonts w:eastAsiaTheme="minorEastAsia"/>
                      <w:snapToGrid w:val="0"/>
                      <w:color w:val="auto"/>
                      <w:szCs w:val="21"/>
                    </w:rPr>
                    <w:t>900-099-S03</w:t>
                  </w:r>
                </w:p>
              </w:tc>
              <w:tc>
                <w:tcPr>
                  <w:tcW w:w="563" w:type="pct"/>
                  <w:vAlign w:val="center"/>
                </w:tcPr>
                <w:p w14:paraId="5BEC9C1E">
                  <w:pPr>
                    <w:adjustRightInd w:val="0"/>
                    <w:snapToGrid w:val="0"/>
                    <w:jc w:val="center"/>
                    <w:rPr>
                      <w:rFonts w:eastAsiaTheme="minorEastAsia"/>
                      <w:snapToGrid w:val="0"/>
                      <w:color w:val="auto"/>
                      <w:szCs w:val="21"/>
                    </w:rPr>
                  </w:pPr>
                  <w:r>
                    <w:rPr>
                      <w:rFonts w:eastAsiaTheme="minorEastAsia"/>
                      <w:snapToGrid w:val="0"/>
                      <w:color w:val="auto"/>
                      <w:szCs w:val="21"/>
                    </w:rPr>
                    <w:t>物料衡算法</w:t>
                  </w:r>
                </w:p>
              </w:tc>
              <w:tc>
                <w:tcPr>
                  <w:tcW w:w="544" w:type="pct"/>
                  <w:vAlign w:val="center"/>
                </w:tcPr>
                <w:p w14:paraId="3C62399E">
                  <w:pPr>
                    <w:adjustRightInd w:val="0"/>
                    <w:snapToGrid w:val="0"/>
                    <w:jc w:val="center"/>
                    <w:rPr>
                      <w:rFonts w:hint="default" w:eastAsiaTheme="minorEastAsia"/>
                      <w:snapToGrid w:val="0"/>
                      <w:color w:val="auto"/>
                      <w:szCs w:val="21"/>
                      <w:lang w:val="en-US" w:eastAsia="zh-CN"/>
                    </w:rPr>
                  </w:pPr>
                  <w:r>
                    <w:rPr>
                      <w:rFonts w:hint="default" w:ascii="Times New Roman" w:hAnsi="Times New Roman" w:cs="Times New Roman"/>
                      <w:color w:val="auto"/>
                      <w:sz w:val="21"/>
                      <w:szCs w:val="21"/>
                      <w:lang w:val="en-US" w:eastAsia="zh-CN"/>
                    </w:rPr>
                    <w:t>187.33</w:t>
                  </w:r>
                </w:p>
              </w:tc>
              <w:tc>
                <w:tcPr>
                  <w:tcW w:w="426" w:type="pct"/>
                  <w:vAlign w:val="center"/>
                </w:tcPr>
                <w:p w14:paraId="632D533C">
                  <w:pPr>
                    <w:adjustRightInd w:val="0"/>
                    <w:snapToGrid w:val="0"/>
                    <w:jc w:val="center"/>
                    <w:rPr>
                      <w:rFonts w:eastAsiaTheme="minorEastAsia"/>
                      <w:snapToGrid w:val="0"/>
                      <w:color w:val="auto"/>
                      <w:szCs w:val="21"/>
                    </w:rPr>
                  </w:pPr>
                  <w:r>
                    <w:rPr>
                      <w:rFonts w:eastAsiaTheme="minorEastAsia"/>
                      <w:snapToGrid w:val="0"/>
                      <w:color w:val="auto"/>
                      <w:szCs w:val="21"/>
                    </w:rPr>
                    <w:t>集中</w:t>
                  </w:r>
                </w:p>
                <w:p w14:paraId="0CDC81DD">
                  <w:pPr>
                    <w:adjustRightInd w:val="0"/>
                    <w:snapToGrid w:val="0"/>
                    <w:jc w:val="center"/>
                    <w:rPr>
                      <w:rFonts w:eastAsiaTheme="minorEastAsia"/>
                      <w:snapToGrid w:val="0"/>
                      <w:color w:val="auto"/>
                      <w:szCs w:val="21"/>
                    </w:rPr>
                  </w:pPr>
                  <w:r>
                    <w:rPr>
                      <w:rFonts w:eastAsiaTheme="minorEastAsia"/>
                      <w:snapToGrid w:val="0"/>
                      <w:color w:val="auto"/>
                      <w:szCs w:val="21"/>
                    </w:rPr>
                    <w:t>收集</w:t>
                  </w:r>
                </w:p>
              </w:tc>
              <w:tc>
                <w:tcPr>
                  <w:tcW w:w="517" w:type="pct"/>
                  <w:vAlign w:val="center"/>
                </w:tcPr>
                <w:p w14:paraId="7DD9F8E2">
                  <w:pPr>
                    <w:adjustRightInd w:val="0"/>
                    <w:snapToGrid w:val="0"/>
                    <w:jc w:val="center"/>
                    <w:rPr>
                      <w:rFonts w:eastAsiaTheme="minorEastAsia"/>
                      <w:snapToGrid w:val="0"/>
                      <w:color w:val="auto"/>
                      <w:szCs w:val="21"/>
                    </w:rPr>
                  </w:pPr>
                  <w:r>
                    <w:rPr>
                      <w:rFonts w:hint="default" w:ascii="Times New Roman" w:hAnsi="Times New Roman" w:cs="Times New Roman"/>
                      <w:color w:val="auto"/>
                      <w:sz w:val="21"/>
                      <w:szCs w:val="21"/>
                      <w:lang w:val="en-US" w:eastAsia="zh-CN"/>
                    </w:rPr>
                    <w:t>187.33</w:t>
                  </w:r>
                </w:p>
              </w:tc>
              <w:tc>
                <w:tcPr>
                  <w:tcW w:w="1021" w:type="pct"/>
                  <w:vAlign w:val="center"/>
                </w:tcPr>
                <w:p w14:paraId="2293C7E2">
                  <w:pPr>
                    <w:adjustRightInd w:val="0"/>
                    <w:snapToGrid w:val="0"/>
                    <w:jc w:val="center"/>
                    <w:rPr>
                      <w:rFonts w:eastAsiaTheme="minorEastAsia"/>
                      <w:snapToGrid w:val="0"/>
                      <w:color w:val="auto"/>
                      <w:szCs w:val="21"/>
                    </w:rPr>
                  </w:pPr>
                  <w:r>
                    <w:rPr>
                      <w:rFonts w:hint="eastAsia" w:ascii="Times New Roman" w:hAnsi="Times New Roman" w:cs="Times New Roman"/>
                      <w:color w:val="auto"/>
                      <w:sz w:val="21"/>
                      <w:szCs w:val="21"/>
                      <w:highlight w:val="none"/>
                      <w:lang w:val="en-US" w:eastAsia="zh-CN"/>
                    </w:rPr>
                    <w:t>集中收集后暂存于灰渣间，定期外售</w:t>
                  </w:r>
                  <w:r>
                    <w:rPr>
                      <w:rFonts w:hint="eastAsia" w:cs="Times New Roman"/>
                      <w:color w:val="auto"/>
                      <w:sz w:val="21"/>
                      <w:szCs w:val="21"/>
                      <w:highlight w:val="none"/>
                      <w:lang w:val="en-US" w:eastAsia="zh-CN"/>
                    </w:rPr>
                    <w:t>作</w:t>
                  </w:r>
                  <w:r>
                    <w:rPr>
                      <w:rFonts w:hint="eastAsia" w:ascii="Times New Roman" w:hAnsi="Times New Roman" w:cs="Times New Roman"/>
                      <w:color w:val="auto"/>
                      <w:sz w:val="21"/>
                      <w:szCs w:val="21"/>
                      <w:highlight w:val="none"/>
                      <w:lang w:val="en-US" w:eastAsia="zh-CN"/>
                    </w:rPr>
                    <w:t>肥料</w:t>
                  </w:r>
                </w:p>
              </w:tc>
            </w:tr>
            <w:tr w14:paraId="047903D8">
              <w:tblPrEx>
                <w:tblBorders>
                  <w:top w:val="single" w:color="auto" w:sz="8" w:space="0"/>
                  <w:left w:val="none" w:color="auto" w:sz="0" w:space="0"/>
                  <w:bottom w:val="single" w:color="auto" w:sz="8"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6" w:type="pct"/>
                  <w:vAlign w:val="center"/>
                </w:tcPr>
                <w:p w14:paraId="28148BBD">
                  <w:pPr>
                    <w:adjustRightInd w:val="0"/>
                    <w:snapToGrid w:val="0"/>
                    <w:jc w:val="center"/>
                    <w:rPr>
                      <w:rFonts w:ascii="Times New Roman" w:hAnsi="Times New Roman" w:cs="Times New Roman" w:eastAsiaTheme="minorEastAsia"/>
                      <w:color w:val="auto"/>
                      <w:sz w:val="21"/>
                      <w:szCs w:val="21"/>
                    </w:rPr>
                  </w:pPr>
                  <w:r>
                    <w:rPr>
                      <w:rFonts w:eastAsiaTheme="minorEastAsia"/>
                      <w:snapToGrid w:val="0"/>
                      <w:color w:val="auto"/>
                      <w:szCs w:val="21"/>
                    </w:rPr>
                    <w:t>废布袋</w:t>
                  </w:r>
                </w:p>
              </w:tc>
              <w:tc>
                <w:tcPr>
                  <w:tcW w:w="390" w:type="pct"/>
                  <w:vAlign w:val="center"/>
                </w:tcPr>
                <w:p w14:paraId="79068D3C">
                  <w:pPr>
                    <w:adjustRightInd w:val="0"/>
                    <w:snapToGrid w:val="0"/>
                    <w:jc w:val="center"/>
                    <w:rPr>
                      <w:rFonts w:eastAsiaTheme="minorEastAsia"/>
                      <w:color w:val="auto"/>
                      <w:szCs w:val="21"/>
                    </w:rPr>
                  </w:pPr>
                  <w:r>
                    <w:rPr>
                      <w:rFonts w:eastAsiaTheme="minorEastAsia"/>
                      <w:color w:val="auto"/>
                      <w:szCs w:val="21"/>
                    </w:rPr>
                    <w:t>除尘</w:t>
                  </w:r>
                </w:p>
              </w:tc>
              <w:tc>
                <w:tcPr>
                  <w:tcW w:w="433" w:type="pct"/>
                  <w:vMerge w:val="continue"/>
                  <w:vAlign w:val="center"/>
                </w:tcPr>
                <w:p w14:paraId="12D4BD5D">
                  <w:pPr>
                    <w:adjustRightInd w:val="0"/>
                    <w:snapToGrid w:val="0"/>
                    <w:jc w:val="center"/>
                    <w:rPr>
                      <w:rFonts w:eastAsiaTheme="minorEastAsia"/>
                      <w:snapToGrid w:val="0"/>
                      <w:color w:val="auto"/>
                      <w:szCs w:val="21"/>
                    </w:rPr>
                  </w:pPr>
                </w:p>
              </w:tc>
              <w:tc>
                <w:tcPr>
                  <w:tcW w:w="574" w:type="pct"/>
                  <w:vAlign w:val="center"/>
                </w:tcPr>
                <w:p w14:paraId="28351D3D">
                  <w:pPr>
                    <w:adjustRightInd w:val="0"/>
                    <w:snapToGrid w:val="0"/>
                    <w:jc w:val="center"/>
                    <w:rPr>
                      <w:rFonts w:hint="default" w:eastAsiaTheme="minorEastAsia"/>
                      <w:snapToGrid w:val="0"/>
                      <w:color w:val="auto"/>
                      <w:szCs w:val="21"/>
                      <w:lang w:val="en-US" w:eastAsia="zh-CN"/>
                    </w:rPr>
                  </w:pPr>
                  <w:r>
                    <w:rPr>
                      <w:rFonts w:eastAsiaTheme="minorEastAsia"/>
                      <w:snapToGrid w:val="0"/>
                      <w:color w:val="auto"/>
                      <w:szCs w:val="21"/>
                    </w:rPr>
                    <w:t>900-099-S17</w:t>
                  </w:r>
                </w:p>
              </w:tc>
              <w:tc>
                <w:tcPr>
                  <w:tcW w:w="563" w:type="pct"/>
                  <w:vAlign w:val="center"/>
                </w:tcPr>
                <w:p w14:paraId="4A4FC4E9">
                  <w:pPr>
                    <w:adjustRightInd w:val="0"/>
                    <w:snapToGrid w:val="0"/>
                    <w:jc w:val="center"/>
                    <w:rPr>
                      <w:rFonts w:eastAsiaTheme="minorEastAsia"/>
                      <w:snapToGrid w:val="0"/>
                      <w:color w:val="auto"/>
                      <w:szCs w:val="21"/>
                    </w:rPr>
                  </w:pPr>
                  <w:r>
                    <w:rPr>
                      <w:rFonts w:eastAsiaTheme="minorEastAsia"/>
                      <w:snapToGrid w:val="0"/>
                      <w:color w:val="auto"/>
                      <w:szCs w:val="21"/>
                    </w:rPr>
                    <w:t>类比法</w:t>
                  </w:r>
                </w:p>
              </w:tc>
              <w:tc>
                <w:tcPr>
                  <w:tcW w:w="544" w:type="pct"/>
                  <w:vAlign w:val="center"/>
                </w:tcPr>
                <w:p w14:paraId="5D424555">
                  <w:pPr>
                    <w:adjustRightInd w:val="0"/>
                    <w:snapToGrid w:val="0"/>
                    <w:jc w:val="center"/>
                    <w:rPr>
                      <w:rFonts w:hint="default" w:eastAsiaTheme="minorEastAsia"/>
                      <w:snapToGrid w:val="0"/>
                      <w:color w:val="auto"/>
                      <w:szCs w:val="21"/>
                      <w:lang w:val="en-US" w:eastAsia="zh-CN"/>
                    </w:rPr>
                  </w:pPr>
                  <w:r>
                    <w:rPr>
                      <w:rFonts w:hint="eastAsia" w:eastAsiaTheme="minorEastAsia"/>
                      <w:snapToGrid w:val="0"/>
                      <w:color w:val="auto"/>
                      <w:szCs w:val="21"/>
                      <w:lang w:val="en-US" w:eastAsia="zh-CN"/>
                    </w:rPr>
                    <w:t>1.0</w:t>
                  </w:r>
                </w:p>
              </w:tc>
              <w:tc>
                <w:tcPr>
                  <w:tcW w:w="426" w:type="pct"/>
                  <w:vAlign w:val="center"/>
                </w:tcPr>
                <w:p w14:paraId="1637F2EB">
                  <w:pPr>
                    <w:adjustRightInd w:val="0"/>
                    <w:snapToGrid w:val="0"/>
                    <w:jc w:val="center"/>
                    <w:rPr>
                      <w:rFonts w:eastAsiaTheme="minorEastAsia"/>
                      <w:snapToGrid w:val="0"/>
                      <w:color w:val="auto"/>
                      <w:szCs w:val="21"/>
                    </w:rPr>
                  </w:pPr>
                  <w:r>
                    <w:rPr>
                      <w:rFonts w:eastAsiaTheme="minorEastAsia"/>
                      <w:snapToGrid w:val="0"/>
                      <w:color w:val="auto"/>
                      <w:szCs w:val="21"/>
                    </w:rPr>
                    <w:t>集中</w:t>
                  </w:r>
                </w:p>
                <w:p w14:paraId="37B3FB5A">
                  <w:pPr>
                    <w:adjustRightInd w:val="0"/>
                    <w:snapToGrid w:val="0"/>
                    <w:jc w:val="center"/>
                    <w:rPr>
                      <w:rFonts w:eastAsiaTheme="minorEastAsia"/>
                      <w:snapToGrid w:val="0"/>
                      <w:color w:val="auto"/>
                      <w:szCs w:val="21"/>
                    </w:rPr>
                  </w:pPr>
                  <w:r>
                    <w:rPr>
                      <w:rFonts w:eastAsiaTheme="minorEastAsia"/>
                      <w:snapToGrid w:val="0"/>
                      <w:color w:val="auto"/>
                      <w:szCs w:val="21"/>
                    </w:rPr>
                    <w:t>收集</w:t>
                  </w:r>
                </w:p>
              </w:tc>
              <w:tc>
                <w:tcPr>
                  <w:tcW w:w="517" w:type="pct"/>
                  <w:vAlign w:val="center"/>
                </w:tcPr>
                <w:p w14:paraId="702A6997">
                  <w:pPr>
                    <w:adjustRightInd w:val="0"/>
                    <w:snapToGrid w:val="0"/>
                    <w:jc w:val="center"/>
                    <w:rPr>
                      <w:rFonts w:hint="default" w:eastAsiaTheme="minorEastAsia"/>
                      <w:snapToGrid w:val="0"/>
                      <w:color w:val="auto"/>
                      <w:szCs w:val="21"/>
                      <w:lang w:val="en-US" w:eastAsia="zh-CN"/>
                    </w:rPr>
                  </w:pPr>
                  <w:r>
                    <w:rPr>
                      <w:rFonts w:hint="eastAsia" w:eastAsiaTheme="minorEastAsia"/>
                      <w:snapToGrid w:val="0"/>
                      <w:color w:val="auto"/>
                      <w:szCs w:val="21"/>
                      <w:lang w:val="en-US" w:eastAsia="zh-CN"/>
                    </w:rPr>
                    <w:t>1.0</w:t>
                  </w:r>
                </w:p>
              </w:tc>
              <w:tc>
                <w:tcPr>
                  <w:tcW w:w="1021" w:type="pct"/>
                  <w:vAlign w:val="center"/>
                </w:tcPr>
                <w:p w14:paraId="5DE9FA2C">
                  <w:pPr>
                    <w:adjustRightInd w:val="0"/>
                    <w:snapToGrid w:val="0"/>
                    <w:jc w:val="center"/>
                    <w:rPr>
                      <w:rFonts w:eastAsiaTheme="minorEastAsia"/>
                      <w:snapToGrid w:val="0"/>
                      <w:color w:val="auto"/>
                      <w:szCs w:val="21"/>
                    </w:rPr>
                  </w:pPr>
                  <w:r>
                    <w:rPr>
                      <w:rFonts w:hint="default" w:cs="Times New Roman"/>
                      <w:color w:val="auto"/>
                      <w:kern w:val="2"/>
                      <w:sz w:val="21"/>
                      <w:szCs w:val="21"/>
                      <w:highlight w:val="none"/>
                      <w:lang w:val="en-US" w:eastAsia="zh-CN" w:bidi="ar-SA"/>
                    </w:rPr>
                    <w:t>厂家直接带走</w:t>
                  </w:r>
                </w:p>
              </w:tc>
            </w:tr>
          </w:tbl>
          <w:p w14:paraId="421F9FD1">
            <w:pPr>
              <w:keepNext w:val="0"/>
              <w:keepLines w:val="0"/>
              <w:pageBreakBefore w:val="0"/>
              <w:widowControl/>
              <w:kinsoku/>
              <w:wordWrap/>
              <w:overflowPunct/>
              <w:topLinePunct w:val="0"/>
              <w:bidi w:val="0"/>
              <w:adjustRightInd/>
              <w:snapToGrid/>
              <w:spacing w:line="360" w:lineRule="auto"/>
              <w:ind w:firstLine="480" w:firstLineChars="200"/>
              <w:textAlignment w:val="baseline"/>
              <w:rPr>
                <w:rFonts w:hint="default" w:ascii="Times New Roman" w:hAnsi="Times New Roman" w:eastAsia="宋体" w:cs="Times New Roman"/>
                <w:color w:val="auto"/>
                <w:kern w:val="0"/>
                <w:sz w:val="24"/>
                <w:lang w:eastAsia="zh-CN"/>
              </w:rPr>
            </w:pPr>
            <w:r>
              <w:rPr>
                <w:rFonts w:hint="default" w:ascii="Times New Roman" w:hAnsi="Times New Roman" w:eastAsia="宋体" w:cs="Times New Roman"/>
                <w:color w:val="auto"/>
                <w:kern w:val="0"/>
                <w:sz w:val="24"/>
                <w:lang w:eastAsia="zh-CN"/>
              </w:rPr>
              <w:t>（</w:t>
            </w:r>
            <w:r>
              <w:rPr>
                <w:rFonts w:hint="default" w:ascii="Times New Roman" w:hAnsi="Times New Roman" w:eastAsia="宋体" w:cs="Times New Roman"/>
                <w:color w:val="auto"/>
                <w:kern w:val="0"/>
                <w:sz w:val="24"/>
                <w:lang w:val="en-US" w:eastAsia="zh-CN"/>
              </w:rPr>
              <w:t>3</w:t>
            </w:r>
            <w:r>
              <w:rPr>
                <w:rFonts w:hint="default" w:ascii="Times New Roman" w:hAnsi="Times New Roman" w:eastAsia="宋体" w:cs="Times New Roman"/>
                <w:color w:val="auto"/>
                <w:kern w:val="0"/>
                <w:sz w:val="24"/>
                <w:lang w:eastAsia="zh-CN"/>
              </w:rPr>
              <w:t>）危险废物</w:t>
            </w:r>
          </w:p>
          <w:p w14:paraId="3D9B21B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baseline"/>
              <w:rPr>
                <w:rFonts w:hint="default" w:ascii="Times New Roman" w:hAnsi="Times New Roman" w:eastAsia="宋体" w:cs="Times New Roman"/>
                <w:b/>
                <w:bCs/>
                <w:color w:val="auto"/>
                <w:kern w:val="0"/>
                <w:sz w:val="21"/>
                <w:szCs w:val="21"/>
                <w:lang w:val="en-US" w:eastAsia="zh-CN"/>
              </w:rPr>
            </w:pPr>
            <w:r>
              <w:rPr>
                <w:rFonts w:hint="default" w:ascii="Times New Roman" w:hAnsi="Times New Roman" w:eastAsia="宋体" w:cs="Times New Roman"/>
                <w:color w:val="auto"/>
                <w:kern w:val="0"/>
                <w:sz w:val="24"/>
                <w:lang w:eastAsia="zh-CN"/>
              </w:rPr>
              <w:t>根据《国家危险废物名录</w:t>
            </w:r>
            <w:r>
              <w:rPr>
                <w:rFonts w:hint="default" w:ascii="Times New Roman" w:hAnsi="Times New Roman" w:cs="Times New Roman"/>
                <w:color w:val="auto"/>
                <w:kern w:val="0"/>
                <w:sz w:val="24"/>
                <w:lang w:eastAsia="zh-CN"/>
              </w:rPr>
              <w:t>（</w:t>
            </w:r>
            <w:r>
              <w:rPr>
                <w:rFonts w:hint="default" w:ascii="Times New Roman" w:hAnsi="Times New Roman" w:cs="Times New Roman"/>
                <w:color w:val="auto"/>
                <w:kern w:val="0"/>
                <w:sz w:val="24"/>
                <w:lang w:val="en-US" w:eastAsia="zh-CN"/>
              </w:rPr>
              <w:t>2025年版</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HW08废矿物油与含矿物油废物；非特定行业；900-214-08；车辆、轮船及其他机械维修过程中产生的废发动机油、制动器油、自动变速器油、齿轮油等废润滑油</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HW</w:t>
            </w:r>
            <w:r>
              <w:rPr>
                <w:rFonts w:hint="eastAsia" w:ascii="Times New Roman" w:hAnsi="Times New Roman" w:eastAsia="宋体" w:cs="Times New Roman"/>
                <w:color w:val="auto"/>
                <w:kern w:val="0"/>
                <w:sz w:val="24"/>
                <w:lang w:val="en-US" w:eastAsia="zh-CN"/>
              </w:rPr>
              <w:t>08</w:t>
            </w:r>
            <w:r>
              <w:rPr>
                <w:rFonts w:hint="default" w:ascii="Times New Roman" w:hAnsi="Times New Roman" w:eastAsia="宋体" w:cs="Times New Roman"/>
                <w:color w:val="auto"/>
                <w:kern w:val="0"/>
                <w:sz w:val="24"/>
                <w:lang w:eastAsia="zh-CN"/>
              </w:rPr>
              <w:t>废矿物油与含矿物油废物；非特定行业；900-</w:t>
            </w:r>
            <w:r>
              <w:rPr>
                <w:rFonts w:hint="eastAsia" w:ascii="Times New Roman" w:hAnsi="Times New Roman" w:eastAsia="宋体" w:cs="Times New Roman"/>
                <w:color w:val="auto"/>
                <w:kern w:val="0"/>
                <w:sz w:val="24"/>
                <w:lang w:val="en-US" w:eastAsia="zh-CN"/>
              </w:rPr>
              <w:t>249</w:t>
            </w:r>
            <w:r>
              <w:rPr>
                <w:rFonts w:hint="default" w:ascii="Times New Roman" w:hAnsi="Times New Roman" w:eastAsia="宋体" w:cs="Times New Roman"/>
                <w:color w:val="auto"/>
                <w:kern w:val="0"/>
                <w:sz w:val="24"/>
                <w:lang w:eastAsia="zh-CN"/>
              </w:rPr>
              <w:t>-</w:t>
            </w:r>
            <w:r>
              <w:rPr>
                <w:rFonts w:hint="eastAsia" w:ascii="Times New Roman" w:hAnsi="Times New Roman" w:eastAsia="宋体" w:cs="Times New Roman"/>
                <w:color w:val="auto"/>
                <w:kern w:val="0"/>
                <w:sz w:val="24"/>
                <w:lang w:val="en-US" w:eastAsia="zh-CN"/>
              </w:rPr>
              <w:t>08</w:t>
            </w:r>
            <w:r>
              <w:rPr>
                <w:rFonts w:hint="default" w:ascii="Times New Roman" w:hAnsi="Times New Roman" w:eastAsia="宋体" w:cs="Times New Roman"/>
                <w:color w:val="auto"/>
                <w:kern w:val="0"/>
                <w:sz w:val="24"/>
                <w:lang w:eastAsia="zh-CN"/>
              </w:rPr>
              <w:t>；其他生产、销售、使用过程中产生的废矿物 油及沾染矿物油的废弃包装物</w:t>
            </w:r>
            <w:r>
              <w:rPr>
                <w:rFonts w:hint="default" w:ascii="Times New Roman" w:hAnsi="Times New Roman" w:cs="Times New Roman"/>
                <w:color w:val="auto"/>
                <w:kern w:val="0"/>
                <w:sz w:val="24"/>
                <w:lang w:eastAsia="zh-CN"/>
              </w:rPr>
              <w:t>”</w:t>
            </w:r>
            <w:r>
              <w:rPr>
                <w:rFonts w:hint="default" w:ascii="Times New Roman" w:hAnsi="Times New Roman" w:eastAsia="宋体" w:cs="Times New Roman"/>
                <w:color w:val="auto"/>
                <w:kern w:val="0"/>
                <w:sz w:val="24"/>
                <w:lang w:eastAsia="zh-CN"/>
              </w:rPr>
              <w:t>。本项目产生的危险废物主要为废机油</w:t>
            </w:r>
            <w:r>
              <w:rPr>
                <w:rFonts w:hint="default" w:ascii="Times New Roman" w:hAnsi="Times New Roman" w:cs="Times New Roman"/>
                <w:color w:val="auto"/>
                <w:kern w:val="0"/>
                <w:sz w:val="24"/>
                <w:lang w:eastAsia="zh-CN"/>
              </w:rPr>
              <w:t>及废含油抹布</w:t>
            </w:r>
            <w:r>
              <w:rPr>
                <w:rFonts w:hint="default" w:ascii="Times New Roman" w:hAnsi="Times New Roman" w:eastAsia="宋体" w:cs="Times New Roman"/>
                <w:color w:val="auto"/>
                <w:kern w:val="0"/>
                <w:sz w:val="24"/>
                <w:lang w:eastAsia="zh-CN"/>
              </w:rPr>
              <w:t>。废机油产生量约</w:t>
            </w:r>
            <w:r>
              <w:rPr>
                <w:rFonts w:hint="eastAsia" w:ascii="Times New Roman" w:hAnsi="Times New Roman" w:cs="Times New Roman"/>
                <w:color w:val="auto"/>
                <w:kern w:val="0"/>
                <w:sz w:val="24"/>
                <w:lang w:val="en-US" w:eastAsia="zh-CN"/>
              </w:rPr>
              <w:t>0.</w:t>
            </w:r>
            <w:r>
              <w:rPr>
                <w:rFonts w:hint="eastAsia" w:cs="Times New Roman"/>
                <w:color w:val="auto"/>
                <w:kern w:val="0"/>
                <w:sz w:val="24"/>
                <w:lang w:val="en-US" w:eastAsia="zh-CN"/>
              </w:rPr>
              <w:t>0</w:t>
            </w:r>
            <w:r>
              <w:rPr>
                <w:rFonts w:hint="eastAsia" w:ascii="Times New Roman" w:hAnsi="Times New Roman" w:cs="Times New Roman"/>
                <w:color w:val="auto"/>
                <w:kern w:val="0"/>
                <w:sz w:val="24"/>
                <w:lang w:val="en-US" w:eastAsia="zh-CN"/>
              </w:rPr>
              <w:t>1</w:t>
            </w:r>
            <w:r>
              <w:rPr>
                <w:rFonts w:hint="default" w:ascii="Times New Roman" w:hAnsi="Times New Roman" w:eastAsia="宋体" w:cs="Times New Roman"/>
                <w:color w:val="auto"/>
                <w:kern w:val="0"/>
                <w:sz w:val="24"/>
                <w:lang w:eastAsia="zh-CN"/>
              </w:rPr>
              <w:t>t/a，</w:t>
            </w:r>
            <w:r>
              <w:rPr>
                <w:rFonts w:hint="default" w:ascii="Times New Roman" w:hAnsi="Times New Roman" w:cs="Times New Roman"/>
                <w:color w:val="auto"/>
                <w:kern w:val="0"/>
                <w:sz w:val="24"/>
                <w:lang w:eastAsia="zh-CN"/>
              </w:rPr>
              <w:t>废含油抹布</w:t>
            </w:r>
            <w:r>
              <w:rPr>
                <w:rFonts w:hint="default" w:ascii="Times New Roman" w:hAnsi="Times New Roman" w:eastAsia="宋体" w:cs="Times New Roman"/>
                <w:color w:val="auto"/>
                <w:kern w:val="0"/>
                <w:sz w:val="24"/>
                <w:lang w:eastAsia="zh-CN"/>
              </w:rPr>
              <w:t>产生量为</w:t>
            </w:r>
            <w:r>
              <w:rPr>
                <w:rFonts w:hint="eastAsia" w:ascii="Times New Roman" w:hAnsi="Times New Roman" w:eastAsia="宋体" w:cs="Times New Roman"/>
                <w:color w:val="auto"/>
                <w:kern w:val="0"/>
                <w:sz w:val="24"/>
                <w:lang w:val="en-US" w:eastAsia="zh-CN"/>
              </w:rPr>
              <w:t>0.0</w:t>
            </w:r>
            <w:r>
              <w:rPr>
                <w:rFonts w:hint="eastAsia" w:cs="Times New Roman"/>
                <w:color w:val="auto"/>
                <w:kern w:val="0"/>
                <w:sz w:val="24"/>
                <w:lang w:val="en-US" w:eastAsia="zh-CN"/>
              </w:rPr>
              <w:t>0</w:t>
            </w:r>
            <w:r>
              <w:rPr>
                <w:rFonts w:hint="eastAsia" w:ascii="Times New Roman" w:hAnsi="Times New Roman" w:eastAsia="宋体" w:cs="Times New Roman"/>
                <w:color w:val="auto"/>
                <w:kern w:val="0"/>
                <w:sz w:val="24"/>
                <w:lang w:val="en-US" w:eastAsia="zh-CN"/>
              </w:rPr>
              <w:t>5</w:t>
            </w:r>
            <w:r>
              <w:rPr>
                <w:rFonts w:hint="default" w:ascii="Times New Roman" w:hAnsi="Times New Roman" w:eastAsia="宋体" w:cs="Times New Roman"/>
                <w:color w:val="auto"/>
                <w:kern w:val="0"/>
                <w:sz w:val="24"/>
                <w:lang w:eastAsia="zh-CN"/>
              </w:rPr>
              <w:t>t/a暂存于危废间内，委托有危险废物处置资质单位处置。本项目危险废物产生情况详见表4-</w:t>
            </w:r>
            <w:r>
              <w:rPr>
                <w:rFonts w:hint="eastAsia" w:ascii="Times New Roman" w:hAnsi="Times New Roman" w:eastAsia="宋体" w:cs="Times New Roman"/>
                <w:color w:val="auto"/>
                <w:kern w:val="0"/>
                <w:sz w:val="24"/>
                <w:lang w:val="en-US" w:eastAsia="zh-CN"/>
              </w:rPr>
              <w:t>9。</w:t>
            </w:r>
          </w:p>
          <w:p w14:paraId="5CD3F461">
            <w:pPr>
              <w:keepNext w:val="0"/>
              <w:keepLines w:val="0"/>
              <w:pageBreakBefore w:val="0"/>
              <w:widowControl/>
              <w:kinsoku/>
              <w:wordWrap/>
              <w:overflowPunct/>
              <w:topLinePunct w:val="0"/>
              <w:bidi w:val="0"/>
              <w:adjustRightInd/>
              <w:snapToGrid/>
              <w:spacing w:line="240" w:lineRule="auto"/>
              <w:jc w:val="center"/>
              <w:textAlignment w:val="baseline"/>
              <w:rPr>
                <w:rFonts w:hint="default" w:ascii="Times New Roman" w:hAnsi="Times New Roman" w:eastAsia="宋体" w:cs="Times New Roman"/>
                <w:b/>
                <w:bCs/>
                <w:color w:val="auto"/>
                <w:kern w:val="0"/>
                <w:sz w:val="21"/>
                <w:szCs w:val="21"/>
                <w:lang w:eastAsia="zh-CN"/>
              </w:rPr>
            </w:pPr>
            <w:r>
              <w:rPr>
                <w:rFonts w:hint="default" w:ascii="Times New Roman" w:hAnsi="Times New Roman" w:eastAsia="宋体" w:cs="Times New Roman"/>
                <w:b/>
                <w:bCs/>
                <w:color w:val="auto"/>
                <w:kern w:val="0"/>
                <w:sz w:val="21"/>
                <w:szCs w:val="21"/>
                <w:lang w:eastAsia="zh-CN"/>
              </w:rPr>
              <w:t>表4-</w:t>
            </w:r>
            <w:r>
              <w:rPr>
                <w:rFonts w:hint="eastAsia" w:ascii="Times New Roman" w:hAnsi="Times New Roman" w:eastAsia="宋体" w:cs="Times New Roman"/>
                <w:b/>
                <w:bCs/>
                <w:color w:val="auto"/>
                <w:kern w:val="0"/>
                <w:sz w:val="21"/>
                <w:szCs w:val="21"/>
                <w:lang w:val="en-US" w:eastAsia="zh-CN"/>
              </w:rPr>
              <w:t>9</w:t>
            </w:r>
            <w:r>
              <w:rPr>
                <w:rFonts w:hint="default" w:ascii="Times New Roman" w:hAnsi="Times New Roman" w:cs="Times New Roman"/>
                <w:b/>
                <w:bCs/>
                <w:color w:val="auto"/>
                <w:kern w:val="0"/>
                <w:sz w:val="21"/>
                <w:szCs w:val="21"/>
                <w:lang w:val="en-US" w:eastAsia="zh-CN"/>
              </w:rPr>
              <w:t xml:space="preserve"> </w:t>
            </w:r>
            <w:r>
              <w:rPr>
                <w:rFonts w:hint="default" w:ascii="Times New Roman" w:hAnsi="Times New Roman" w:eastAsia="宋体" w:cs="Times New Roman"/>
                <w:b/>
                <w:bCs/>
                <w:color w:val="auto"/>
                <w:kern w:val="0"/>
                <w:sz w:val="21"/>
                <w:szCs w:val="21"/>
                <w:lang w:eastAsia="zh-CN"/>
              </w:rPr>
              <w:t>危险废物产生情况</w:t>
            </w:r>
          </w:p>
          <w:tbl>
            <w:tblPr>
              <w:tblStyle w:val="30"/>
              <w:tblW w:w="4994"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61"/>
              <w:gridCol w:w="643"/>
              <w:gridCol w:w="840"/>
              <w:gridCol w:w="1211"/>
              <w:gridCol w:w="788"/>
              <w:gridCol w:w="655"/>
              <w:gridCol w:w="520"/>
              <w:gridCol w:w="748"/>
              <w:gridCol w:w="829"/>
              <w:gridCol w:w="576"/>
              <w:gridCol w:w="646"/>
            </w:tblGrid>
            <w:tr w14:paraId="28AD12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32" w:hRule="atLeast"/>
                <w:jc w:val="center"/>
              </w:trPr>
              <w:tc>
                <w:tcPr>
                  <w:tcW w:w="291" w:type="pct"/>
                  <w:tcBorders>
                    <w:tl2br w:val="nil"/>
                    <w:tr2bl w:val="nil"/>
                  </w:tcBorders>
                  <w:vAlign w:val="center"/>
                </w:tcPr>
                <w:p w14:paraId="0FDCBC98">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序号</w:t>
                  </w:r>
                </w:p>
              </w:tc>
              <w:tc>
                <w:tcPr>
                  <w:tcW w:w="406" w:type="pct"/>
                  <w:tcBorders>
                    <w:tl2br w:val="nil"/>
                    <w:tr2bl w:val="nil"/>
                  </w:tcBorders>
                  <w:vAlign w:val="center"/>
                </w:tcPr>
                <w:p w14:paraId="75F445E8">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危险废物名称</w:t>
                  </w:r>
                </w:p>
              </w:tc>
              <w:tc>
                <w:tcPr>
                  <w:tcW w:w="530" w:type="pct"/>
                  <w:tcBorders>
                    <w:tl2br w:val="nil"/>
                    <w:tr2bl w:val="nil"/>
                  </w:tcBorders>
                  <w:vAlign w:val="center"/>
                </w:tcPr>
                <w:p w14:paraId="1E65C199">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危险废物类别</w:t>
                  </w:r>
                </w:p>
              </w:tc>
              <w:tc>
                <w:tcPr>
                  <w:tcW w:w="764" w:type="pct"/>
                  <w:tcBorders>
                    <w:tl2br w:val="nil"/>
                    <w:tr2bl w:val="nil"/>
                  </w:tcBorders>
                  <w:vAlign w:val="center"/>
                </w:tcPr>
                <w:p w14:paraId="43BAE54B">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危险废物代码</w:t>
                  </w:r>
                </w:p>
              </w:tc>
              <w:tc>
                <w:tcPr>
                  <w:tcW w:w="497" w:type="pct"/>
                  <w:tcBorders>
                    <w:tl2br w:val="nil"/>
                    <w:tr2bl w:val="nil"/>
                  </w:tcBorders>
                  <w:vAlign w:val="center"/>
                </w:tcPr>
                <w:p w14:paraId="49ED068C">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产生量（t/a）</w:t>
                  </w:r>
                </w:p>
              </w:tc>
              <w:tc>
                <w:tcPr>
                  <w:tcW w:w="413" w:type="pct"/>
                  <w:tcBorders>
                    <w:tl2br w:val="nil"/>
                    <w:tr2bl w:val="nil"/>
                  </w:tcBorders>
                  <w:vAlign w:val="center"/>
                </w:tcPr>
                <w:p w14:paraId="5807C847">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产生工序及置</w:t>
                  </w:r>
                </w:p>
              </w:tc>
              <w:tc>
                <w:tcPr>
                  <w:tcW w:w="328" w:type="pct"/>
                  <w:tcBorders>
                    <w:tl2br w:val="nil"/>
                    <w:tr2bl w:val="nil"/>
                  </w:tcBorders>
                  <w:vAlign w:val="center"/>
                </w:tcPr>
                <w:p w14:paraId="64553F0E">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形态</w:t>
                  </w:r>
                </w:p>
              </w:tc>
              <w:tc>
                <w:tcPr>
                  <w:tcW w:w="472" w:type="pct"/>
                  <w:tcBorders>
                    <w:tl2br w:val="nil"/>
                    <w:tr2bl w:val="nil"/>
                  </w:tcBorders>
                  <w:vAlign w:val="center"/>
                </w:tcPr>
                <w:p w14:paraId="33640539">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主要成分</w:t>
                  </w:r>
                </w:p>
              </w:tc>
              <w:tc>
                <w:tcPr>
                  <w:tcW w:w="523" w:type="pct"/>
                  <w:tcBorders>
                    <w:tl2br w:val="nil"/>
                    <w:tr2bl w:val="nil"/>
                  </w:tcBorders>
                  <w:vAlign w:val="center"/>
                </w:tcPr>
                <w:p w14:paraId="2C3A6CEE">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有害</w:t>
                  </w:r>
                </w:p>
                <w:p w14:paraId="53646EEE">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成分</w:t>
                  </w:r>
                </w:p>
              </w:tc>
              <w:tc>
                <w:tcPr>
                  <w:tcW w:w="363" w:type="pct"/>
                  <w:tcBorders>
                    <w:tl2br w:val="nil"/>
                    <w:tr2bl w:val="nil"/>
                  </w:tcBorders>
                  <w:vAlign w:val="center"/>
                </w:tcPr>
                <w:p w14:paraId="74AE580C">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产废周期</w:t>
                  </w:r>
                </w:p>
              </w:tc>
              <w:tc>
                <w:tcPr>
                  <w:tcW w:w="407" w:type="pct"/>
                  <w:tcBorders>
                    <w:tl2br w:val="nil"/>
                    <w:tr2bl w:val="nil"/>
                  </w:tcBorders>
                  <w:vAlign w:val="center"/>
                </w:tcPr>
                <w:p w14:paraId="7821E9B3">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w:t>
                  </w:r>
                </w:p>
                <w:p w14:paraId="3B644359">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特性</w:t>
                  </w:r>
                </w:p>
              </w:tc>
            </w:tr>
            <w:tr w14:paraId="2E874C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291" w:type="pct"/>
                  <w:tcBorders>
                    <w:tl2br w:val="nil"/>
                    <w:tr2bl w:val="nil"/>
                  </w:tcBorders>
                  <w:vAlign w:val="center"/>
                </w:tcPr>
                <w:p w14:paraId="60495B61">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406" w:type="pct"/>
                  <w:tcBorders>
                    <w:tl2br w:val="nil"/>
                    <w:tr2bl w:val="nil"/>
                  </w:tcBorders>
                  <w:vAlign w:val="center"/>
                </w:tcPr>
                <w:p w14:paraId="44566329">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废机油</w:t>
                  </w:r>
                </w:p>
              </w:tc>
              <w:tc>
                <w:tcPr>
                  <w:tcW w:w="530" w:type="pct"/>
                  <w:tcBorders>
                    <w:tl2br w:val="nil"/>
                    <w:tr2bl w:val="nil"/>
                  </w:tcBorders>
                  <w:vAlign w:val="center"/>
                </w:tcPr>
                <w:p w14:paraId="3216FC91">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HW08</w:t>
                  </w:r>
                </w:p>
              </w:tc>
              <w:tc>
                <w:tcPr>
                  <w:tcW w:w="764" w:type="pct"/>
                  <w:tcBorders>
                    <w:tl2br w:val="nil"/>
                    <w:tr2bl w:val="nil"/>
                  </w:tcBorders>
                  <w:vAlign w:val="center"/>
                </w:tcPr>
                <w:p w14:paraId="21366668">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900-214-08</w:t>
                  </w:r>
                </w:p>
              </w:tc>
              <w:tc>
                <w:tcPr>
                  <w:tcW w:w="497" w:type="pct"/>
                  <w:tcBorders>
                    <w:tl2br w:val="nil"/>
                    <w:tr2bl w:val="nil"/>
                  </w:tcBorders>
                  <w:vAlign w:val="center"/>
                </w:tcPr>
                <w:p w14:paraId="2EB32149">
                  <w:pPr>
                    <w:keepNext w:val="0"/>
                    <w:keepLines w:val="0"/>
                    <w:pageBreakBefore w:val="0"/>
                    <w:widowControl w:val="0"/>
                    <w:kinsoku/>
                    <w:wordWrap/>
                    <w:overflowPunct/>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0.01</w:t>
                  </w:r>
                </w:p>
              </w:tc>
              <w:tc>
                <w:tcPr>
                  <w:tcW w:w="413" w:type="pct"/>
                  <w:vMerge w:val="restart"/>
                  <w:tcBorders>
                    <w:tl2br w:val="nil"/>
                    <w:tr2bl w:val="nil"/>
                  </w:tcBorders>
                  <w:vAlign w:val="center"/>
                </w:tcPr>
                <w:p w14:paraId="4AB05A0C">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设备维修、检修</w:t>
                  </w:r>
                </w:p>
              </w:tc>
              <w:tc>
                <w:tcPr>
                  <w:tcW w:w="328" w:type="pct"/>
                  <w:tcBorders>
                    <w:tl2br w:val="nil"/>
                    <w:tr2bl w:val="nil"/>
                  </w:tcBorders>
                  <w:vAlign w:val="center"/>
                </w:tcPr>
                <w:p w14:paraId="47AEF466">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液态</w:t>
                  </w:r>
                </w:p>
              </w:tc>
              <w:tc>
                <w:tcPr>
                  <w:tcW w:w="472" w:type="pct"/>
                  <w:vMerge w:val="restart"/>
                  <w:tcBorders>
                    <w:tl2br w:val="nil"/>
                    <w:tr2bl w:val="nil"/>
                  </w:tcBorders>
                  <w:vAlign w:val="center"/>
                </w:tcPr>
                <w:p w14:paraId="1933A516">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废机油</w:t>
                  </w:r>
                </w:p>
              </w:tc>
              <w:tc>
                <w:tcPr>
                  <w:tcW w:w="523" w:type="pct"/>
                  <w:vMerge w:val="restart"/>
                  <w:tcBorders>
                    <w:tl2br w:val="nil"/>
                    <w:tr2bl w:val="nil"/>
                  </w:tcBorders>
                  <w:vAlign w:val="center"/>
                </w:tcPr>
                <w:p w14:paraId="7F66F7A2">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废机油</w:t>
                  </w:r>
                </w:p>
              </w:tc>
              <w:tc>
                <w:tcPr>
                  <w:tcW w:w="363" w:type="pct"/>
                  <w:tcBorders>
                    <w:tl2br w:val="nil"/>
                    <w:tr2bl w:val="nil"/>
                  </w:tcBorders>
                  <w:vAlign w:val="center"/>
                </w:tcPr>
                <w:p w14:paraId="6190A913">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季度</w:t>
                  </w:r>
                </w:p>
              </w:tc>
              <w:tc>
                <w:tcPr>
                  <w:tcW w:w="407" w:type="pct"/>
                  <w:tcBorders>
                    <w:tl2br w:val="nil"/>
                    <w:tr2bl w:val="nil"/>
                  </w:tcBorders>
                  <w:vAlign w:val="center"/>
                </w:tcPr>
                <w:p w14:paraId="39C013EF">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T/I</w:t>
                  </w:r>
                </w:p>
              </w:tc>
            </w:tr>
            <w:tr w14:paraId="2734F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29" w:hRule="atLeast"/>
                <w:jc w:val="center"/>
              </w:trPr>
              <w:tc>
                <w:tcPr>
                  <w:tcW w:w="291" w:type="pct"/>
                  <w:tcBorders>
                    <w:tl2br w:val="nil"/>
                    <w:tr2bl w:val="nil"/>
                  </w:tcBorders>
                  <w:vAlign w:val="center"/>
                </w:tcPr>
                <w:p w14:paraId="1EDEEEC2">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2</w:t>
                  </w:r>
                </w:p>
              </w:tc>
              <w:tc>
                <w:tcPr>
                  <w:tcW w:w="406" w:type="pct"/>
                  <w:tcBorders>
                    <w:tl2br w:val="nil"/>
                    <w:tr2bl w:val="nil"/>
                  </w:tcBorders>
                  <w:vAlign w:val="center"/>
                </w:tcPr>
                <w:p w14:paraId="4B5196CC">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废含油抹布</w:t>
                  </w:r>
                </w:p>
              </w:tc>
              <w:tc>
                <w:tcPr>
                  <w:tcW w:w="530" w:type="pct"/>
                  <w:tcBorders>
                    <w:tl2br w:val="nil"/>
                    <w:tr2bl w:val="nil"/>
                  </w:tcBorders>
                  <w:vAlign w:val="center"/>
                </w:tcPr>
                <w:p w14:paraId="0C580059">
                  <w:pPr>
                    <w:keepNext w:val="0"/>
                    <w:keepLines w:val="0"/>
                    <w:pageBreakBefore w:val="0"/>
                    <w:widowControl w:val="0"/>
                    <w:kinsoku/>
                    <w:wordWrap/>
                    <w:overflowPunct/>
                    <w:autoSpaceDE/>
                    <w:autoSpaceDN/>
                    <w:bidi w:val="0"/>
                    <w:adjustRightInd/>
                    <w:snapToGrid/>
                    <w:spacing w:line="240" w:lineRule="auto"/>
                    <w:jc w:val="center"/>
                    <w:textAlignment w:val="auto"/>
                    <w:rPr>
                      <w:rFonts w:hint="default" w:ascii="Times New Roman" w:hAnsi="Times New Roman" w:eastAsia="宋体" w:cs="Times New Roman"/>
                      <w:bCs/>
                      <w:color w:val="auto"/>
                      <w:spacing w:val="-10"/>
                      <w:sz w:val="21"/>
                      <w:szCs w:val="21"/>
                      <w:highlight w:val="none"/>
                      <w:lang w:val="en-US" w:eastAsia="zh-CN"/>
                    </w:rPr>
                  </w:pPr>
                  <w:r>
                    <w:rPr>
                      <w:rFonts w:hint="default" w:ascii="Times New Roman" w:hAnsi="Times New Roman" w:eastAsia="宋体" w:cs="Times New Roman"/>
                      <w:bCs/>
                      <w:color w:val="auto"/>
                      <w:spacing w:val="-10"/>
                      <w:sz w:val="21"/>
                      <w:szCs w:val="21"/>
                      <w:highlight w:val="none"/>
                    </w:rPr>
                    <w:t>HW</w:t>
                  </w:r>
                  <w:r>
                    <w:rPr>
                      <w:rFonts w:hint="eastAsia" w:ascii="Times New Roman" w:hAnsi="Times New Roman" w:eastAsia="宋体" w:cs="Times New Roman"/>
                      <w:bCs/>
                      <w:color w:val="auto"/>
                      <w:spacing w:val="-10"/>
                      <w:sz w:val="21"/>
                      <w:szCs w:val="21"/>
                      <w:highlight w:val="none"/>
                      <w:lang w:val="en-US" w:eastAsia="zh-CN"/>
                    </w:rPr>
                    <w:t>08</w:t>
                  </w:r>
                </w:p>
              </w:tc>
              <w:tc>
                <w:tcPr>
                  <w:tcW w:w="764" w:type="pct"/>
                  <w:tcBorders>
                    <w:tl2br w:val="nil"/>
                    <w:tr2bl w:val="nil"/>
                  </w:tcBorders>
                  <w:vAlign w:val="center"/>
                </w:tcPr>
                <w:p w14:paraId="459E43F3">
                  <w:pPr>
                    <w:keepNext w:val="0"/>
                    <w:keepLines w:val="0"/>
                    <w:pageBreakBefore w:val="0"/>
                    <w:widowControl w:val="0"/>
                    <w:kinsoku/>
                    <w:wordWrap/>
                    <w:overflowPunct/>
                    <w:autoSpaceDE/>
                    <w:autoSpaceDN/>
                    <w:bidi w:val="0"/>
                    <w:adjustRightInd/>
                    <w:snapToGrid/>
                    <w:spacing w:line="240" w:lineRule="auto"/>
                    <w:jc w:val="center"/>
                    <w:textAlignment w:val="auto"/>
                    <w:rPr>
                      <w:rFonts w:hint="default" w:ascii="Times New Roman" w:hAnsi="Times New Roman" w:eastAsia="宋体" w:cs="Times New Roman"/>
                      <w:bCs/>
                      <w:color w:val="auto"/>
                      <w:spacing w:val="-10"/>
                      <w:sz w:val="21"/>
                      <w:szCs w:val="21"/>
                      <w:highlight w:val="none"/>
                    </w:rPr>
                  </w:pPr>
                  <w:r>
                    <w:rPr>
                      <w:rFonts w:hint="default" w:ascii="Times New Roman" w:hAnsi="Times New Roman" w:eastAsia="宋体" w:cs="Times New Roman"/>
                      <w:bCs/>
                      <w:color w:val="auto"/>
                      <w:spacing w:val="-10"/>
                      <w:sz w:val="21"/>
                      <w:szCs w:val="21"/>
                      <w:highlight w:val="none"/>
                      <w:lang w:eastAsia="zh-CN"/>
                    </w:rPr>
                    <w:t>900-</w:t>
                  </w:r>
                  <w:r>
                    <w:rPr>
                      <w:rFonts w:hint="default" w:ascii="Times New Roman" w:hAnsi="Times New Roman" w:eastAsia="宋体" w:cs="Times New Roman"/>
                      <w:bCs/>
                      <w:color w:val="auto"/>
                      <w:spacing w:val="-10"/>
                      <w:sz w:val="21"/>
                      <w:szCs w:val="21"/>
                      <w:highlight w:val="none"/>
                      <w:lang w:val="en-US" w:eastAsia="zh-CN"/>
                    </w:rPr>
                    <w:t>249</w:t>
                  </w:r>
                  <w:r>
                    <w:rPr>
                      <w:rFonts w:hint="default" w:ascii="Times New Roman" w:hAnsi="Times New Roman" w:eastAsia="宋体" w:cs="Times New Roman"/>
                      <w:bCs/>
                      <w:color w:val="auto"/>
                      <w:spacing w:val="-10"/>
                      <w:sz w:val="21"/>
                      <w:szCs w:val="21"/>
                      <w:highlight w:val="none"/>
                      <w:lang w:eastAsia="zh-CN"/>
                    </w:rPr>
                    <w:t>-</w:t>
                  </w:r>
                  <w:r>
                    <w:rPr>
                      <w:rFonts w:hint="default" w:ascii="Times New Roman" w:hAnsi="Times New Roman" w:eastAsia="宋体" w:cs="Times New Roman"/>
                      <w:bCs/>
                      <w:color w:val="auto"/>
                      <w:spacing w:val="-10"/>
                      <w:sz w:val="21"/>
                      <w:szCs w:val="21"/>
                      <w:highlight w:val="none"/>
                      <w:lang w:val="en-US" w:eastAsia="zh-CN"/>
                    </w:rPr>
                    <w:t>08</w:t>
                  </w:r>
                </w:p>
              </w:tc>
              <w:tc>
                <w:tcPr>
                  <w:tcW w:w="497" w:type="pct"/>
                  <w:tcBorders>
                    <w:tl2br w:val="nil"/>
                    <w:tr2bl w:val="nil"/>
                  </w:tcBorders>
                  <w:vAlign w:val="center"/>
                </w:tcPr>
                <w:p w14:paraId="6EBA942F">
                  <w:pPr>
                    <w:keepNext w:val="0"/>
                    <w:keepLines w:val="0"/>
                    <w:pageBreakBefore w:val="0"/>
                    <w:widowControl w:val="0"/>
                    <w:kinsoku/>
                    <w:wordWrap/>
                    <w:overflowPunct/>
                    <w:autoSpaceDE/>
                    <w:autoSpaceDN/>
                    <w:bidi w:val="0"/>
                    <w:adjustRightInd/>
                    <w:snapToGrid/>
                    <w:spacing w:line="240" w:lineRule="auto"/>
                    <w:jc w:val="center"/>
                    <w:textAlignment w:val="auto"/>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0.005</w:t>
                  </w:r>
                </w:p>
              </w:tc>
              <w:tc>
                <w:tcPr>
                  <w:tcW w:w="413" w:type="pct"/>
                  <w:vMerge w:val="continue"/>
                  <w:tcBorders>
                    <w:tl2br w:val="nil"/>
                    <w:tr2bl w:val="nil"/>
                  </w:tcBorders>
                  <w:vAlign w:val="center"/>
                </w:tcPr>
                <w:p w14:paraId="171FDF37">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328" w:type="pct"/>
                  <w:tcBorders>
                    <w:tl2br w:val="nil"/>
                    <w:tr2bl w:val="nil"/>
                  </w:tcBorders>
                  <w:vAlign w:val="center"/>
                </w:tcPr>
                <w:p w14:paraId="68DDEB77">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固态</w:t>
                  </w:r>
                </w:p>
              </w:tc>
              <w:tc>
                <w:tcPr>
                  <w:tcW w:w="472" w:type="pct"/>
                  <w:vMerge w:val="continue"/>
                  <w:tcBorders>
                    <w:tl2br w:val="nil"/>
                    <w:tr2bl w:val="nil"/>
                  </w:tcBorders>
                  <w:vAlign w:val="center"/>
                </w:tcPr>
                <w:p w14:paraId="5ECB3CDA">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523" w:type="pct"/>
                  <w:vMerge w:val="continue"/>
                  <w:tcBorders>
                    <w:tl2br w:val="nil"/>
                    <w:tr2bl w:val="nil"/>
                  </w:tcBorders>
                  <w:vAlign w:val="center"/>
                </w:tcPr>
                <w:p w14:paraId="6CAF4947">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rPr>
                  </w:pPr>
                </w:p>
              </w:tc>
              <w:tc>
                <w:tcPr>
                  <w:tcW w:w="363" w:type="pct"/>
                  <w:tcBorders>
                    <w:tl2br w:val="nil"/>
                    <w:tr2bl w:val="nil"/>
                  </w:tcBorders>
                  <w:vAlign w:val="center"/>
                </w:tcPr>
                <w:p w14:paraId="6D18B4F7">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月</w:t>
                  </w:r>
                </w:p>
              </w:tc>
              <w:tc>
                <w:tcPr>
                  <w:tcW w:w="407" w:type="pct"/>
                  <w:tcBorders>
                    <w:tl2br w:val="nil"/>
                    <w:tr2bl w:val="nil"/>
                  </w:tcBorders>
                  <w:vAlign w:val="center"/>
                </w:tcPr>
                <w:p w14:paraId="13961D51">
                  <w:pPr>
                    <w:keepNext w:val="0"/>
                    <w:keepLines w:val="0"/>
                    <w:pageBreakBefore w:val="0"/>
                    <w:widowControl w:val="0"/>
                    <w:kinsoku/>
                    <w:wordWrap/>
                    <w:overflowPunct/>
                    <w:topLinePunct/>
                    <w:autoSpaceDE/>
                    <w:autoSpaceDN/>
                    <w:bidi w:val="0"/>
                    <w:adjustRightInd/>
                    <w:snapToGrid/>
                    <w:spacing w:line="240" w:lineRule="auto"/>
                    <w:jc w:val="center"/>
                    <w:textAlignment w:val="auto"/>
                    <w:rPr>
                      <w:rFonts w:hint="default" w:ascii="Times New Roman" w:hAnsi="Times New Roman" w:eastAsia="宋体" w:cs="Times New Roman"/>
                      <w:bCs/>
                      <w:color w:val="auto"/>
                      <w:spacing w:val="-10"/>
                      <w:sz w:val="21"/>
                      <w:szCs w:val="21"/>
                      <w:highlight w:val="none"/>
                    </w:rPr>
                  </w:pPr>
                  <w:r>
                    <w:rPr>
                      <w:rFonts w:hint="default" w:ascii="Times New Roman" w:hAnsi="Times New Roman" w:eastAsia="宋体" w:cs="Times New Roman"/>
                      <w:bCs/>
                      <w:color w:val="auto"/>
                      <w:spacing w:val="-10"/>
                      <w:sz w:val="21"/>
                      <w:szCs w:val="21"/>
                      <w:highlight w:val="none"/>
                    </w:rPr>
                    <w:t>T/In</w:t>
                  </w:r>
                </w:p>
              </w:tc>
            </w:tr>
          </w:tbl>
          <w:p w14:paraId="313551C3">
            <w:pPr>
              <w:autoSpaceDE w:val="0"/>
              <w:autoSpaceDN w:val="0"/>
              <w:spacing w:line="24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表4-1</w:t>
            </w:r>
            <w:r>
              <w:rPr>
                <w:rFonts w:hint="eastAsia" w:ascii="Times New Roman" w:hAnsi="Times New Roman" w:cs="Times New Roman"/>
                <w:b/>
                <w:bCs/>
                <w:color w:val="auto"/>
                <w:sz w:val="21"/>
                <w:szCs w:val="21"/>
                <w:highlight w:val="none"/>
                <w:lang w:val="en-US" w:eastAsia="zh-CN"/>
              </w:rPr>
              <w:t>0</w:t>
            </w:r>
            <w:r>
              <w:rPr>
                <w:rFonts w:hint="default" w:ascii="Times New Roman" w:hAnsi="Times New Roman" w:eastAsia="宋体" w:cs="Times New Roman"/>
                <w:b/>
                <w:bCs/>
                <w:color w:val="auto"/>
                <w:sz w:val="21"/>
                <w:szCs w:val="21"/>
                <w:highlight w:val="none"/>
                <w:lang w:val="en-US" w:eastAsia="zh-CN"/>
              </w:rPr>
              <w:t xml:space="preserve"> </w:t>
            </w:r>
            <w:r>
              <w:rPr>
                <w:rFonts w:hint="default" w:ascii="Times New Roman" w:hAnsi="Times New Roman" w:eastAsia="宋体" w:cs="Times New Roman"/>
                <w:b/>
                <w:bCs/>
                <w:color w:val="auto"/>
                <w:sz w:val="21"/>
                <w:szCs w:val="21"/>
                <w:highlight w:val="none"/>
              </w:rPr>
              <w:t>本项目危险废物贮存场所（设施）基本情况</w:t>
            </w:r>
          </w:p>
          <w:tbl>
            <w:tblPr>
              <w:tblStyle w:val="30"/>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2"/>
              <w:gridCol w:w="679"/>
              <w:gridCol w:w="953"/>
              <w:gridCol w:w="833"/>
              <w:gridCol w:w="1067"/>
              <w:gridCol w:w="600"/>
              <w:gridCol w:w="783"/>
              <w:gridCol w:w="2532"/>
            </w:tblGrid>
            <w:tr w14:paraId="48BFAF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8" w:type="pct"/>
                  <w:tcBorders>
                    <w:tl2br w:val="nil"/>
                    <w:tr2bl w:val="nil"/>
                  </w:tcBorders>
                  <w:vAlign w:val="center"/>
                </w:tcPr>
                <w:p w14:paraId="7A591385">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序号</w:t>
                  </w:r>
                </w:p>
              </w:tc>
              <w:tc>
                <w:tcPr>
                  <w:tcW w:w="428" w:type="pct"/>
                  <w:tcBorders>
                    <w:tl2br w:val="nil"/>
                    <w:tr2bl w:val="nil"/>
                  </w:tcBorders>
                  <w:vAlign w:val="center"/>
                </w:tcPr>
                <w:p w14:paraId="4ED9594B">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贮存场所（设施）名称</w:t>
                  </w:r>
                </w:p>
              </w:tc>
              <w:tc>
                <w:tcPr>
                  <w:tcW w:w="601" w:type="pct"/>
                  <w:tcBorders>
                    <w:tl2br w:val="nil"/>
                    <w:tr2bl w:val="nil"/>
                  </w:tcBorders>
                  <w:vAlign w:val="center"/>
                </w:tcPr>
                <w:p w14:paraId="40944125">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危险废物名称</w:t>
                  </w:r>
                </w:p>
              </w:tc>
              <w:tc>
                <w:tcPr>
                  <w:tcW w:w="525" w:type="pct"/>
                  <w:tcBorders>
                    <w:tl2br w:val="nil"/>
                    <w:tr2bl w:val="nil"/>
                  </w:tcBorders>
                  <w:vAlign w:val="center"/>
                </w:tcPr>
                <w:p w14:paraId="15711D57">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危险废物类别</w:t>
                  </w:r>
                </w:p>
              </w:tc>
              <w:tc>
                <w:tcPr>
                  <w:tcW w:w="673" w:type="pct"/>
                  <w:tcBorders>
                    <w:tl2br w:val="nil"/>
                    <w:tr2bl w:val="nil"/>
                  </w:tcBorders>
                  <w:vAlign w:val="center"/>
                </w:tcPr>
                <w:p w14:paraId="44C7D47E">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危险废物代码</w:t>
                  </w:r>
                </w:p>
              </w:tc>
              <w:tc>
                <w:tcPr>
                  <w:tcW w:w="378" w:type="pct"/>
                  <w:tcBorders>
                    <w:tl2br w:val="nil"/>
                    <w:tr2bl w:val="nil"/>
                  </w:tcBorders>
                  <w:vAlign w:val="center"/>
                </w:tcPr>
                <w:p w14:paraId="736F3D09">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w:t>
                  </w:r>
                </w:p>
                <w:p w14:paraId="261CEC5B">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能力</w:t>
                  </w:r>
                </w:p>
              </w:tc>
              <w:tc>
                <w:tcPr>
                  <w:tcW w:w="494" w:type="pct"/>
                  <w:tcBorders>
                    <w:tl2br w:val="nil"/>
                    <w:tr2bl w:val="nil"/>
                  </w:tcBorders>
                  <w:vAlign w:val="center"/>
                </w:tcPr>
                <w:p w14:paraId="47522606">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贮存</w:t>
                  </w:r>
                </w:p>
                <w:p w14:paraId="209CB54F">
                  <w:pPr>
                    <w:topLinePunct/>
                    <w:spacing w:line="240" w:lineRule="auto"/>
                    <w:jc w:val="center"/>
                    <w:rPr>
                      <w:rFonts w:hint="default" w:ascii="Times New Roman" w:hAnsi="Times New Roman" w:eastAsia="宋体" w:cs="Times New Roman"/>
                      <w:b/>
                      <w:color w:val="auto"/>
                      <w:kern w:val="0"/>
                      <w:sz w:val="21"/>
                      <w:szCs w:val="21"/>
                      <w:highlight w:val="none"/>
                    </w:rPr>
                  </w:pPr>
                  <w:r>
                    <w:rPr>
                      <w:rFonts w:hint="default" w:ascii="Times New Roman" w:hAnsi="Times New Roman" w:eastAsia="宋体" w:cs="Times New Roman"/>
                      <w:b/>
                      <w:color w:val="auto"/>
                      <w:kern w:val="0"/>
                      <w:sz w:val="21"/>
                      <w:szCs w:val="21"/>
                      <w:highlight w:val="none"/>
                    </w:rPr>
                    <w:t>周期</w:t>
                  </w:r>
                </w:p>
              </w:tc>
              <w:tc>
                <w:tcPr>
                  <w:tcW w:w="1598" w:type="pct"/>
                  <w:tcBorders>
                    <w:tl2br w:val="nil"/>
                    <w:tr2bl w:val="nil"/>
                  </w:tcBorders>
                  <w:vAlign w:val="center"/>
                </w:tcPr>
                <w:p w14:paraId="4BED24CC">
                  <w:pPr>
                    <w:topLinePunct/>
                    <w:spacing w:line="240" w:lineRule="auto"/>
                    <w:jc w:val="center"/>
                    <w:rPr>
                      <w:rFonts w:hint="eastAsia" w:ascii="Times New Roman" w:hAnsi="Times New Roman" w:eastAsia="宋体" w:cs="Times New Roman"/>
                      <w:b/>
                      <w:color w:val="auto"/>
                      <w:kern w:val="0"/>
                      <w:sz w:val="21"/>
                      <w:szCs w:val="21"/>
                      <w:highlight w:val="none"/>
                      <w:lang w:eastAsia="zh-CN"/>
                    </w:rPr>
                  </w:pPr>
                  <w:r>
                    <w:rPr>
                      <w:rFonts w:hint="eastAsia" w:ascii="Times New Roman" w:hAnsi="Times New Roman" w:eastAsia="宋体" w:cs="Times New Roman"/>
                      <w:b/>
                      <w:color w:val="auto"/>
                      <w:kern w:val="0"/>
                      <w:sz w:val="21"/>
                      <w:szCs w:val="21"/>
                      <w:highlight w:val="none"/>
                      <w:lang w:eastAsia="zh-CN"/>
                    </w:rPr>
                    <w:t>治理措施</w:t>
                  </w:r>
                </w:p>
              </w:tc>
            </w:tr>
            <w:tr w14:paraId="09DE85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8" w:type="pct"/>
                  <w:tcBorders>
                    <w:tl2br w:val="nil"/>
                    <w:tr2bl w:val="nil"/>
                  </w:tcBorders>
                  <w:vAlign w:val="center"/>
                </w:tcPr>
                <w:p w14:paraId="0100B51E">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1</w:t>
                  </w:r>
                </w:p>
              </w:tc>
              <w:tc>
                <w:tcPr>
                  <w:tcW w:w="428" w:type="pct"/>
                  <w:vMerge w:val="restart"/>
                  <w:tcBorders>
                    <w:tl2br w:val="nil"/>
                    <w:tr2bl w:val="nil"/>
                  </w:tcBorders>
                  <w:vAlign w:val="center"/>
                </w:tcPr>
                <w:p w14:paraId="0FEE0C80">
                  <w:pPr>
                    <w:topLinePunct/>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危险废物</w:t>
                  </w:r>
                  <w:r>
                    <w:rPr>
                      <w:rFonts w:hint="eastAsia" w:ascii="Times New Roman" w:hAnsi="Times New Roman" w:cs="Times New Roman"/>
                      <w:color w:val="auto"/>
                      <w:sz w:val="21"/>
                      <w:szCs w:val="21"/>
                      <w:lang w:val="en-US" w:eastAsia="zh-CN"/>
                    </w:rPr>
                    <w:t>暂存间</w:t>
                  </w:r>
                </w:p>
              </w:tc>
              <w:tc>
                <w:tcPr>
                  <w:tcW w:w="601" w:type="pct"/>
                  <w:tcBorders>
                    <w:tl2br w:val="nil"/>
                    <w:tr2bl w:val="nil"/>
                  </w:tcBorders>
                  <w:vAlign w:val="center"/>
                </w:tcPr>
                <w:p w14:paraId="1F7DC5EC">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废机油</w:t>
                  </w:r>
                </w:p>
              </w:tc>
              <w:tc>
                <w:tcPr>
                  <w:tcW w:w="525" w:type="pct"/>
                  <w:tcBorders>
                    <w:tl2br w:val="nil"/>
                    <w:tr2bl w:val="nil"/>
                  </w:tcBorders>
                  <w:vAlign w:val="center"/>
                </w:tcPr>
                <w:p w14:paraId="6AD637A9">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HW08</w:t>
                  </w:r>
                </w:p>
              </w:tc>
              <w:tc>
                <w:tcPr>
                  <w:tcW w:w="673" w:type="pct"/>
                  <w:tcBorders>
                    <w:tl2br w:val="nil"/>
                    <w:tr2bl w:val="nil"/>
                  </w:tcBorders>
                  <w:vAlign w:val="center"/>
                </w:tcPr>
                <w:p w14:paraId="12F771DE">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rPr>
                  </w:pPr>
                  <w:r>
                    <w:rPr>
                      <w:rFonts w:hint="default" w:ascii="Times New Roman" w:hAnsi="Times New Roman" w:eastAsia="宋体" w:cs="Times New Roman"/>
                      <w:color w:val="auto"/>
                      <w:kern w:val="0"/>
                      <w:sz w:val="21"/>
                      <w:szCs w:val="21"/>
                      <w:highlight w:val="none"/>
                    </w:rPr>
                    <w:t>900-214-08</w:t>
                  </w:r>
                </w:p>
              </w:tc>
              <w:tc>
                <w:tcPr>
                  <w:tcW w:w="378" w:type="pct"/>
                  <w:vMerge w:val="restart"/>
                  <w:tcBorders>
                    <w:tl2br w:val="nil"/>
                    <w:tr2bl w:val="nil"/>
                  </w:tcBorders>
                  <w:vAlign w:val="center"/>
                </w:tcPr>
                <w:p w14:paraId="6C1762FA">
                  <w:pPr>
                    <w:topLinePunct/>
                    <w:spacing w:line="240" w:lineRule="auto"/>
                    <w:jc w:val="center"/>
                    <w:rPr>
                      <w:rFonts w:hint="default" w:ascii="Times New Roman" w:hAnsi="Times New Roman" w:eastAsia="宋体" w:cs="Times New Roman"/>
                      <w:color w:val="auto"/>
                      <w:kern w:val="0"/>
                      <w:sz w:val="21"/>
                      <w:szCs w:val="21"/>
                      <w:highlight w:val="none"/>
                    </w:rPr>
                  </w:pPr>
                  <w:r>
                    <w:rPr>
                      <w:rFonts w:hint="eastAsia" w:ascii="Times New Roman" w:hAnsi="Times New Roman" w:cs="Times New Roman"/>
                      <w:color w:val="auto"/>
                      <w:kern w:val="0"/>
                      <w:sz w:val="21"/>
                      <w:szCs w:val="21"/>
                      <w:highlight w:val="none"/>
                      <w:lang w:val="en-US" w:eastAsia="zh-CN"/>
                    </w:rPr>
                    <w:t>1</w:t>
                  </w:r>
                  <w:r>
                    <w:rPr>
                      <w:rFonts w:hint="default" w:ascii="Times New Roman" w:hAnsi="Times New Roman" w:cs="Times New Roman"/>
                      <w:color w:val="auto"/>
                      <w:kern w:val="0"/>
                      <w:sz w:val="21"/>
                      <w:szCs w:val="21"/>
                      <w:highlight w:val="none"/>
                      <w:lang w:val="en-US" w:eastAsia="zh-CN"/>
                    </w:rPr>
                    <w:t>0</w:t>
                  </w:r>
                  <w:r>
                    <w:rPr>
                      <w:rFonts w:hint="default" w:ascii="Times New Roman" w:hAnsi="Times New Roman" w:eastAsia="宋体" w:cs="Times New Roman"/>
                      <w:color w:val="auto"/>
                      <w:kern w:val="0"/>
                      <w:sz w:val="21"/>
                      <w:szCs w:val="21"/>
                      <w:highlight w:val="none"/>
                    </w:rPr>
                    <w:t>t</w:t>
                  </w:r>
                </w:p>
              </w:tc>
              <w:tc>
                <w:tcPr>
                  <w:tcW w:w="494" w:type="pct"/>
                  <w:vMerge w:val="restart"/>
                  <w:tcBorders>
                    <w:tl2br w:val="nil"/>
                    <w:tr2bl w:val="nil"/>
                  </w:tcBorders>
                  <w:vAlign w:val="center"/>
                </w:tcPr>
                <w:p w14:paraId="555BEE07">
                  <w:pPr>
                    <w:topLinePunct/>
                    <w:spacing w:line="240" w:lineRule="auto"/>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Times New Roman"/>
                      <w:color w:val="auto"/>
                      <w:kern w:val="0"/>
                      <w:sz w:val="21"/>
                      <w:szCs w:val="21"/>
                      <w:highlight w:val="none"/>
                      <w:lang w:val="en-US" w:eastAsia="zh-CN"/>
                    </w:rPr>
                    <w:t>1</w:t>
                  </w:r>
                  <w:r>
                    <w:rPr>
                      <w:rFonts w:hint="default" w:ascii="Times New Roman" w:hAnsi="Times New Roman" w:eastAsia="宋体" w:cs="Times New Roman"/>
                      <w:color w:val="auto"/>
                      <w:kern w:val="0"/>
                      <w:sz w:val="21"/>
                      <w:szCs w:val="21"/>
                      <w:highlight w:val="none"/>
                    </w:rPr>
                    <w:t>年</w:t>
                  </w:r>
                </w:p>
              </w:tc>
              <w:tc>
                <w:tcPr>
                  <w:tcW w:w="1598" w:type="pct"/>
                  <w:vMerge w:val="restart"/>
                  <w:tcBorders>
                    <w:tl2br w:val="nil"/>
                    <w:tr2bl w:val="nil"/>
                  </w:tcBorders>
                  <w:vAlign w:val="center"/>
                </w:tcPr>
                <w:p w14:paraId="383D4C00">
                  <w:pPr>
                    <w:topLinePunct/>
                    <w:spacing w:line="240" w:lineRule="auto"/>
                    <w:jc w:val="center"/>
                    <w:rPr>
                      <w:rFonts w:hint="default" w:ascii="Times New Roman" w:hAnsi="Times New Roman" w:eastAsia="宋体" w:cs="Times New Roman"/>
                      <w:color w:val="auto"/>
                      <w:kern w:val="0"/>
                      <w:sz w:val="21"/>
                      <w:szCs w:val="21"/>
                      <w:highlight w:val="none"/>
                    </w:rPr>
                  </w:pPr>
                  <w:r>
                    <w:rPr>
                      <w:rFonts w:hint="eastAsia" w:ascii="Times New Roman" w:hAnsi="Times New Roman" w:eastAsia="宋体" w:cs="宋体"/>
                      <w:bCs/>
                      <w:caps w:val="0"/>
                      <w:color w:val="auto"/>
                      <w:sz w:val="21"/>
                      <w:szCs w:val="21"/>
                      <w:highlight w:val="none"/>
                    </w:rPr>
                    <w:t>密闭容器分类收集，分区暂存于</w:t>
                  </w:r>
                  <w:r>
                    <w:rPr>
                      <w:rFonts w:hint="eastAsia" w:ascii="Times New Roman" w:hAnsi="Times New Roman" w:cs="宋体"/>
                      <w:bCs/>
                      <w:caps w:val="0"/>
                      <w:color w:val="auto"/>
                      <w:sz w:val="21"/>
                      <w:szCs w:val="21"/>
                      <w:highlight w:val="none"/>
                      <w:lang w:eastAsia="zh-CN"/>
                    </w:rPr>
                    <w:t>危废</w:t>
                  </w:r>
                  <w:r>
                    <w:rPr>
                      <w:rFonts w:hint="eastAsia" w:cs="宋体"/>
                      <w:bCs/>
                      <w:caps w:val="0"/>
                      <w:color w:val="auto"/>
                      <w:sz w:val="21"/>
                      <w:szCs w:val="21"/>
                      <w:highlight w:val="none"/>
                      <w:lang w:eastAsia="zh-CN"/>
                    </w:rPr>
                    <w:t>暂存间</w:t>
                  </w:r>
                  <w:r>
                    <w:rPr>
                      <w:rFonts w:hint="eastAsia" w:ascii="Times New Roman" w:hAnsi="Times New Roman" w:eastAsia="宋体" w:cs="宋体"/>
                      <w:bCs/>
                      <w:caps w:val="0"/>
                      <w:color w:val="auto"/>
                      <w:sz w:val="21"/>
                      <w:szCs w:val="21"/>
                      <w:highlight w:val="none"/>
                    </w:rPr>
                    <w:t>，并设置围堰，定期交有资质单位处置</w:t>
                  </w:r>
                </w:p>
              </w:tc>
            </w:tr>
            <w:tr w14:paraId="2419A77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298" w:type="pct"/>
                  <w:tcBorders>
                    <w:tl2br w:val="nil"/>
                    <w:tr2bl w:val="nil"/>
                  </w:tcBorders>
                  <w:vAlign w:val="center"/>
                </w:tcPr>
                <w:p w14:paraId="5E10EE95">
                  <w:pPr>
                    <w:topLinePunct/>
                    <w:spacing w:line="240" w:lineRule="auto"/>
                    <w:jc w:val="center"/>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w:t>
                  </w:r>
                </w:p>
              </w:tc>
              <w:tc>
                <w:tcPr>
                  <w:tcW w:w="428" w:type="pct"/>
                  <w:vMerge w:val="continue"/>
                  <w:tcBorders>
                    <w:tl2br w:val="nil"/>
                    <w:tr2bl w:val="nil"/>
                  </w:tcBorders>
                  <w:vAlign w:val="center"/>
                </w:tcPr>
                <w:p w14:paraId="0EFB6CE1">
                  <w:pPr>
                    <w:topLinePunct/>
                    <w:spacing w:line="240" w:lineRule="auto"/>
                    <w:jc w:val="center"/>
                    <w:rPr>
                      <w:rFonts w:hint="default" w:ascii="Times New Roman" w:hAnsi="Times New Roman" w:eastAsia="宋体" w:cs="Times New Roman"/>
                      <w:color w:val="auto"/>
                      <w:kern w:val="0"/>
                      <w:sz w:val="21"/>
                      <w:szCs w:val="21"/>
                      <w:highlight w:val="none"/>
                    </w:rPr>
                  </w:pPr>
                </w:p>
              </w:tc>
              <w:tc>
                <w:tcPr>
                  <w:tcW w:w="601" w:type="pct"/>
                  <w:tcBorders>
                    <w:tl2br w:val="nil"/>
                    <w:tr2bl w:val="nil"/>
                  </w:tcBorders>
                  <w:vAlign w:val="center"/>
                </w:tcPr>
                <w:p w14:paraId="305161ED">
                  <w:pPr>
                    <w:topLinePunct/>
                    <w:adjustRightInd w:val="0"/>
                    <w:snapToGrid w:val="0"/>
                    <w:spacing w:line="240" w:lineRule="auto"/>
                    <w:jc w:val="center"/>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eastAsia="zh-CN"/>
                    </w:rPr>
                    <w:t>废含油抹布</w:t>
                  </w:r>
                </w:p>
              </w:tc>
              <w:tc>
                <w:tcPr>
                  <w:tcW w:w="525" w:type="pct"/>
                  <w:tcBorders>
                    <w:tl2br w:val="nil"/>
                    <w:tr2bl w:val="nil"/>
                  </w:tcBorders>
                  <w:vAlign w:val="center"/>
                </w:tcPr>
                <w:p w14:paraId="5CF23491">
                  <w:pPr>
                    <w:spacing w:line="240" w:lineRule="auto"/>
                    <w:jc w:val="center"/>
                    <w:rPr>
                      <w:rFonts w:hint="default" w:ascii="Times New Roman" w:hAnsi="Times New Roman" w:eastAsia="宋体" w:cs="Times New Roman"/>
                      <w:bCs/>
                      <w:color w:val="auto"/>
                      <w:spacing w:val="-10"/>
                      <w:sz w:val="21"/>
                      <w:szCs w:val="21"/>
                      <w:highlight w:val="none"/>
                    </w:rPr>
                  </w:pPr>
                  <w:r>
                    <w:rPr>
                      <w:rFonts w:hint="default" w:ascii="Times New Roman" w:hAnsi="Times New Roman" w:eastAsia="宋体" w:cs="Times New Roman"/>
                      <w:bCs/>
                      <w:color w:val="auto"/>
                      <w:spacing w:val="-10"/>
                      <w:sz w:val="21"/>
                      <w:szCs w:val="21"/>
                      <w:highlight w:val="none"/>
                    </w:rPr>
                    <w:t>HW</w:t>
                  </w:r>
                  <w:r>
                    <w:rPr>
                      <w:rFonts w:hint="eastAsia" w:ascii="Times New Roman" w:hAnsi="Times New Roman" w:eastAsia="宋体" w:cs="Times New Roman"/>
                      <w:bCs/>
                      <w:color w:val="auto"/>
                      <w:spacing w:val="-10"/>
                      <w:sz w:val="21"/>
                      <w:szCs w:val="21"/>
                      <w:highlight w:val="none"/>
                      <w:lang w:val="en-US" w:eastAsia="zh-CN"/>
                    </w:rPr>
                    <w:t>08</w:t>
                  </w:r>
                </w:p>
              </w:tc>
              <w:tc>
                <w:tcPr>
                  <w:tcW w:w="673" w:type="pct"/>
                  <w:tcBorders>
                    <w:tl2br w:val="nil"/>
                    <w:tr2bl w:val="nil"/>
                  </w:tcBorders>
                  <w:vAlign w:val="center"/>
                </w:tcPr>
                <w:p w14:paraId="33C3BBB1">
                  <w:pPr>
                    <w:spacing w:line="240" w:lineRule="auto"/>
                    <w:jc w:val="center"/>
                    <w:rPr>
                      <w:rFonts w:hint="default" w:ascii="Times New Roman" w:hAnsi="Times New Roman" w:eastAsia="宋体" w:cs="Times New Roman"/>
                      <w:bCs/>
                      <w:color w:val="auto"/>
                      <w:spacing w:val="-10"/>
                      <w:sz w:val="21"/>
                      <w:szCs w:val="21"/>
                      <w:highlight w:val="none"/>
                    </w:rPr>
                  </w:pPr>
                  <w:r>
                    <w:rPr>
                      <w:rFonts w:hint="default" w:ascii="Times New Roman" w:hAnsi="Times New Roman" w:eastAsia="宋体" w:cs="Times New Roman"/>
                      <w:bCs/>
                      <w:color w:val="auto"/>
                      <w:spacing w:val="-10"/>
                      <w:sz w:val="21"/>
                      <w:szCs w:val="21"/>
                      <w:highlight w:val="none"/>
                      <w:lang w:eastAsia="zh-CN"/>
                    </w:rPr>
                    <w:t>900-</w:t>
                  </w:r>
                  <w:r>
                    <w:rPr>
                      <w:rFonts w:hint="default" w:ascii="Times New Roman" w:hAnsi="Times New Roman" w:eastAsia="宋体" w:cs="Times New Roman"/>
                      <w:bCs/>
                      <w:color w:val="auto"/>
                      <w:spacing w:val="-10"/>
                      <w:sz w:val="21"/>
                      <w:szCs w:val="21"/>
                      <w:highlight w:val="none"/>
                      <w:lang w:val="en-US" w:eastAsia="zh-CN"/>
                    </w:rPr>
                    <w:t>249</w:t>
                  </w:r>
                  <w:r>
                    <w:rPr>
                      <w:rFonts w:hint="default" w:ascii="Times New Roman" w:hAnsi="Times New Roman" w:eastAsia="宋体" w:cs="Times New Roman"/>
                      <w:bCs/>
                      <w:color w:val="auto"/>
                      <w:spacing w:val="-10"/>
                      <w:sz w:val="21"/>
                      <w:szCs w:val="21"/>
                      <w:highlight w:val="none"/>
                      <w:lang w:eastAsia="zh-CN"/>
                    </w:rPr>
                    <w:t>-</w:t>
                  </w:r>
                  <w:r>
                    <w:rPr>
                      <w:rFonts w:hint="default" w:ascii="Times New Roman" w:hAnsi="Times New Roman" w:eastAsia="宋体" w:cs="Times New Roman"/>
                      <w:bCs/>
                      <w:color w:val="auto"/>
                      <w:spacing w:val="-10"/>
                      <w:sz w:val="21"/>
                      <w:szCs w:val="21"/>
                      <w:highlight w:val="none"/>
                      <w:lang w:val="en-US" w:eastAsia="zh-CN"/>
                    </w:rPr>
                    <w:t>08</w:t>
                  </w:r>
                </w:p>
              </w:tc>
              <w:tc>
                <w:tcPr>
                  <w:tcW w:w="378" w:type="pct"/>
                  <w:vMerge w:val="continue"/>
                  <w:tcBorders>
                    <w:tl2br w:val="nil"/>
                    <w:tr2bl w:val="nil"/>
                  </w:tcBorders>
                  <w:vAlign w:val="center"/>
                </w:tcPr>
                <w:p w14:paraId="1518A7A4">
                  <w:pPr>
                    <w:topLinePunct/>
                    <w:spacing w:line="240" w:lineRule="auto"/>
                    <w:jc w:val="center"/>
                    <w:rPr>
                      <w:rFonts w:hint="default" w:ascii="Times New Roman" w:hAnsi="Times New Roman" w:eastAsia="宋体" w:cs="Times New Roman"/>
                      <w:color w:val="auto"/>
                      <w:kern w:val="0"/>
                      <w:sz w:val="21"/>
                      <w:szCs w:val="21"/>
                      <w:highlight w:val="none"/>
                    </w:rPr>
                  </w:pPr>
                </w:p>
              </w:tc>
              <w:tc>
                <w:tcPr>
                  <w:tcW w:w="494" w:type="pct"/>
                  <w:vMerge w:val="continue"/>
                  <w:tcBorders>
                    <w:tl2br w:val="nil"/>
                    <w:tr2bl w:val="nil"/>
                  </w:tcBorders>
                  <w:vAlign w:val="center"/>
                </w:tcPr>
                <w:p w14:paraId="3F74AD7B">
                  <w:pPr>
                    <w:topLinePunct/>
                    <w:spacing w:line="240" w:lineRule="auto"/>
                    <w:jc w:val="center"/>
                    <w:rPr>
                      <w:rFonts w:hint="default" w:ascii="Times New Roman" w:hAnsi="Times New Roman" w:eastAsia="宋体" w:cs="Times New Roman"/>
                      <w:color w:val="auto"/>
                      <w:kern w:val="0"/>
                      <w:sz w:val="21"/>
                      <w:szCs w:val="21"/>
                      <w:highlight w:val="none"/>
                    </w:rPr>
                  </w:pPr>
                </w:p>
              </w:tc>
              <w:tc>
                <w:tcPr>
                  <w:tcW w:w="1598" w:type="pct"/>
                  <w:vMerge w:val="continue"/>
                  <w:tcBorders>
                    <w:tl2br w:val="nil"/>
                    <w:tr2bl w:val="nil"/>
                  </w:tcBorders>
                  <w:vAlign w:val="center"/>
                </w:tcPr>
                <w:p w14:paraId="4A826387">
                  <w:pPr>
                    <w:topLinePunct/>
                    <w:spacing w:line="240" w:lineRule="auto"/>
                    <w:jc w:val="center"/>
                    <w:rPr>
                      <w:rFonts w:hint="default" w:ascii="Times New Roman" w:hAnsi="Times New Roman" w:eastAsia="宋体" w:cs="Times New Roman"/>
                      <w:color w:val="auto"/>
                      <w:kern w:val="0"/>
                      <w:sz w:val="21"/>
                      <w:szCs w:val="21"/>
                      <w:highlight w:val="none"/>
                    </w:rPr>
                  </w:pPr>
                </w:p>
              </w:tc>
            </w:tr>
          </w:tbl>
          <w:p w14:paraId="6ABA3E91">
            <w:pPr>
              <w:adjustRightInd w:val="0"/>
              <w:snapToGrid w:val="0"/>
              <w:spacing w:line="360" w:lineRule="auto"/>
              <w:ind w:firstLine="480" w:firstLineChars="200"/>
              <w:rPr>
                <w:rFonts w:hint="default" w:ascii="Times New Roman" w:hAnsi="Times New Roman" w:eastAsia="宋体" w:cs="宋体"/>
                <w:caps w:val="0"/>
                <w:color w:val="auto"/>
                <w:sz w:val="24"/>
                <w:highlight w:val="none"/>
              </w:rPr>
            </w:pPr>
            <w:r>
              <w:rPr>
                <w:rFonts w:hint="eastAsia" w:ascii="微软雅黑" w:hAnsi="微软雅黑" w:eastAsia="微软雅黑" w:cs="微软雅黑"/>
                <w:caps w:val="0"/>
                <w:color w:val="auto"/>
                <w:kern w:val="0"/>
                <w:sz w:val="24"/>
                <w:highlight w:val="none"/>
              </w:rPr>
              <w:t>①</w:t>
            </w:r>
            <w:r>
              <w:rPr>
                <w:rFonts w:hint="default" w:ascii="Times New Roman" w:hAnsi="Times New Roman" w:eastAsia="宋体" w:cs="宋体"/>
                <w:caps w:val="0"/>
                <w:color w:val="auto"/>
                <w:kern w:val="0"/>
                <w:sz w:val="24"/>
                <w:highlight w:val="none"/>
              </w:rPr>
              <w:t>运输过程的环境影响</w:t>
            </w:r>
          </w:p>
          <w:p w14:paraId="0BF84365">
            <w:pPr>
              <w:spacing w:line="360" w:lineRule="auto"/>
              <w:ind w:firstLine="480"/>
              <w:rPr>
                <w:rFonts w:hint="default" w:ascii="Times New Roman" w:hAnsi="Times New Roman" w:eastAsia="宋体" w:cs="宋体"/>
                <w:caps w:val="0"/>
                <w:color w:val="auto"/>
                <w:sz w:val="24"/>
                <w:highlight w:val="none"/>
              </w:rPr>
            </w:pPr>
            <w:r>
              <w:rPr>
                <w:rFonts w:hint="default" w:ascii="Times New Roman" w:hAnsi="Times New Roman" w:eastAsia="宋体" w:cs="宋体"/>
                <w:caps w:val="0"/>
                <w:color w:val="auto"/>
                <w:kern w:val="0"/>
                <w:sz w:val="24"/>
                <w:highlight w:val="none"/>
              </w:rPr>
              <w:t>本项目危险废物产生后均使用专用密闭容器收纳，不同危险废物需分类收集存放，及时转移至</w:t>
            </w:r>
            <w:r>
              <w:rPr>
                <w:rFonts w:hint="eastAsia" w:ascii="Times New Roman" w:hAnsi="Times New Roman" w:eastAsia="宋体" w:cs="宋体"/>
                <w:caps w:val="0"/>
                <w:color w:val="auto"/>
                <w:kern w:val="0"/>
                <w:sz w:val="24"/>
                <w:highlight w:val="none"/>
                <w:lang w:eastAsia="zh-CN"/>
              </w:rPr>
              <w:t>危废</w:t>
            </w:r>
            <w:r>
              <w:rPr>
                <w:rFonts w:hint="eastAsia" w:cs="宋体"/>
                <w:caps w:val="0"/>
                <w:color w:val="auto"/>
                <w:kern w:val="0"/>
                <w:sz w:val="24"/>
                <w:highlight w:val="none"/>
                <w:lang w:eastAsia="zh-CN"/>
              </w:rPr>
              <w:t>暂存间</w:t>
            </w:r>
            <w:r>
              <w:rPr>
                <w:rFonts w:hint="default" w:ascii="Times New Roman" w:hAnsi="Times New Roman" w:eastAsia="宋体" w:cs="宋体"/>
                <w:caps w:val="0"/>
                <w:color w:val="auto"/>
                <w:kern w:val="0"/>
                <w:sz w:val="24"/>
                <w:highlight w:val="none"/>
              </w:rPr>
              <w:t>，</w:t>
            </w:r>
            <w:r>
              <w:rPr>
                <w:rFonts w:hint="default" w:ascii="Times New Roman" w:hAnsi="Times New Roman" w:eastAsia="宋体" w:cs="宋体"/>
                <w:caps w:val="0"/>
                <w:color w:val="auto"/>
                <w:sz w:val="24"/>
                <w:highlight w:val="none"/>
              </w:rPr>
              <w:t>并在容器外表设置环境保护图形标志和警示标志</w:t>
            </w:r>
            <w:r>
              <w:rPr>
                <w:rFonts w:hint="default" w:ascii="Times New Roman" w:hAnsi="Times New Roman" w:eastAsia="宋体" w:cs="宋体"/>
                <w:caps w:val="0"/>
                <w:color w:val="auto"/>
                <w:kern w:val="0"/>
                <w:sz w:val="24"/>
                <w:highlight w:val="none"/>
              </w:rPr>
              <w:t>。本项目产生的危险废物委托有相关处理资质单位进行处置，定期由具备相关运输资</w:t>
            </w:r>
            <w:r>
              <w:rPr>
                <w:rFonts w:hint="eastAsia" w:ascii="Times New Roman" w:hAnsi="Times New Roman" w:eastAsia="宋体" w:cs="宋体"/>
                <w:caps w:val="0"/>
                <w:color w:val="auto"/>
                <w:kern w:val="0"/>
                <w:sz w:val="24"/>
                <w:highlight w:val="none"/>
                <w:lang w:eastAsia="zh-CN"/>
              </w:rPr>
              <w:t>质的</w:t>
            </w:r>
            <w:r>
              <w:rPr>
                <w:rFonts w:hint="default" w:ascii="Times New Roman" w:hAnsi="Times New Roman" w:eastAsia="宋体" w:cs="宋体"/>
                <w:caps w:val="0"/>
                <w:color w:val="auto"/>
                <w:kern w:val="0"/>
                <w:sz w:val="24"/>
                <w:highlight w:val="none"/>
              </w:rPr>
              <w:t>公司使用专用车辆运走，运输路线由管理部门指定，不会对运输沿线环境敏感点产生环境影响。</w:t>
            </w:r>
          </w:p>
          <w:p w14:paraId="11EE927C">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eastAsia" w:ascii="微软雅黑" w:hAnsi="微软雅黑" w:eastAsia="微软雅黑" w:cs="微软雅黑"/>
                <w:caps w:val="0"/>
                <w:color w:val="auto"/>
                <w:kern w:val="0"/>
                <w:sz w:val="24"/>
                <w:highlight w:val="none"/>
              </w:rPr>
              <w:t>②</w:t>
            </w:r>
            <w:r>
              <w:rPr>
                <w:rFonts w:hint="default" w:ascii="Times New Roman" w:hAnsi="Times New Roman" w:eastAsia="宋体" w:cs="宋体"/>
                <w:caps w:val="0"/>
                <w:color w:val="auto"/>
                <w:kern w:val="0"/>
                <w:sz w:val="24"/>
                <w:highlight w:val="none"/>
              </w:rPr>
              <w:t>利用或者处置的环境影响分析</w:t>
            </w:r>
          </w:p>
          <w:p w14:paraId="6DC77F32">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default" w:ascii="Times New Roman" w:hAnsi="Times New Roman" w:eastAsia="宋体" w:cs="宋体"/>
                <w:caps w:val="0"/>
                <w:color w:val="auto"/>
                <w:kern w:val="0"/>
                <w:sz w:val="24"/>
                <w:highlight w:val="none"/>
              </w:rPr>
              <w:t>本项目产生的危险废物委托具有相应处理资质的单位处置。该危险废物处置单位应当持有</w:t>
            </w:r>
            <w:r>
              <w:rPr>
                <w:rFonts w:hint="eastAsia" w:ascii="Times New Roman" w:hAnsi="Times New Roman" w:eastAsia="宋体" w:cs="宋体"/>
                <w:caps w:val="0"/>
                <w:color w:val="auto"/>
                <w:kern w:val="0"/>
                <w:sz w:val="24"/>
                <w:highlight w:val="none"/>
                <w:lang w:eastAsia="zh-CN"/>
              </w:rPr>
              <w:t>黑龙江省</w:t>
            </w:r>
            <w:r>
              <w:rPr>
                <w:rFonts w:hint="default" w:ascii="Times New Roman" w:hAnsi="Times New Roman" w:eastAsia="宋体" w:cs="宋体"/>
                <w:caps w:val="0"/>
                <w:color w:val="auto"/>
                <w:kern w:val="0"/>
                <w:sz w:val="24"/>
                <w:highlight w:val="none"/>
              </w:rPr>
              <w:t>生态环境局颁发的《危险废物经营许可证》，具有收集、运输、贮存、处理处置及综合利用能力，处理能力有足够余量。本项目产生的危险废物交具有相应处理资质的单位进行处置后，不会对环境产生显著不利影响。</w:t>
            </w:r>
          </w:p>
          <w:p w14:paraId="79E61A70">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eastAsia" w:ascii="微软雅黑" w:hAnsi="微软雅黑" w:eastAsia="微软雅黑" w:cs="微软雅黑"/>
                <w:caps w:val="0"/>
                <w:color w:val="auto"/>
                <w:kern w:val="0"/>
                <w:sz w:val="24"/>
                <w:highlight w:val="none"/>
              </w:rPr>
              <w:t>③</w:t>
            </w:r>
            <w:r>
              <w:rPr>
                <w:rFonts w:hint="default" w:ascii="Times New Roman" w:hAnsi="Times New Roman" w:eastAsia="宋体" w:cs="宋体"/>
                <w:caps w:val="0"/>
                <w:color w:val="auto"/>
                <w:kern w:val="0"/>
                <w:sz w:val="24"/>
                <w:highlight w:val="none"/>
              </w:rPr>
              <w:t>危险废物环境管理要求</w:t>
            </w:r>
          </w:p>
          <w:p w14:paraId="6C27E622">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rPr>
            </w:pPr>
            <w:r>
              <w:rPr>
                <w:rFonts w:hint="default" w:ascii="Times New Roman" w:hAnsi="Times New Roman" w:eastAsia="宋体" w:cs="宋体"/>
                <w:caps w:val="0"/>
                <w:color w:val="auto"/>
                <w:kern w:val="0"/>
                <w:sz w:val="24"/>
                <w:highlight w:val="none"/>
              </w:rPr>
              <w:t>建设单位运营过程应该对本项目产生的危险废物从收集、贮存、运输、利用、处置各环节进行全过程的监管，各环节应严格执行《危险废物收集、贮存、运输技术规范》（HJ2025-2012）的相关要求。</w:t>
            </w:r>
          </w:p>
          <w:p w14:paraId="5496FBCF">
            <w:pPr>
              <w:pStyle w:val="71"/>
              <w:tabs>
                <w:tab w:val="left" w:pos="618"/>
              </w:tabs>
              <w:spacing w:line="360" w:lineRule="auto"/>
              <w:ind w:firstLine="480" w:firstLineChars="200"/>
              <w:rPr>
                <w:rFonts w:hint="default" w:ascii="Times New Roman" w:hAnsi="Times New Roman" w:cs="Times New Roman"/>
                <w:b/>
                <w:bCs/>
                <w:color w:val="auto"/>
                <w:sz w:val="24"/>
                <w:szCs w:val="24"/>
                <w:lang w:eastAsia="zh-CN"/>
              </w:rPr>
            </w:pPr>
            <w:r>
              <w:rPr>
                <w:rFonts w:ascii="Times New Roman" w:hAnsi="Times New Roman" w:eastAsia="宋体" w:cs="Times New Roman"/>
                <w:iCs/>
                <w:color w:val="auto"/>
                <w:sz w:val="24"/>
                <w:szCs w:val="22"/>
                <w:highlight w:val="none"/>
              </w:rPr>
              <w:t>本项目固废经过相应的处理措施后，处置率达到100%。因此，固废对周边环境影响较小。</w:t>
            </w:r>
            <w:r>
              <w:rPr>
                <w:rFonts w:hint="eastAsia" w:ascii="Times New Roman" w:hAnsi="Times New Roman" w:eastAsia="宋体" w:cs="Times New Roman"/>
                <w:iCs/>
                <w:color w:val="auto"/>
                <w:sz w:val="24"/>
                <w:szCs w:val="22"/>
                <w:highlight w:val="none"/>
                <w:lang w:val="en-US" w:eastAsia="zh-CN"/>
              </w:rPr>
              <w:t>一般工业</w:t>
            </w:r>
            <w:r>
              <w:rPr>
                <w:rFonts w:hint="eastAsia" w:ascii="Times New Roman" w:hAnsi="Times New Roman" w:eastAsia="宋体" w:cs="Times New Roman"/>
                <w:b w:val="0"/>
                <w:bCs w:val="0"/>
                <w:iCs/>
                <w:color w:val="auto"/>
                <w:spacing w:val="0"/>
                <w:kern w:val="2"/>
                <w:sz w:val="24"/>
                <w:szCs w:val="22"/>
                <w:highlight w:val="none"/>
                <w:lang w:val="en-US" w:eastAsia="zh-CN" w:bidi="ar-SA"/>
              </w:rPr>
              <w:t>固体废物执行《一般工业固体废物贮存和填埋污染控制标准》(GB18599-2020)</w:t>
            </w:r>
            <w:r>
              <w:rPr>
                <w:rFonts w:hint="eastAsia" w:eastAsia="宋体" w:cs="Times New Roman"/>
                <w:b w:val="0"/>
                <w:bCs w:val="0"/>
                <w:iCs/>
                <w:color w:val="auto"/>
                <w:spacing w:val="0"/>
                <w:kern w:val="2"/>
                <w:sz w:val="24"/>
                <w:szCs w:val="22"/>
                <w:highlight w:val="none"/>
                <w:lang w:val="en-US" w:eastAsia="zh-CN" w:bidi="ar-SA"/>
              </w:rPr>
              <w:t>；</w:t>
            </w:r>
            <w:r>
              <w:rPr>
                <w:rFonts w:hint="default" w:ascii="Times New Roman" w:hAnsi="Times New Roman" w:eastAsia="宋体" w:cs="宋体"/>
                <w:caps w:val="0"/>
                <w:color w:val="auto"/>
                <w:kern w:val="0"/>
                <w:sz w:val="24"/>
                <w:highlight w:val="none"/>
              </w:rPr>
              <w:t>危险废物暂存过程中应满足《危险废物贮存污染控制标准》（GB18597-20</w:t>
            </w:r>
            <w:r>
              <w:rPr>
                <w:rFonts w:hint="eastAsia" w:ascii="Times New Roman" w:hAnsi="Times New Roman" w:eastAsia="宋体" w:cs="宋体"/>
                <w:caps w:val="0"/>
                <w:color w:val="auto"/>
                <w:kern w:val="0"/>
                <w:sz w:val="24"/>
                <w:highlight w:val="none"/>
                <w:lang w:val="en-US" w:eastAsia="zh-CN"/>
              </w:rPr>
              <w:t>23</w:t>
            </w:r>
            <w:r>
              <w:rPr>
                <w:rFonts w:hint="default" w:ascii="Times New Roman" w:hAnsi="Times New Roman" w:eastAsia="宋体" w:cs="宋体"/>
                <w:caps w:val="0"/>
                <w:color w:val="auto"/>
                <w:kern w:val="0"/>
                <w:sz w:val="24"/>
                <w:highlight w:val="none"/>
              </w:rPr>
              <w:t>）中的相关规定</w:t>
            </w:r>
            <w:r>
              <w:rPr>
                <w:rFonts w:hint="eastAsia" w:ascii="Times New Roman" w:hAnsi="Times New Roman" w:eastAsia="宋体" w:cs="Times New Roman"/>
                <w:b w:val="0"/>
                <w:bCs w:val="0"/>
                <w:iCs/>
                <w:color w:val="auto"/>
                <w:spacing w:val="0"/>
                <w:kern w:val="2"/>
                <w:sz w:val="24"/>
                <w:szCs w:val="22"/>
                <w:highlight w:val="none"/>
                <w:lang w:val="en-US" w:eastAsia="zh-CN" w:bidi="ar-SA"/>
              </w:rPr>
              <w:t>。</w:t>
            </w:r>
          </w:p>
          <w:p w14:paraId="05AE8FEA">
            <w:pPr>
              <w:pStyle w:val="16"/>
              <w:numPr>
                <w:ilvl w:val="0"/>
                <w:numId w:val="0"/>
              </w:numPr>
              <w:spacing w:line="360" w:lineRule="auto"/>
              <w:ind w:firstLine="482" w:firstLineChars="200"/>
              <w:rPr>
                <w:rFonts w:hint="default" w:ascii="Times New Roman" w:hAnsi="Times New Roman" w:cs="Times New Roman"/>
                <w:b w:val="0"/>
                <w:bCs w:val="0"/>
                <w:color w:val="auto"/>
                <w:sz w:val="24"/>
                <w:szCs w:val="24"/>
                <w:highlight w:val="none"/>
                <w:lang w:eastAsia="zh-CN"/>
              </w:rPr>
            </w:pPr>
            <w:r>
              <w:rPr>
                <w:rFonts w:hint="default" w:ascii="Times New Roman" w:hAnsi="Times New Roman" w:cs="Times New Roman"/>
                <w:b/>
                <w:bCs/>
                <w:color w:val="auto"/>
                <w:sz w:val="24"/>
                <w:szCs w:val="24"/>
                <w:highlight w:val="none"/>
                <w:lang w:eastAsia="zh-CN"/>
              </w:rPr>
              <w:t>五、土壤</w:t>
            </w:r>
            <w:r>
              <w:rPr>
                <w:rFonts w:hint="eastAsia" w:cs="Times New Roman"/>
                <w:b/>
                <w:bCs/>
                <w:color w:val="auto"/>
                <w:sz w:val="24"/>
                <w:szCs w:val="24"/>
                <w:highlight w:val="none"/>
                <w:lang w:eastAsia="zh-CN"/>
              </w:rPr>
              <w:t>、地下水</w:t>
            </w:r>
          </w:p>
          <w:p w14:paraId="5F7C1131">
            <w:pPr>
              <w:pStyle w:val="16"/>
              <w:numPr>
                <w:ilvl w:val="0"/>
                <w:numId w:val="0"/>
              </w:numPr>
              <w:spacing w:line="360" w:lineRule="auto"/>
              <w:ind w:firstLine="480" w:firstLineChars="20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lang w:val="en-US" w:eastAsia="zh-CN"/>
              </w:rPr>
              <w:t>本项目</w:t>
            </w:r>
            <w:r>
              <w:rPr>
                <w:rFonts w:hint="default" w:ascii="Times New Roman" w:hAnsi="Times New Roman" w:cs="Times New Roman"/>
                <w:color w:val="auto"/>
                <w:sz w:val="24"/>
                <w:szCs w:val="24"/>
                <w:highlight w:val="none"/>
                <w:lang w:eastAsia="zh-CN"/>
              </w:rPr>
              <w:t>危险废物暂存间</w:t>
            </w:r>
            <w:r>
              <w:rPr>
                <w:rFonts w:hint="default" w:ascii="Times New Roman" w:hAnsi="Times New Roman" w:eastAsia="宋体" w:cs="Times New Roman"/>
                <w:color w:val="auto"/>
                <w:sz w:val="24"/>
                <w:szCs w:val="24"/>
                <w:highlight w:val="none"/>
              </w:rPr>
              <w:t>已做好防渗、防漏措施</w:t>
            </w:r>
            <w:r>
              <w:rPr>
                <w:rFonts w:hint="default" w:ascii="Times New Roman" w:hAnsi="Times New Roman" w:eastAsia="宋体" w:cs="Times New Roman"/>
                <w:color w:val="auto"/>
                <w:sz w:val="24"/>
                <w:szCs w:val="24"/>
                <w:highlight w:val="none"/>
                <w:lang w:eastAsia="zh-CN"/>
              </w:rPr>
              <w:t>（至少2 mm 厚高密度聚乙烯膜等人工防渗材料</w:t>
            </w:r>
            <w:r>
              <w:rPr>
                <w:rFonts w:hint="eastAsia" w:ascii="Times New Roman" w:hAnsi="Times New Roman"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eastAsia="zh-CN"/>
              </w:rPr>
              <w:t>渗透系数不大于10</w:t>
            </w:r>
            <w:r>
              <w:rPr>
                <w:rFonts w:hint="default" w:ascii="Times New Roman" w:hAnsi="Times New Roman" w:eastAsia="宋体" w:cs="Times New Roman"/>
                <w:color w:val="auto"/>
                <w:sz w:val="24"/>
                <w:szCs w:val="24"/>
                <w:highlight w:val="none"/>
                <w:vertAlign w:val="superscript"/>
                <w:lang w:eastAsia="zh-CN"/>
              </w:rPr>
              <w:t xml:space="preserve"> -10</w:t>
            </w:r>
            <w:r>
              <w:rPr>
                <w:rFonts w:hint="default" w:ascii="Times New Roman" w:hAnsi="Times New Roman" w:eastAsia="宋体" w:cs="Times New Roman"/>
                <w:color w:val="auto"/>
                <w:sz w:val="24"/>
                <w:szCs w:val="24"/>
                <w:highlight w:val="none"/>
                <w:lang w:eastAsia="zh-CN"/>
              </w:rPr>
              <w:t xml:space="preserve"> cm/s）</w:t>
            </w:r>
            <w:r>
              <w:rPr>
                <w:rFonts w:hint="default" w:ascii="Times New Roman" w:hAnsi="Times New Roman" w:eastAsia="宋体" w:cs="Times New Roman"/>
                <w:color w:val="auto"/>
                <w:sz w:val="24"/>
                <w:szCs w:val="24"/>
                <w:highlight w:val="none"/>
              </w:rPr>
              <w:t>，则正常运行时不会发生污水下渗。项目运营过程中产生废气，主要污染物为颗粒物</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lang w:val="en-US" w:eastAsia="zh-CN"/>
              </w:rPr>
              <w:t>二氧化硫和氮氧化物</w:t>
            </w:r>
            <w:r>
              <w:rPr>
                <w:rFonts w:hint="default" w:ascii="Times New Roman" w:hAnsi="Times New Roman" w:eastAsia="宋体" w:cs="Times New Roman"/>
                <w:color w:val="auto"/>
                <w:sz w:val="24"/>
                <w:szCs w:val="24"/>
                <w:highlight w:val="none"/>
              </w:rPr>
              <w:t>，影响途径为大气沉降。</w:t>
            </w:r>
            <w:r>
              <w:rPr>
                <w:rFonts w:hint="default" w:ascii="Times New Roman" w:hAnsi="Times New Roman" w:cs="Times New Roman"/>
                <w:color w:val="auto"/>
                <w:sz w:val="24"/>
                <w:szCs w:val="24"/>
                <w:highlight w:val="none"/>
                <w:lang w:val="en-US" w:eastAsia="zh-CN"/>
              </w:rPr>
              <w:t>本</w:t>
            </w:r>
            <w:r>
              <w:rPr>
                <w:rFonts w:hint="default" w:ascii="Times New Roman" w:hAnsi="Times New Roman" w:eastAsia="宋体" w:cs="Times New Roman"/>
                <w:color w:val="auto"/>
                <w:sz w:val="24"/>
                <w:szCs w:val="24"/>
                <w:highlight w:val="none"/>
              </w:rPr>
              <w:t>项目</w:t>
            </w:r>
            <w:r>
              <w:rPr>
                <w:rFonts w:hint="default" w:ascii="Times New Roman" w:hAnsi="Times New Roman" w:cs="Times New Roman"/>
                <w:color w:val="auto"/>
                <w:sz w:val="24"/>
                <w:szCs w:val="24"/>
                <w:highlight w:val="none"/>
                <w:lang w:eastAsia="zh-CN"/>
              </w:rPr>
              <w:t>产生</w:t>
            </w:r>
            <w:r>
              <w:rPr>
                <w:rFonts w:hint="default" w:ascii="Times New Roman" w:hAnsi="Times New Roman" w:cs="Times New Roman"/>
                <w:color w:val="auto"/>
                <w:sz w:val="24"/>
                <w:szCs w:val="24"/>
                <w:highlight w:val="none"/>
                <w:lang w:val="en-US" w:eastAsia="zh-CN"/>
              </w:rPr>
              <w:t>的废气</w:t>
            </w:r>
            <w:r>
              <w:rPr>
                <w:rFonts w:hint="default" w:ascii="Times New Roman" w:hAnsi="Times New Roman" w:eastAsia="宋体" w:cs="Times New Roman"/>
                <w:color w:val="auto"/>
                <w:sz w:val="24"/>
                <w:szCs w:val="24"/>
                <w:highlight w:val="none"/>
              </w:rPr>
              <w:t>，经有效处理后均可达标排放，</w:t>
            </w:r>
            <w:r>
              <w:rPr>
                <w:rFonts w:hint="default" w:ascii="Times New Roman" w:hAnsi="Times New Roman" w:eastAsia="宋体" w:cs="Times New Roman"/>
                <w:color w:val="auto"/>
                <w:sz w:val="24"/>
                <w:szCs w:val="24"/>
                <w:highlight w:val="none"/>
                <w:lang w:val="en-US" w:eastAsia="zh-CN"/>
              </w:rPr>
              <w:t>锅炉房、灰渣间、生物质堆场</w:t>
            </w:r>
            <w:r>
              <w:rPr>
                <w:rFonts w:hint="default" w:ascii="Times New Roman" w:hAnsi="Times New Roman" w:cs="Times New Roman"/>
                <w:color w:val="auto"/>
                <w:sz w:val="24"/>
                <w:szCs w:val="24"/>
                <w:highlight w:val="none"/>
                <w:lang w:val="en-US" w:eastAsia="zh-CN"/>
              </w:rPr>
              <w:t>为简单防渗区</w:t>
            </w:r>
            <w:r>
              <w:rPr>
                <w:rFonts w:hint="default" w:ascii="Times New Roman" w:hAnsi="Times New Roman" w:eastAsia="宋体" w:cs="Times New Roman"/>
                <w:color w:val="auto"/>
                <w:sz w:val="24"/>
                <w:szCs w:val="24"/>
                <w:highlight w:val="none"/>
                <w:lang w:val="en-US" w:eastAsia="zh-CN"/>
              </w:rPr>
              <w:t>均</w:t>
            </w:r>
            <w:r>
              <w:rPr>
                <w:rFonts w:hint="default" w:ascii="Times New Roman" w:hAnsi="Times New Roman" w:eastAsia="宋体" w:cs="Times New Roman"/>
                <w:color w:val="auto"/>
                <w:sz w:val="24"/>
                <w:szCs w:val="24"/>
                <w:highlight w:val="none"/>
              </w:rPr>
              <w:t>设置水泥硬化，不会沉降到土壤和地下水当中。综上所述，项目厂房范围已全部设置水泥硬化，无污染和下渗途径，不存在土壤、地下水环境污染的情况，故不需要开展地下水、土壤跟踪监</w:t>
            </w:r>
            <w:r>
              <w:rPr>
                <w:rFonts w:hint="default" w:ascii="Times New Roman" w:hAnsi="Times New Roman" w:eastAsia="宋体" w:cs="Times New Roman"/>
                <w:color w:val="auto"/>
                <w:sz w:val="24"/>
                <w:szCs w:val="24"/>
                <w:highlight w:val="none"/>
                <w:lang w:eastAsia="zh-CN"/>
              </w:rPr>
              <w:t>测污</w:t>
            </w:r>
            <w:r>
              <w:rPr>
                <w:rFonts w:hint="default" w:ascii="Times New Roman" w:hAnsi="Times New Roman" w:eastAsia="宋体" w:cs="Times New Roman"/>
                <w:color w:val="auto"/>
                <w:sz w:val="24"/>
                <w:szCs w:val="24"/>
                <w:highlight w:val="none"/>
              </w:rPr>
              <w:t>染识别。</w:t>
            </w:r>
          </w:p>
          <w:p w14:paraId="64921EF0">
            <w:pPr>
              <w:pStyle w:val="16"/>
              <w:numPr>
                <w:ilvl w:val="0"/>
                <w:numId w:val="0"/>
              </w:numPr>
              <w:spacing w:line="360" w:lineRule="auto"/>
              <w:ind w:firstLine="480" w:firstLineChars="200"/>
              <w:rPr>
                <w:rFonts w:hint="default" w:ascii="Times New Roman" w:hAnsi="Times New Roman" w:eastAsia="宋体" w:cs="Times New Roman"/>
                <w:color w:val="auto"/>
                <w:sz w:val="24"/>
                <w:szCs w:val="24"/>
                <w:lang w:eastAsia="zh-CN"/>
              </w:rPr>
            </w:pPr>
            <w:r>
              <w:rPr>
                <w:rFonts w:hint="default" w:ascii="Times New Roman" w:hAnsi="Times New Roman" w:eastAsia="宋体" w:cs="Times New Roman"/>
                <w:b w:val="0"/>
                <w:bCs w:val="0"/>
                <w:color w:val="auto"/>
                <w:sz w:val="24"/>
                <w:szCs w:val="24"/>
                <w:highlight w:val="none"/>
                <w:lang w:eastAsia="zh-CN"/>
              </w:rPr>
              <w:t>根据《环境影响评价</w:t>
            </w:r>
            <w:r>
              <w:rPr>
                <w:rFonts w:hint="default" w:ascii="Times New Roman" w:hAnsi="Times New Roman" w:eastAsia="宋体" w:cs="Times New Roman"/>
                <w:color w:val="auto"/>
                <w:sz w:val="24"/>
                <w:szCs w:val="24"/>
                <w:highlight w:val="none"/>
                <w:lang w:eastAsia="zh-CN"/>
              </w:rPr>
              <w:t>技术导则 土壤环境（试行）》（HJ964-2018）附录A确定本项目所属的土壤环境影响评价项目</w:t>
            </w:r>
            <w:r>
              <w:rPr>
                <w:rFonts w:hint="default" w:ascii="Times New Roman" w:hAnsi="Times New Roman" w:eastAsia="宋体" w:cs="Times New Roman"/>
                <w:color w:val="auto"/>
                <w:sz w:val="24"/>
                <w:szCs w:val="24"/>
                <w:lang w:eastAsia="zh-CN"/>
              </w:rPr>
              <w:t>类别为</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 4 \* ROMAN \* MERGEFORMAT </w:instrText>
            </w:r>
            <w:r>
              <w:rPr>
                <w:rFonts w:hint="default" w:ascii="Times New Roman" w:hAnsi="Times New Roman" w:eastAsia="宋体" w:cs="Times New Roman"/>
                <w:color w:val="auto"/>
                <w:sz w:val="24"/>
                <w:szCs w:val="24"/>
                <w:lang w:eastAsia="zh-CN"/>
              </w:rPr>
              <w:fldChar w:fldCharType="separate"/>
            </w:r>
            <w:r>
              <w:rPr>
                <w:rFonts w:hint="default" w:ascii="Times New Roman" w:hAnsi="Times New Roman" w:eastAsia="宋体" w:cs="Times New Roman"/>
                <w:color w:val="auto"/>
                <w:sz w:val="24"/>
                <w:szCs w:val="24"/>
                <w:lang w:eastAsia="zh-CN"/>
              </w:rPr>
              <w:t>IV</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lang w:eastAsia="zh-CN"/>
              </w:rPr>
              <w:t>类；</w:t>
            </w:r>
            <w:r>
              <w:rPr>
                <w:rFonts w:hint="default" w:ascii="Times New Roman" w:hAnsi="Times New Roman" w:eastAsia="宋体" w:cs="Times New Roman"/>
                <w:color w:val="auto"/>
                <w:sz w:val="24"/>
                <w:szCs w:val="24"/>
                <w:lang w:eastAsia="zh-CN"/>
              </w:rPr>
              <w:fldChar w:fldCharType="begin"/>
            </w:r>
            <w:r>
              <w:rPr>
                <w:rFonts w:hint="default" w:ascii="Times New Roman" w:hAnsi="Times New Roman" w:eastAsia="宋体" w:cs="Times New Roman"/>
                <w:color w:val="auto"/>
                <w:sz w:val="24"/>
                <w:szCs w:val="24"/>
                <w:lang w:eastAsia="zh-CN"/>
              </w:rPr>
              <w:instrText xml:space="preserve"> = 4 \* ROMAN \* MERGEFORMAT </w:instrText>
            </w:r>
            <w:r>
              <w:rPr>
                <w:rFonts w:hint="default" w:ascii="Times New Roman" w:hAnsi="Times New Roman" w:eastAsia="宋体" w:cs="Times New Roman"/>
                <w:color w:val="auto"/>
                <w:sz w:val="24"/>
                <w:szCs w:val="24"/>
                <w:lang w:eastAsia="zh-CN"/>
              </w:rPr>
              <w:fldChar w:fldCharType="separate"/>
            </w:r>
            <w:r>
              <w:rPr>
                <w:rFonts w:hint="default" w:ascii="Times New Roman" w:hAnsi="Times New Roman" w:eastAsia="宋体" w:cs="Times New Roman"/>
                <w:color w:val="auto"/>
                <w:sz w:val="24"/>
                <w:szCs w:val="24"/>
                <w:lang w:eastAsia="zh-CN"/>
              </w:rPr>
              <w:t>IV</w:t>
            </w:r>
            <w:r>
              <w:rPr>
                <w:rFonts w:hint="default" w:ascii="Times New Roman" w:hAnsi="Times New Roman" w:eastAsia="宋体" w:cs="Times New Roman"/>
                <w:color w:val="auto"/>
                <w:sz w:val="24"/>
                <w:szCs w:val="24"/>
                <w:lang w:eastAsia="zh-CN"/>
              </w:rPr>
              <w:fldChar w:fldCharType="end"/>
            </w:r>
            <w:r>
              <w:rPr>
                <w:rFonts w:hint="default" w:ascii="Times New Roman" w:hAnsi="Times New Roman" w:eastAsia="宋体" w:cs="Times New Roman"/>
                <w:color w:val="auto"/>
                <w:sz w:val="24"/>
                <w:szCs w:val="24"/>
                <w:lang w:eastAsia="zh-CN"/>
              </w:rPr>
              <w:t>类项目可不开展环境影响评价工作。</w:t>
            </w:r>
          </w:p>
          <w:p w14:paraId="4664481D">
            <w:pPr>
              <w:adjustRightInd w:val="0"/>
              <w:snapToGrid w:val="0"/>
              <w:spacing w:line="360" w:lineRule="auto"/>
              <w:ind w:firstLine="480" w:firstLineChars="200"/>
              <w:rPr>
                <w:rFonts w:hint="default" w:ascii="Times New Roman" w:hAnsi="Times New Roman" w:eastAsia="宋体" w:cs="宋体"/>
                <w:caps w:val="0"/>
                <w:color w:val="auto"/>
                <w:kern w:val="0"/>
                <w:sz w:val="24"/>
                <w:highlight w:val="none"/>
                <w:lang w:val="en-US" w:eastAsia="zh-CN"/>
              </w:rPr>
            </w:pPr>
            <w:r>
              <w:rPr>
                <w:rFonts w:hint="eastAsia" w:cs="宋体"/>
                <w:color w:val="auto"/>
                <w:sz w:val="24"/>
                <w:szCs w:val="24"/>
                <w:highlight w:val="none"/>
                <w:lang w:val="en-US" w:eastAsia="zh-CN"/>
              </w:rPr>
              <w:t>根据《环境影响评价技术导则 地下水环境》（HJ610-2016），本项目为142热力生产和供应工程，属于Ⅳ类建设项目，根据导则要求，Ⅳ类建设项目不开展地下水环境影响评价。</w:t>
            </w:r>
          </w:p>
          <w:p w14:paraId="5FB7C545">
            <w:pPr>
              <w:pStyle w:val="16"/>
              <w:numPr>
                <w:ilvl w:val="0"/>
                <w:numId w:val="0"/>
              </w:numPr>
              <w:spacing w:line="360" w:lineRule="auto"/>
              <w:ind w:firstLine="482" w:firstLineChars="200"/>
              <w:rPr>
                <w:rFonts w:hint="default" w:ascii="Times New Roman" w:hAnsi="Times New Roman" w:eastAsia="宋体" w:cs="Times New Roman"/>
                <w:b/>
                <w:bCs/>
                <w:color w:val="auto"/>
                <w:sz w:val="24"/>
                <w:szCs w:val="24"/>
                <w:lang w:eastAsia="zh-CN"/>
              </w:rPr>
            </w:pPr>
            <w:r>
              <w:rPr>
                <w:rFonts w:hint="default" w:ascii="Times New Roman" w:hAnsi="Times New Roman" w:cs="Times New Roman"/>
                <w:b/>
                <w:bCs/>
                <w:color w:val="auto"/>
                <w:sz w:val="24"/>
                <w:szCs w:val="24"/>
                <w:lang w:eastAsia="zh-CN"/>
              </w:rPr>
              <w:t>六</w:t>
            </w:r>
            <w:r>
              <w:rPr>
                <w:rFonts w:hint="default" w:ascii="Times New Roman" w:hAnsi="Times New Roman" w:eastAsia="宋体" w:cs="Times New Roman"/>
                <w:b/>
                <w:bCs/>
                <w:color w:val="auto"/>
                <w:sz w:val="24"/>
                <w:szCs w:val="24"/>
                <w:lang w:eastAsia="zh-CN"/>
              </w:rPr>
              <w:t>、环境监测计划</w:t>
            </w:r>
          </w:p>
          <w:p w14:paraId="23A2290B">
            <w:pPr>
              <w:pStyle w:val="68"/>
              <w:spacing w:before="0" w:beforeLines="0" w:after="0" w:afterLines="0" w:line="360" w:lineRule="auto"/>
              <w:ind w:firstLine="480"/>
              <w:rPr>
                <w:rFonts w:hint="default" w:ascii="Times New Roman" w:hAnsi="Times New Roman" w:cs="Times New Roman"/>
                <w:b/>
                <w:color w:val="auto"/>
                <w:kern w:val="21"/>
                <w:sz w:val="24"/>
              </w:rPr>
            </w:pPr>
            <w:r>
              <w:rPr>
                <w:rFonts w:hint="default" w:ascii="Times New Roman" w:hAnsi="Times New Roman" w:eastAsia="宋体" w:cs="Times New Roman"/>
                <w:color w:val="auto"/>
                <w:szCs w:val="28"/>
                <w:lang w:val="en-US" w:eastAsia="zh-CN"/>
              </w:rPr>
              <w:t>本项目监测计划根据《排污许可证申请与核发技术规范 工业炉窑》（HJ1121-2020）和《排污单位自行监测技术指南 总则》HJ 819-2017</w:t>
            </w:r>
            <w:r>
              <w:rPr>
                <w:rFonts w:hint="default" w:ascii="Times New Roman" w:hAnsi="Times New Roman" w:cs="Times New Roman"/>
                <w:color w:val="auto"/>
                <w:kern w:val="21"/>
                <w:sz w:val="24"/>
              </w:rPr>
              <w:t>制定，具体监测计划见</w:t>
            </w:r>
            <w:r>
              <w:rPr>
                <w:rFonts w:hint="eastAsia" w:cs="Times New Roman"/>
                <w:color w:val="auto"/>
                <w:kern w:val="21"/>
                <w:sz w:val="24"/>
                <w:lang w:eastAsia="zh-CN"/>
              </w:rPr>
              <w:t>下</w:t>
            </w:r>
            <w:r>
              <w:rPr>
                <w:rFonts w:hint="default" w:ascii="Times New Roman" w:hAnsi="Times New Roman" w:cs="Times New Roman"/>
                <w:color w:val="auto"/>
                <w:kern w:val="21"/>
                <w:sz w:val="24"/>
              </w:rPr>
              <w:t>表。</w:t>
            </w:r>
          </w:p>
          <w:p w14:paraId="4990984D">
            <w:pPr>
              <w:adjustRightInd w:val="0"/>
              <w:snapToGrid w:val="0"/>
              <w:jc w:val="center"/>
              <w:rPr>
                <w:rFonts w:hint="default" w:ascii="Times New Roman" w:hAnsi="Times New Roman" w:cs="Times New Roman"/>
                <w:b/>
                <w:color w:val="auto"/>
                <w:kern w:val="21"/>
                <w:sz w:val="24"/>
                <w:szCs w:val="24"/>
              </w:rPr>
            </w:pPr>
            <w:r>
              <w:rPr>
                <w:rFonts w:hint="default" w:ascii="Times New Roman" w:hAnsi="Times New Roman" w:cs="Times New Roman"/>
                <w:b/>
                <w:color w:val="auto"/>
                <w:kern w:val="21"/>
                <w:sz w:val="24"/>
                <w:szCs w:val="24"/>
              </w:rPr>
              <w:t>表4-</w:t>
            </w:r>
            <w:r>
              <w:rPr>
                <w:rFonts w:hint="eastAsia" w:cs="Times New Roman"/>
                <w:b/>
                <w:color w:val="auto"/>
                <w:kern w:val="21"/>
                <w:sz w:val="24"/>
                <w:szCs w:val="24"/>
                <w:lang w:val="en-US" w:eastAsia="zh-CN"/>
              </w:rPr>
              <w:t>11</w:t>
            </w:r>
            <w:r>
              <w:rPr>
                <w:rFonts w:hint="default" w:ascii="Times New Roman" w:hAnsi="Times New Roman" w:cs="Times New Roman"/>
                <w:b/>
                <w:color w:val="auto"/>
                <w:kern w:val="21"/>
                <w:sz w:val="24"/>
                <w:szCs w:val="24"/>
                <w:lang w:val="en-US" w:eastAsia="zh-CN"/>
              </w:rPr>
              <w:t>营运期</w:t>
            </w:r>
            <w:r>
              <w:rPr>
                <w:rFonts w:hint="default" w:ascii="Times New Roman" w:hAnsi="Times New Roman" w:cs="Times New Roman"/>
                <w:b/>
                <w:color w:val="auto"/>
                <w:kern w:val="21"/>
                <w:sz w:val="24"/>
                <w:szCs w:val="24"/>
              </w:rPr>
              <w:t>环境监测计划</w:t>
            </w:r>
          </w:p>
          <w:tbl>
            <w:tblPr>
              <w:tblStyle w:val="30"/>
              <w:tblW w:w="809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3090"/>
              <w:gridCol w:w="2672"/>
              <w:gridCol w:w="1227"/>
            </w:tblGrid>
            <w:tr w14:paraId="504E6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09" w:type="dxa"/>
                  <w:noWrap w:val="0"/>
                  <w:vAlign w:val="center"/>
                </w:tcPr>
                <w:p w14:paraId="1BCC5FA5">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类别</w:t>
                  </w:r>
                </w:p>
              </w:tc>
              <w:tc>
                <w:tcPr>
                  <w:tcW w:w="3090" w:type="dxa"/>
                  <w:noWrap w:val="0"/>
                  <w:vAlign w:val="center"/>
                </w:tcPr>
                <w:p w14:paraId="531D50B9">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监测点位</w:t>
                  </w:r>
                </w:p>
              </w:tc>
              <w:tc>
                <w:tcPr>
                  <w:tcW w:w="2672" w:type="dxa"/>
                  <w:noWrap w:val="0"/>
                  <w:vAlign w:val="center"/>
                </w:tcPr>
                <w:p w14:paraId="55B12497">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监测项目</w:t>
                  </w:r>
                </w:p>
              </w:tc>
              <w:tc>
                <w:tcPr>
                  <w:tcW w:w="1227" w:type="dxa"/>
                  <w:noWrap w:val="0"/>
                  <w:vAlign w:val="center"/>
                </w:tcPr>
                <w:p w14:paraId="162991ED">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监测频次</w:t>
                  </w:r>
                </w:p>
              </w:tc>
            </w:tr>
            <w:tr w14:paraId="6FD179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09" w:type="dxa"/>
                  <w:vMerge w:val="restart"/>
                  <w:noWrap w:val="0"/>
                  <w:vAlign w:val="center"/>
                </w:tcPr>
                <w:p w14:paraId="3D29CACD">
                  <w:pPr>
                    <w:adjustRightInd w:val="0"/>
                    <w:snapToGrid w:val="0"/>
                    <w:jc w:val="center"/>
                    <w:rPr>
                      <w:rFonts w:hint="default" w:ascii="Times New Roman" w:hAnsi="Times New Roman" w:eastAsia="宋体" w:cs="Times New Roman"/>
                      <w:color w:val="auto"/>
                      <w:kern w:val="21"/>
                      <w:sz w:val="21"/>
                      <w:szCs w:val="21"/>
                      <w:lang w:eastAsia="zh-CN"/>
                    </w:rPr>
                  </w:pPr>
                  <w:r>
                    <w:rPr>
                      <w:rFonts w:hint="default" w:ascii="Times New Roman" w:hAnsi="Times New Roman" w:cs="Times New Roman"/>
                      <w:color w:val="auto"/>
                      <w:kern w:val="21"/>
                      <w:sz w:val="21"/>
                      <w:szCs w:val="21"/>
                      <w:lang w:eastAsia="zh-CN"/>
                    </w:rPr>
                    <w:t>废气</w:t>
                  </w:r>
                </w:p>
              </w:tc>
              <w:tc>
                <w:tcPr>
                  <w:tcW w:w="3090" w:type="dxa"/>
                  <w:noWrap w:val="0"/>
                  <w:vAlign w:val="center"/>
                </w:tcPr>
                <w:p w14:paraId="0188C4F6">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DA001</w:t>
                  </w:r>
                </w:p>
              </w:tc>
              <w:tc>
                <w:tcPr>
                  <w:tcW w:w="2672" w:type="dxa"/>
                  <w:noWrap w:val="0"/>
                  <w:vAlign w:val="center"/>
                </w:tcPr>
                <w:p w14:paraId="79656CDA">
                  <w:pPr>
                    <w:adjustRightInd w:val="0"/>
                    <w:snapToGrid w:val="0"/>
                    <w:jc w:val="center"/>
                    <w:rPr>
                      <w:rFonts w:hint="eastAsia" w:ascii="Times New Roman" w:hAnsi="Times New Roman" w:eastAsia="宋体" w:cs="Times New Roman"/>
                      <w:color w:val="auto"/>
                      <w:kern w:val="21"/>
                      <w:sz w:val="21"/>
                      <w:szCs w:val="21"/>
                      <w:lang w:val="en-US" w:eastAsia="zh-CN"/>
                    </w:rPr>
                  </w:pPr>
                  <w:r>
                    <w:rPr>
                      <w:rFonts w:hint="default" w:ascii="Times New Roman" w:hAnsi="Times New Roman" w:cs="Times New Roman"/>
                      <w:color w:val="auto"/>
                      <w:kern w:val="21"/>
                      <w:sz w:val="21"/>
                      <w:szCs w:val="21"/>
                    </w:rPr>
                    <w:t>颗粒物、</w:t>
                  </w:r>
                  <w:r>
                    <w:rPr>
                      <w:rFonts w:hint="eastAsia" w:cs="Times New Roman"/>
                      <w:color w:val="auto"/>
                      <w:kern w:val="21"/>
                      <w:sz w:val="21"/>
                      <w:szCs w:val="21"/>
                      <w:lang w:eastAsia="zh-CN"/>
                    </w:rPr>
                    <w:t>二氧化硫、氮氧化物、烟气黑度</w:t>
                  </w:r>
                </w:p>
              </w:tc>
              <w:tc>
                <w:tcPr>
                  <w:tcW w:w="1227" w:type="dxa"/>
                  <w:noWrap w:val="0"/>
                  <w:vAlign w:val="center"/>
                </w:tcPr>
                <w:p w14:paraId="5E7F3EE9">
                  <w:pPr>
                    <w:adjustRightInd w:val="0"/>
                    <w:snapToGrid w:val="0"/>
                    <w:jc w:val="center"/>
                    <w:rPr>
                      <w:rFonts w:hint="default" w:ascii="Times New Roman" w:hAnsi="Times New Roman" w:cs="Times New Roman"/>
                      <w:color w:val="auto"/>
                      <w:kern w:val="21"/>
                      <w:sz w:val="21"/>
                      <w:szCs w:val="21"/>
                      <w:lang w:eastAsia="zh-CN"/>
                    </w:rPr>
                  </w:pPr>
                  <w:r>
                    <w:rPr>
                      <w:rFonts w:hint="default" w:ascii="Times New Roman" w:hAnsi="Times New Roman" w:cs="Times New Roman"/>
                      <w:color w:val="auto"/>
                      <w:kern w:val="21"/>
                      <w:sz w:val="21"/>
                      <w:szCs w:val="21"/>
                      <w:lang w:eastAsia="zh-CN"/>
                    </w:rPr>
                    <w:t>1次/</w:t>
                  </w:r>
                  <w:r>
                    <w:rPr>
                      <w:rFonts w:hint="eastAsia" w:ascii="Times New Roman" w:hAnsi="Times New Roman" w:cs="Times New Roman"/>
                      <w:color w:val="auto"/>
                      <w:kern w:val="21"/>
                      <w:sz w:val="21"/>
                      <w:szCs w:val="21"/>
                      <w:lang w:eastAsia="zh-CN"/>
                    </w:rPr>
                    <w:t>年</w:t>
                  </w:r>
                </w:p>
              </w:tc>
            </w:tr>
            <w:tr w14:paraId="6B4034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09" w:type="dxa"/>
                  <w:vMerge w:val="continue"/>
                  <w:noWrap w:val="0"/>
                  <w:vAlign w:val="center"/>
                </w:tcPr>
                <w:p w14:paraId="3E0E11BE">
                  <w:pPr>
                    <w:adjustRightInd w:val="0"/>
                    <w:snapToGrid w:val="0"/>
                    <w:jc w:val="center"/>
                    <w:rPr>
                      <w:rFonts w:hint="default" w:ascii="Times New Roman" w:hAnsi="Times New Roman" w:eastAsia="宋体" w:cs="Times New Roman"/>
                      <w:color w:val="auto"/>
                      <w:kern w:val="21"/>
                      <w:sz w:val="21"/>
                      <w:szCs w:val="21"/>
                      <w:lang w:val="en-US" w:eastAsia="zh-CN" w:bidi="ar-SA"/>
                    </w:rPr>
                  </w:pPr>
                </w:p>
              </w:tc>
              <w:tc>
                <w:tcPr>
                  <w:tcW w:w="3090" w:type="dxa"/>
                  <w:noWrap w:val="0"/>
                  <w:vAlign w:val="center"/>
                </w:tcPr>
                <w:p w14:paraId="546522DF">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eastAsia="宋体" w:cs="Times New Roman"/>
                      <w:color w:val="auto"/>
                      <w:kern w:val="21"/>
                      <w:sz w:val="21"/>
                      <w:szCs w:val="21"/>
                      <w:lang w:val="en-US" w:eastAsia="zh-CN" w:bidi="ar-SA"/>
                    </w:rPr>
                    <w:t>厂界上风向设1个监测点，下</w:t>
                  </w:r>
                </w:p>
                <w:p w14:paraId="5B50B71B">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eastAsia="宋体" w:cs="Times New Roman"/>
                      <w:color w:val="auto"/>
                      <w:kern w:val="21"/>
                      <w:sz w:val="21"/>
                      <w:szCs w:val="21"/>
                      <w:lang w:val="en-US" w:eastAsia="zh-CN" w:bidi="ar-SA"/>
                    </w:rPr>
                    <w:t>风向设3个监测点</w:t>
                  </w:r>
                </w:p>
              </w:tc>
              <w:tc>
                <w:tcPr>
                  <w:tcW w:w="2672" w:type="dxa"/>
                  <w:noWrap w:val="0"/>
                  <w:vAlign w:val="center"/>
                </w:tcPr>
                <w:p w14:paraId="691130D4">
                  <w:pPr>
                    <w:adjustRightInd w:val="0"/>
                    <w:snapToGrid w:val="0"/>
                    <w:jc w:val="center"/>
                    <w:rPr>
                      <w:rFonts w:hint="eastAsia" w:ascii="Times New Roman" w:hAnsi="Times New Roman" w:eastAsia="宋体" w:cs="Times New Roman"/>
                      <w:color w:val="auto"/>
                      <w:kern w:val="21"/>
                      <w:sz w:val="21"/>
                      <w:szCs w:val="21"/>
                      <w:lang w:val="en-US" w:eastAsia="zh-CN" w:bidi="ar-SA"/>
                    </w:rPr>
                  </w:pPr>
                  <w:r>
                    <w:rPr>
                      <w:rFonts w:hint="eastAsia" w:ascii="Times New Roman" w:hAnsi="Times New Roman" w:cs="Times New Roman"/>
                      <w:color w:val="auto"/>
                      <w:kern w:val="21"/>
                      <w:sz w:val="21"/>
                      <w:szCs w:val="21"/>
                      <w:lang w:eastAsia="zh-CN"/>
                    </w:rPr>
                    <w:t>颗粒物</w:t>
                  </w:r>
                </w:p>
              </w:tc>
              <w:tc>
                <w:tcPr>
                  <w:tcW w:w="1227" w:type="dxa"/>
                  <w:noWrap w:val="0"/>
                  <w:vAlign w:val="center"/>
                </w:tcPr>
                <w:p w14:paraId="45FAAC2F">
                  <w:pPr>
                    <w:adjustRightInd w:val="0"/>
                    <w:snapToGrid w:val="0"/>
                    <w:jc w:val="center"/>
                    <w:rPr>
                      <w:rFonts w:hint="default" w:ascii="Times New Roman" w:hAnsi="Times New Roman" w:cs="Times New Roman"/>
                      <w:color w:val="auto"/>
                      <w:kern w:val="21"/>
                      <w:sz w:val="21"/>
                      <w:szCs w:val="21"/>
                      <w:lang w:val="en-US" w:eastAsia="zh-CN"/>
                    </w:rPr>
                  </w:pPr>
                  <w:r>
                    <w:rPr>
                      <w:rFonts w:hint="default" w:ascii="Times New Roman" w:hAnsi="Times New Roman" w:cs="Times New Roman"/>
                      <w:color w:val="auto"/>
                      <w:kern w:val="21"/>
                      <w:sz w:val="21"/>
                      <w:szCs w:val="21"/>
                      <w:lang w:eastAsia="zh-CN"/>
                    </w:rPr>
                    <w:t>1次/</w:t>
                  </w:r>
                  <w:r>
                    <w:rPr>
                      <w:rFonts w:hint="eastAsia" w:ascii="Times New Roman" w:hAnsi="Times New Roman" w:cs="Times New Roman"/>
                      <w:color w:val="auto"/>
                      <w:kern w:val="21"/>
                      <w:sz w:val="21"/>
                      <w:szCs w:val="21"/>
                      <w:lang w:eastAsia="zh-CN"/>
                    </w:rPr>
                    <w:t>年</w:t>
                  </w:r>
                </w:p>
              </w:tc>
            </w:tr>
            <w:tr w14:paraId="21AE2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109" w:type="dxa"/>
                  <w:noWrap w:val="0"/>
                  <w:vAlign w:val="center"/>
                </w:tcPr>
                <w:p w14:paraId="73DB93DA">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kern w:val="21"/>
                      <w:sz w:val="21"/>
                      <w:szCs w:val="21"/>
                    </w:rPr>
                    <w:t>噪声</w:t>
                  </w:r>
                </w:p>
              </w:tc>
              <w:tc>
                <w:tcPr>
                  <w:tcW w:w="3090" w:type="dxa"/>
                  <w:noWrap w:val="0"/>
                  <w:vAlign w:val="center"/>
                </w:tcPr>
                <w:p w14:paraId="3F3F930E">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eastAsia="宋体" w:cs="Times New Roman"/>
                      <w:color w:val="auto"/>
                      <w:kern w:val="21"/>
                      <w:sz w:val="21"/>
                      <w:szCs w:val="21"/>
                      <w:lang w:val="en-US" w:eastAsia="zh-CN" w:bidi="ar-SA"/>
                    </w:rPr>
                    <w:t>工业场地四周厂界</w:t>
                  </w:r>
                </w:p>
                <w:p w14:paraId="2028480D">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eastAsia="宋体" w:cs="Times New Roman"/>
                      <w:color w:val="auto"/>
                      <w:kern w:val="21"/>
                      <w:sz w:val="21"/>
                      <w:szCs w:val="21"/>
                      <w:lang w:val="en-US" w:eastAsia="zh-CN" w:bidi="ar-SA"/>
                    </w:rPr>
                    <w:t>各设一处监测点</w:t>
                  </w:r>
                </w:p>
              </w:tc>
              <w:tc>
                <w:tcPr>
                  <w:tcW w:w="2672" w:type="dxa"/>
                  <w:noWrap w:val="0"/>
                  <w:vAlign w:val="center"/>
                </w:tcPr>
                <w:p w14:paraId="29A4D08B">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sz w:val="21"/>
                      <w:szCs w:val="21"/>
                      <w:lang w:eastAsia="zh-CN"/>
                    </w:rPr>
                    <w:t>Leq（A）</w:t>
                  </w:r>
                </w:p>
              </w:tc>
              <w:tc>
                <w:tcPr>
                  <w:tcW w:w="1227" w:type="dxa"/>
                  <w:noWrap w:val="0"/>
                  <w:vAlign w:val="center"/>
                </w:tcPr>
                <w:p w14:paraId="23F6B45B">
                  <w:pPr>
                    <w:adjustRightInd w:val="0"/>
                    <w:snapToGrid w:val="0"/>
                    <w:jc w:val="center"/>
                    <w:rPr>
                      <w:rFonts w:hint="default" w:ascii="Times New Roman" w:hAnsi="Times New Roman" w:eastAsia="宋体" w:cs="Times New Roman"/>
                      <w:color w:val="auto"/>
                      <w:kern w:val="21"/>
                      <w:sz w:val="21"/>
                      <w:szCs w:val="21"/>
                      <w:lang w:val="en-US" w:eastAsia="zh-CN" w:bidi="ar-SA"/>
                    </w:rPr>
                  </w:pPr>
                  <w:r>
                    <w:rPr>
                      <w:rFonts w:hint="default" w:ascii="Times New Roman" w:hAnsi="Times New Roman" w:cs="Times New Roman"/>
                      <w:color w:val="auto"/>
                      <w:kern w:val="21"/>
                      <w:sz w:val="21"/>
                      <w:szCs w:val="21"/>
                    </w:rPr>
                    <w:t>1次/季</w:t>
                  </w:r>
                </w:p>
              </w:tc>
            </w:tr>
          </w:tbl>
          <w:p w14:paraId="3815E0F4">
            <w:pPr>
              <w:spacing w:line="360" w:lineRule="auto"/>
              <w:ind w:firstLine="480" w:firstLineChars="200"/>
              <w:rPr>
                <w:rFonts w:hint="default" w:ascii="Times New Roman" w:hAnsi="Times New Roman" w:cs="Times New Roman"/>
                <w:b/>
                <w:bCs/>
                <w:color w:val="auto"/>
                <w:kern w:val="21"/>
                <w:sz w:val="24"/>
                <w:szCs w:val="24"/>
                <w:highlight w:val="none"/>
                <w:lang w:eastAsia="zh-CN"/>
              </w:rPr>
            </w:pPr>
            <w:r>
              <w:rPr>
                <w:rFonts w:hint="default" w:ascii="Times New Roman" w:hAnsi="Times New Roman" w:cs="Times New Roman"/>
                <w:color w:val="auto"/>
                <w:kern w:val="21"/>
                <w:sz w:val="24"/>
              </w:rPr>
              <w:t>若企业不具备监测条件进行上述污染源及环境质量监测，可委托有资质的环境监测单位进行监测。</w:t>
            </w:r>
          </w:p>
          <w:p w14:paraId="776DF299">
            <w:pPr>
              <w:spacing w:line="360" w:lineRule="auto"/>
              <w:ind w:firstLine="482" w:firstLineChars="200"/>
              <w:rPr>
                <w:rFonts w:hint="default" w:ascii="Times New Roman" w:hAnsi="Times New Roman" w:cs="Times New Roman"/>
                <w:b/>
                <w:bCs/>
                <w:color w:val="auto"/>
                <w:kern w:val="21"/>
                <w:sz w:val="24"/>
                <w:szCs w:val="24"/>
                <w:highlight w:val="none"/>
              </w:rPr>
            </w:pPr>
            <w:r>
              <w:rPr>
                <w:rFonts w:hint="default" w:ascii="Times New Roman" w:hAnsi="Times New Roman" w:cs="Times New Roman"/>
                <w:b/>
                <w:bCs/>
                <w:color w:val="auto"/>
                <w:kern w:val="21"/>
                <w:sz w:val="24"/>
                <w:szCs w:val="24"/>
                <w:highlight w:val="none"/>
                <w:lang w:eastAsia="zh-CN"/>
              </w:rPr>
              <w:t>七、环境管理</w:t>
            </w:r>
          </w:p>
          <w:p w14:paraId="2172674A">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环境管理是按照国家、省和市有关环境保护法规，进行环境管理，接受地方主管环保部门的监督，制定环保规划和目标，促使工程向“清洁生产”的方向不断发展。</w:t>
            </w:r>
          </w:p>
          <w:p w14:paraId="37312661">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根据《国务院关于环境保护工作的决定》中有关建立和健全环保机构的精神，建议项目建成投产后，建立二级环境管理体系。各级领导对环境污染负有管</w:t>
            </w:r>
            <w:r>
              <w:rPr>
                <w:rFonts w:hint="eastAsia" w:cs="Times New Roman"/>
                <w:color w:val="auto"/>
                <w:kern w:val="21"/>
                <w:sz w:val="24"/>
                <w:szCs w:val="24"/>
                <w:lang w:eastAsia="zh-CN"/>
              </w:rPr>
              <w:t>理</w:t>
            </w:r>
            <w:r>
              <w:rPr>
                <w:rFonts w:hint="default" w:ascii="Times New Roman" w:hAnsi="Times New Roman" w:cs="Times New Roman"/>
                <w:color w:val="auto"/>
                <w:kern w:val="21"/>
                <w:sz w:val="24"/>
                <w:szCs w:val="24"/>
              </w:rPr>
              <w:t>、防治的责任。</w:t>
            </w:r>
          </w:p>
          <w:p w14:paraId="7C9B100D">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lang w:eastAsia="zh-CN"/>
              </w:rPr>
              <w:t>（一）</w:t>
            </w:r>
            <w:r>
              <w:rPr>
                <w:rFonts w:hint="default" w:ascii="Times New Roman" w:hAnsi="Times New Roman" w:cs="Times New Roman"/>
                <w:color w:val="auto"/>
                <w:kern w:val="21"/>
                <w:sz w:val="24"/>
                <w:szCs w:val="24"/>
              </w:rPr>
              <w:t>环境管理主要职责</w:t>
            </w:r>
          </w:p>
          <w:p w14:paraId="2F50E48C">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lang w:val="en-US" w:eastAsia="zh-CN"/>
              </w:rPr>
              <w:fldChar w:fldCharType="begin"/>
            </w:r>
            <w:r>
              <w:rPr>
                <w:rFonts w:hint="default" w:ascii="Times New Roman" w:hAnsi="Times New Roman" w:cs="Times New Roman"/>
                <w:color w:val="auto"/>
                <w:kern w:val="21"/>
                <w:sz w:val="24"/>
                <w:szCs w:val="24"/>
                <w:lang w:val="en-US" w:eastAsia="zh-CN"/>
              </w:rPr>
              <w:instrText xml:space="preserve"> = 1 \* GB3 \* MERGEFORMAT </w:instrText>
            </w:r>
            <w:r>
              <w:rPr>
                <w:rFonts w:hint="default" w:ascii="Times New Roman" w:hAnsi="Times New Roman" w:cs="Times New Roman"/>
                <w:color w:val="auto"/>
                <w:kern w:val="21"/>
                <w:sz w:val="24"/>
                <w:szCs w:val="24"/>
                <w:lang w:val="en-US" w:eastAsia="zh-CN"/>
              </w:rPr>
              <w:fldChar w:fldCharType="separate"/>
            </w:r>
            <w:r>
              <w:rPr>
                <w:rFonts w:hint="default" w:ascii="Times New Roman" w:hAnsi="Times New Roman" w:cs="Times New Roman"/>
                <w:color w:val="auto"/>
                <w:kern w:val="21"/>
                <w:sz w:val="24"/>
                <w:szCs w:val="24"/>
                <w:lang w:val="en-US" w:eastAsia="zh-CN"/>
              </w:rPr>
              <w:t>①</w:t>
            </w:r>
            <w:r>
              <w:rPr>
                <w:rFonts w:hint="default" w:ascii="Times New Roman" w:hAnsi="Times New Roman" w:cs="Times New Roman"/>
                <w:color w:val="auto"/>
                <w:kern w:val="21"/>
                <w:sz w:val="24"/>
                <w:szCs w:val="24"/>
                <w:lang w:val="en-US" w:eastAsia="zh-CN"/>
              </w:rPr>
              <w:fldChar w:fldCharType="end"/>
            </w:r>
            <w:r>
              <w:rPr>
                <w:rFonts w:hint="default" w:ascii="Times New Roman" w:hAnsi="Times New Roman" w:cs="Times New Roman"/>
                <w:color w:val="auto"/>
                <w:kern w:val="21"/>
                <w:sz w:val="24"/>
                <w:szCs w:val="24"/>
              </w:rPr>
              <w:t>认真贯彻国家和地方有关环保方针、政策法规。</w:t>
            </w:r>
          </w:p>
          <w:p w14:paraId="534A0520">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2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②</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rPr>
              <w:t>通过环境管理制度的考核，提高全体员工的环保意识。</w:t>
            </w:r>
          </w:p>
          <w:p w14:paraId="2363DB18">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3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③</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rPr>
              <w:t>建立健全一套符合本项目实际情况的环境保护管理制度，使环保工作有章可循，并形成制度化管理。</w:t>
            </w:r>
          </w:p>
          <w:p w14:paraId="52A27159">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4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④</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rPr>
              <w:t>制定环境管理控制目标及实施办法，搞好全厂污染物总量控制。</w:t>
            </w:r>
          </w:p>
          <w:p w14:paraId="667B879F">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5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⑤</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rPr>
              <w:t>参与各项环保设施施工质量的检查和竣工验收：监督和检查环保设施的运行和维护。</w:t>
            </w:r>
          </w:p>
          <w:p w14:paraId="62C1DA0D">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6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⑥</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rPr>
              <w:t>建立健全环保统计等技术档案。</w:t>
            </w:r>
          </w:p>
          <w:p w14:paraId="468B9DD2">
            <w:pPr>
              <w:spacing w:line="360" w:lineRule="auto"/>
              <w:ind w:firstLine="480" w:firstLineChars="200"/>
              <w:rPr>
                <w:rFonts w:hint="default" w:ascii="Times New Roman" w:hAnsi="Times New Roman" w:cs="Times New Roman"/>
                <w:color w:val="auto"/>
                <w:kern w:val="21"/>
                <w:sz w:val="24"/>
                <w:szCs w:val="24"/>
                <w:lang w:eastAsia="zh-CN"/>
              </w:rPr>
            </w:pPr>
            <w:r>
              <w:rPr>
                <w:rFonts w:hint="default" w:ascii="Times New Roman" w:hAnsi="Times New Roman" w:cs="Times New Roman"/>
                <w:color w:val="auto"/>
                <w:kern w:val="21"/>
                <w:sz w:val="24"/>
                <w:szCs w:val="24"/>
                <w:lang w:eastAsia="zh-CN"/>
              </w:rPr>
              <w:t>（二）环境监测工作职责及主要任务</w:t>
            </w:r>
          </w:p>
          <w:p w14:paraId="0382EEDE">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环境监测是环境保护的基础，是掌握环境质量和了解其</w:t>
            </w:r>
            <w:r>
              <w:rPr>
                <w:rFonts w:hint="default" w:ascii="Times New Roman" w:hAnsi="Times New Roman" w:cs="Times New Roman"/>
                <w:color w:val="auto"/>
                <w:kern w:val="21"/>
                <w:sz w:val="24"/>
                <w:szCs w:val="24"/>
                <w:lang w:val="en-US" w:eastAsia="zh-CN"/>
              </w:rPr>
              <w:t>QA</w:t>
            </w:r>
            <w:r>
              <w:rPr>
                <w:rFonts w:hint="default" w:ascii="Times New Roman" w:hAnsi="Times New Roman" w:cs="Times New Roman"/>
                <w:color w:val="auto"/>
                <w:kern w:val="21"/>
                <w:sz w:val="24"/>
                <w:szCs w:val="24"/>
              </w:rPr>
              <w:t>变化动态的重要手段。参照有关规定，本次环评对该项环境监测的工作职责及主要任务建议如下：</w:t>
            </w:r>
          </w:p>
          <w:p w14:paraId="28F0C9ED">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严格按照国家有关环境质量标准、污染物排放标准、环境监测技术规范和环境监测分析方法规定等要求，建立环境监测管理制度和环境监测质量保证体系，确保监测数据真实可靠。</w:t>
            </w:r>
          </w:p>
          <w:p w14:paraId="59975FD4">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按照环境监测计划和安全环保部门的要求，定期对污染源的污染物及废水、废气治理设施运行状况进行监测，定期或不定期对厂区或厂区周边环境空气、噪声等环境要素中的常规污染物、特征污染物和环境影响因素进行监测。</w:t>
            </w:r>
          </w:p>
          <w:p w14:paraId="16E7AF1E">
            <w:pPr>
              <w:spacing w:line="360" w:lineRule="auto"/>
              <w:ind w:firstLine="480" w:firstLineChars="200"/>
              <w:rPr>
                <w:rFonts w:hint="default" w:ascii="Times New Roman" w:hAnsi="Times New Roman" w:cs="Times New Roman"/>
                <w:color w:val="auto"/>
                <w:kern w:val="21"/>
                <w:sz w:val="24"/>
                <w:szCs w:val="24"/>
              </w:rPr>
            </w:pPr>
            <w:r>
              <w:rPr>
                <w:rFonts w:hint="default" w:ascii="Times New Roman" w:hAnsi="Times New Roman" w:cs="Times New Roman"/>
                <w:color w:val="auto"/>
                <w:kern w:val="21"/>
                <w:sz w:val="24"/>
                <w:szCs w:val="24"/>
              </w:rPr>
              <w:t>及时汇总环境监测数据，定期对环境监测数据进行综合分析，掌握污染物排放状况及变化趋势，及时将结果反馈给生产管理部门、环境管理部门。</w:t>
            </w:r>
          </w:p>
          <w:p w14:paraId="0DD721FE">
            <w:pPr>
              <w:spacing w:line="360" w:lineRule="auto"/>
              <w:ind w:firstLine="480" w:firstLineChars="200"/>
              <w:rPr>
                <w:rFonts w:hint="default" w:ascii="Times New Roman" w:hAnsi="Times New Roman" w:cs="Times New Roman"/>
                <w:color w:val="auto"/>
                <w:kern w:val="21"/>
                <w:sz w:val="24"/>
                <w:szCs w:val="24"/>
                <w:lang w:val="en-US" w:eastAsia="zh-CN"/>
              </w:rPr>
            </w:pPr>
            <w:r>
              <w:rPr>
                <w:rFonts w:hint="default" w:ascii="Times New Roman" w:hAnsi="Times New Roman" w:cs="Times New Roman"/>
                <w:color w:val="auto"/>
                <w:kern w:val="21"/>
                <w:sz w:val="24"/>
                <w:szCs w:val="24"/>
                <w:lang w:val="en-US" w:eastAsia="zh-CN"/>
              </w:rPr>
              <w:t>（三）环境管理措施</w:t>
            </w:r>
          </w:p>
          <w:p w14:paraId="7CD47B2D">
            <w:pPr>
              <w:spacing w:line="360" w:lineRule="auto"/>
              <w:ind w:firstLine="480" w:firstLineChars="200"/>
              <w:rPr>
                <w:rFonts w:hint="default" w:ascii="Times New Roman" w:hAnsi="Times New Roman" w:cs="Times New Roman"/>
                <w:color w:val="auto"/>
                <w:kern w:val="21"/>
                <w:sz w:val="24"/>
                <w:szCs w:val="24"/>
                <w:lang w:val="en-US" w:eastAsia="zh-CN"/>
              </w:rPr>
            </w:pPr>
            <w:r>
              <w:rPr>
                <w:rFonts w:hint="default" w:ascii="Times New Roman" w:hAnsi="Times New Roman" w:cs="Times New Roman"/>
                <w:color w:val="auto"/>
                <w:kern w:val="21"/>
                <w:sz w:val="24"/>
                <w:szCs w:val="24"/>
                <w:lang w:val="en-US" w:eastAsia="zh-CN"/>
              </w:rPr>
              <w:fldChar w:fldCharType="begin"/>
            </w:r>
            <w:r>
              <w:rPr>
                <w:rFonts w:hint="default" w:ascii="Times New Roman" w:hAnsi="Times New Roman" w:cs="Times New Roman"/>
                <w:color w:val="auto"/>
                <w:kern w:val="21"/>
                <w:sz w:val="24"/>
                <w:szCs w:val="24"/>
                <w:lang w:val="en-US" w:eastAsia="zh-CN"/>
              </w:rPr>
              <w:instrText xml:space="preserve"> = 1 \* GB3 \* MERGEFORMAT </w:instrText>
            </w:r>
            <w:r>
              <w:rPr>
                <w:rFonts w:hint="default" w:ascii="Times New Roman" w:hAnsi="Times New Roman" w:cs="Times New Roman"/>
                <w:color w:val="auto"/>
                <w:kern w:val="21"/>
                <w:sz w:val="24"/>
                <w:szCs w:val="24"/>
                <w:lang w:val="en-US" w:eastAsia="zh-CN"/>
              </w:rPr>
              <w:fldChar w:fldCharType="separate"/>
            </w:r>
            <w:r>
              <w:rPr>
                <w:rFonts w:hint="default" w:ascii="Times New Roman" w:hAnsi="Times New Roman" w:cs="Times New Roman"/>
                <w:color w:val="auto"/>
                <w:kern w:val="21"/>
                <w:sz w:val="24"/>
                <w:szCs w:val="24"/>
                <w:lang w:val="en-US" w:eastAsia="zh-CN"/>
              </w:rPr>
              <w:t>①</w:t>
            </w:r>
            <w:r>
              <w:rPr>
                <w:rFonts w:hint="default" w:ascii="Times New Roman" w:hAnsi="Times New Roman" w:cs="Times New Roman"/>
                <w:color w:val="auto"/>
                <w:kern w:val="21"/>
                <w:sz w:val="24"/>
                <w:szCs w:val="24"/>
                <w:lang w:val="en-US" w:eastAsia="zh-CN"/>
              </w:rPr>
              <w:fldChar w:fldCharType="end"/>
            </w:r>
            <w:r>
              <w:rPr>
                <w:rFonts w:hint="default" w:ascii="Times New Roman" w:hAnsi="Times New Roman" w:cs="Times New Roman"/>
                <w:color w:val="auto"/>
                <w:kern w:val="21"/>
                <w:sz w:val="24"/>
                <w:szCs w:val="24"/>
                <w:lang w:val="en-US" w:eastAsia="zh-CN"/>
              </w:rPr>
              <w:t>建立建全环境管理制度</w:t>
            </w:r>
          </w:p>
          <w:p w14:paraId="647E062D">
            <w:pPr>
              <w:spacing w:line="360" w:lineRule="auto"/>
              <w:ind w:firstLine="480" w:firstLineChars="200"/>
              <w:rPr>
                <w:rFonts w:hint="default" w:ascii="Times New Roman" w:hAnsi="Times New Roman" w:cs="Times New Roman"/>
                <w:color w:val="auto"/>
                <w:kern w:val="21"/>
                <w:sz w:val="24"/>
                <w:szCs w:val="24"/>
                <w:lang w:val="en-US" w:eastAsia="zh-CN"/>
              </w:rPr>
            </w:pPr>
            <w:r>
              <w:rPr>
                <w:rFonts w:hint="default" w:ascii="Times New Roman" w:hAnsi="Times New Roman" w:cs="Times New Roman"/>
                <w:color w:val="auto"/>
                <w:kern w:val="21"/>
                <w:sz w:val="24"/>
                <w:szCs w:val="24"/>
                <w:lang w:val="en-US" w:eastAsia="zh-CN"/>
              </w:rPr>
              <w:t>必须做好环保“三同时”工作，加强对职工的安全和环保教育，进行生产过程中环境保护的培训，形成良好的环境保护意识。</w:t>
            </w:r>
          </w:p>
          <w:p w14:paraId="60C49B9C">
            <w:pPr>
              <w:spacing w:line="360" w:lineRule="auto"/>
              <w:ind w:firstLine="480" w:firstLineChars="200"/>
              <w:rPr>
                <w:rFonts w:hint="default" w:ascii="Times New Roman" w:hAnsi="Times New Roman" w:cs="Times New Roman"/>
                <w:color w:val="auto"/>
                <w:kern w:val="21"/>
                <w:sz w:val="24"/>
                <w:szCs w:val="24"/>
                <w:lang w:val="en-US" w:eastAsia="zh-CN"/>
              </w:rPr>
            </w:pPr>
            <w:r>
              <w:rPr>
                <w:rFonts w:hint="default" w:ascii="Times New Roman" w:hAnsi="Times New Roman" w:cs="Times New Roman"/>
                <w:color w:val="auto"/>
                <w:kern w:val="21"/>
                <w:sz w:val="24"/>
                <w:szCs w:val="24"/>
              </w:rPr>
              <w:fldChar w:fldCharType="begin"/>
            </w:r>
            <w:r>
              <w:rPr>
                <w:rFonts w:hint="default" w:ascii="Times New Roman" w:hAnsi="Times New Roman" w:cs="Times New Roman"/>
                <w:color w:val="auto"/>
                <w:kern w:val="21"/>
                <w:sz w:val="24"/>
                <w:szCs w:val="24"/>
              </w:rPr>
              <w:instrText xml:space="preserve"> = 2 \* GB3 \* MERGEFORMAT </w:instrText>
            </w:r>
            <w:r>
              <w:rPr>
                <w:rFonts w:hint="default" w:ascii="Times New Roman" w:hAnsi="Times New Roman" w:cs="Times New Roman"/>
                <w:color w:val="auto"/>
                <w:kern w:val="21"/>
                <w:sz w:val="24"/>
                <w:szCs w:val="24"/>
              </w:rPr>
              <w:fldChar w:fldCharType="separate"/>
            </w:r>
            <w:r>
              <w:rPr>
                <w:rFonts w:hint="default" w:ascii="Times New Roman" w:hAnsi="Times New Roman" w:cs="Times New Roman"/>
                <w:color w:val="auto"/>
                <w:kern w:val="21"/>
                <w:sz w:val="24"/>
                <w:szCs w:val="24"/>
              </w:rPr>
              <w:t>②</w:t>
            </w:r>
            <w:r>
              <w:rPr>
                <w:rFonts w:hint="default" w:ascii="Times New Roman" w:hAnsi="Times New Roman" w:cs="Times New Roman"/>
                <w:color w:val="auto"/>
                <w:kern w:val="21"/>
                <w:sz w:val="24"/>
                <w:szCs w:val="24"/>
              </w:rPr>
              <w:fldChar w:fldCharType="end"/>
            </w:r>
            <w:r>
              <w:rPr>
                <w:rFonts w:hint="default" w:ascii="Times New Roman" w:hAnsi="Times New Roman" w:cs="Times New Roman"/>
                <w:color w:val="auto"/>
                <w:kern w:val="21"/>
                <w:sz w:val="24"/>
                <w:szCs w:val="24"/>
                <w:lang w:val="en-US" w:eastAsia="zh-CN"/>
              </w:rPr>
              <w:t>环境管理人员</w:t>
            </w:r>
          </w:p>
          <w:p w14:paraId="5A3371EB">
            <w:pPr>
              <w:spacing w:line="360" w:lineRule="auto"/>
              <w:ind w:firstLine="480" w:firstLineChars="200"/>
              <w:rPr>
                <w:rFonts w:hint="default" w:ascii="Times New Roman" w:hAnsi="Times New Roman" w:cs="Times New Roman"/>
                <w:color w:val="auto"/>
                <w:kern w:val="21"/>
                <w:sz w:val="24"/>
                <w:szCs w:val="24"/>
                <w:lang w:val="en-US" w:eastAsia="zh-CN"/>
              </w:rPr>
            </w:pPr>
            <w:r>
              <w:rPr>
                <w:rFonts w:hint="default" w:ascii="Times New Roman" w:hAnsi="Times New Roman" w:cs="Times New Roman"/>
                <w:color w:val="auto"/>
                <w:kern w:val="21"/>
                <w:sz w:val="24"/>
                <w:szCs w:val="24"/>
                <w:lang w:val="en-US" w:eastAsia="zh-CN"/>
              </w:rPr>
              <w:t>设立专门的环保机构，由厂内专职管理技术人员兼职环保工作，具体负责环保设施的运行、检查、维护等工作。建立建全环境管理制度，改善厂区环境。</w:t>
            </w:r>
          </w:p>
          <w:p w14:paraId="0457F565">
            <w:pPr>
              <w:spacing w:line="360" w:lineRule="auto"/>
              <w:ind w:firstLine="480" w:firstLineChars="200"/>
              <w:rPr>
                <w:rFonts w:hint="default" w:ascii="Times New Roman" w:hAnsi="Times New Roman" w:cs="Times New Roman"/>
                <w:color w:val="auto"/>
                <w:kern w:val="21"/>
                <w:sz w:val="24"/>
                <w:szCs w:val="24"/>
                <w:highlight w:val="none"/>
                <w:lang w:val="en-US" w:eastAsia="zh-CN"/>
              </w:rPr>
            </w:pPr>
            <w:r>
              <w:rPr>
                <w:rFonts w:hint="default" w:ascii="Times New Roman" w:hAnsi="Times New Roman" w:cs="Times New Roman"/>
                <w:color w:val="auto"/>
                <w:kern w:val="21"/>
                <w:sz w:val="24"/>
                <w:szCs w:val="24"/>
                <w:highlight w:val="none"/>
                <w:lang w:val="en-US" w:eastAsia="zh-CN"/>
              </w:rPr>
              <w:t>（四）排污口规范化</w:t>
            </w:r>
          </w:p>
          <w:p w14:paraId="4580A163">
            <w:pPr>
              <w:spacing w:line="360" w:lineRule="auto"/>
              <w:ind w:firstLine="480" w:firstLineChars="200"/>
              <w:rPr>
                <w:rFonts w:hint="default" w:ascii="Times New Roman" w:hAnsi="Times New Roman" w:cs="Times New Roman"/>
                <w:b/>
                <w:color w:val="auto"/>
                <w:kern w:val="21"/>
                <w:sz w:val="21"/>
                <w:szCs w:val="21"/>
              </w:rPr>
            </w:pPr>
            <w:r>
              <w:rPr>
                <w:rFonts w:hint="default" w:ascii="Times New Roman" w:hAnsi="Times New Roman" w:cs="Times New Roman"/>
                <w:color w:val="auto"/>
                <w:kern w:val="21"/>
                <w:sz w:val="24"/>
                <w:szCs w:val="24"/>
                <w:lang w:val="en-US" w:eastAsia="zh-CN"/>
              </w:rPr>
              <w:t>①必须根据有关规定要求做好排污口的规范化建设。排污口应有符合国家标准《环境保护图形标志》（GB15562.1-1995）规定要求的排放口标志牌。</w:t>
            </w:r>
            <w:r>
              <w:rPr>
                <w:rFonts w:hint="default" w:ascii="Times New Roman" w:hAnsi="Times New Roman" w:eastAsia="宋体" w:cs="Times New Roman"/>
                <w:b w:val="0"/>
                <w:bCs w:val="0"/>
                <w:color w:val="auto"/>
                <w:kern w:val="0"/>
                <w:sz w:val="24"/>
                <w:szCs w:val="20"/>
                <w:lang w:val="en-US" w:eastAsia="zh-CN" w:bidi="ar-SA"/>
              </w:rPr>
              <w:t>具体标识见</w:t>
            </w:r>
            <w:r>
              <w:rPr>
                <w:rFonts w:hint="default" w:ascii="Times New Roman" w:hAnsi="Times New Roman" w:cs="Times New Roman"/>
                <w:b w:val="0"/>
                <w:bCs w:val="0"/>
                <w:color w:val="auto"/>
                <w:kern w:val="0"/>
                <w:sz w:val="24"/>
                <w:szCs w:val="20"/>
                <w:lang w:val="en-US" w:eastAsia="zh-CN" w:bidi="ar-SA"/>
              </w:rPr>
              <w:t>下表</w:t>
            </w:r>
            <w:r>
              <w:rPr>
                <w:rFonts w:hint="eastAsia" w:cs="Times New Roman"/>
                <w:b w:val="0"/>
                <w:bCs w:val="0"/>
                <w:color w:val="auto"/>
                <w:kern w:val="0"/>
                <w:sz w:val="24"/>
                <w:szCs w:val="20"/>
                <w:lang w:val="en-US" w:eastAsia="zh-CN" w:bidi="ar-SA"/>
              </w:rPr>
              <w:t>。</w:t>
            </w:r>
          </w:p>
          <w:p w14:paraId="6DE0FCD8">
            <w:pPr>
              <w:adjustRightInd w:val="0"/>
              <w:snapToGrid w:val="0"/>
              <w:jc w:val="center"/>
              <w:rPr>
                <w:rFonts w:hint="default" w:ascii="Times New Roman" w:hAnsi="Times New Roman" w:cs="Times New Roman"/>
                <w:b/>
                <w:color w:val="auto"/>
                <w:kern w:val="21"/>
                <w:sz w:val="24"/>
                <w:szCs w:val="24"/>
              </w:rPr>
            </w:pPr>
            <w:r>
              <w:rPr>
                <w:rFonts w:hint="default" w:ascii="Times New Roman" w:hAnsi="Times New Roman" w:cs="Times New Roman"/>
                <w:b/>
                <w:color w:val="auto"/>
                <w:kern w:val="21"/>
                <w:sz w:val="24"/>
                <w:szCs w:val="24"/>
              </w:rPr>
              <w:t>表</w:t>
            </w:r>
            <w:r>
              <w:rPr>
                <w:rFonts w:hint="default" w:ascii="Times New Roman" w:hAnsi="Times New Roman" w:cs="Times New Roman"/>
                <w:b/>
                <w:color w:val="auto"/>
                <w:kern w:val="21"/>
                <w:sz w:val="24"/>
                <w:szCs w:val="24"/>
                <w:lang w:val="en-US" w:eastAsia="zh-CN"/>
              </w:rPr>
              <w:t>4</w:t>
            </w:r>
            <w:r>
              <w:rPr>
                <w:rFonts w:hint="default" w:ascii="Times New Roman" w:hAnsi="Times New Roman" w:cs="Times New Roman"/>
                <w:b/>
                <w:color w:val="auto"/>
                <w:kern w:val="21"/>
                <w:sz w:val="24"/>
                <w:szCs w:val="24"/>
              </w:rPr>
              <w:t>-</w:t>
            </w:r>
            <w:r>
              <w:rPr>
                <w:rFonts w:hint="default" w:ascii="Times New Roman" w:hAnsi="Times New Roman" w:cs="Times New Roman"/>
                <w:b/>
                <w:color w:val="auto"/>
                <w:kern w:val="21"/>
                <w:sz w:val="24"/>
                <w:szCs w:val="24"/>
                <w:lang w:val="en-US" w:eastAsia="zh-CN"/>
              </w:rPr>
              <w:t>1</w:t>
            </w:r>
            <w:r>
              <w:rPr>
                <w:rFonts w:hint="eastAsia" w:cs="Times New Roman"/>
                <w:b/>
                <w:color w:val="auto"/>
                <w:kern w:val="21"/>
                <w:sz w:val="24"/>
                <w:szCs w:val="24"/>
                <w:lang w:val="en-US" w:eastAsia="zh-CN"/>
              </w:rPr>
              <w:t>2</w:t>
            </w:r>
            <w:r>
              <w:rPr>
                <w:rFonts w:hint="default" w:ascii="Times New Roman" w:hAnsi="Times New Roman" w:cs="Times New Roman"/>
                <w:b/>
                <w:color w:val="auto"/>
                <w:kern w:val="21"/>
                <w:sz w:val="24"/>
                <w:szCs w:val="24"/>
              </w:rPr>
              <w:t>污染物排放口环境保护图形标志一览表</w:t>
            </w:r>
          </w:p>
          <w:tbl>
            <w:tblPr>
              <w:tblStyle w:val="30"/>
              <w:tblW w:w="7737" w:type="dxa"/>
              <w:jc w:val="center"/>
              <w:tblLayout w:type="fixed"/>
              <w:tblCellMar>
                <w:top w:w="0" w:type="dxa"/>
                <w:left w:w="108" w:type="dxa"/>
                <w:bottom w:w="0" w:type="dxa"/>
                <w:right w:w="108" w:type="dxa"/>
              </w:tblCellMar>
            </w:tblPr>
            <w:tblGrid>
              <w:gridCol w:w="871"/>
              <w:gridCol w:w="1665"/>
              <w:gridCol w:w="1845"/>
              <w:gridCol w:w="1650"/>
              <w:gridCol w:w="1706"/>
            </w:tblGrid>
            <w:tr w14:paraId="524B2881">
              <w:tblPrEx>
                <w:tblCellMar>
                  <w:top w:w="0" w:type="dxa"/>
                  <w:left w:w="108" w:type="dxa"/>
                  <w:bottom w:w="0" w:type="dxa"/>
                  <w:right w:w="108" w:type="dxa"/>
                </w:tblCellMar>
              </w:tblPrEx>
              <w:trPr>
                <w:trHeight w:val="389" w:hRule="atLeast"/>
                <w:jc w:val="center"/>
              </w:trPr>
              <w:tc>
                <w:tcPr>
                  <w:tcW w:w="871" w:type="dxa"/>
                  <w:tcBorders>
                    <w:top w:val="single" w:color="auto" w:sz="12" w:space="0"/>
                    <w:bottom w:val="single" w:color="auto" w:sz="4" w:space="0"/>
                  </w:tcBorders>
                  <w:noWrap w:val="0"/>
                  <w:vAlign w:val="center"/>
                </w:tcPr>
                <w:p w14:paraId="34B58FD4">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排放口</w:t>
                  </w:r>
                </w:p>
              </w:tc>
              <w:tc>
                <w:tcPr>
                  <w:tcW w:w="1665" w:type="dxa"/>
                  <w:tcBorders>
                    <w:top w:val="single" w:color="auto" w:sz="12" w:space="0"/>
                    <w:left w:val="single" w:color="auto" w:sz="4" w:space="0"/>
                    <w:bottom w:val="single" w:color="auto" w:sz="4" w:space="0"/>
                  </w:tcBorders>
                  <w:noWrap w:val="0"/>
                  <w:vAlign w:val="center"/>
                </w:tcPr>
                <w:p w14:paraId="7A925D5C">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废气排口</w:t>
                  </w:r>
                </w:p>
              </w:tc>
              <w:tc>
                <w:tcPr>
                  <w:tcW w:w="1845" w:type="dxa"/>
                  <w:tcBorders>
                    <w:top w:val="single" w:color="auto" w:sz="12" w:space="0"/>
                    <w:left w:val="single" w:color="auto" w:sz="4" w:space="0"/>
                    <w:bottom w:val="single" w:color="auto" w:sz="4" w:space="0"/>
                    <w:right w:val="single" w:color="auto" w:sz="4" w:space="0"/>
                  </w:tcBorders>
                  <w:noWrap w:val="0"/>
                  <w:vAlign w:val="center"/>
                </w:tcPr>
                <w:p w14:paraId="5C2E05DC">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噪声源</w:t>
                  </w:r>
                </w:p>
              </w:tc>
              <w:tc>
                <w:tcPr>
                  <w:tcW w:w="1650" w:type="dxa"/>
                  <w:tcBorders>
                    <w:top w:val="single" w:color="auto" w:sz="12" w:space="0"/>
                    <w:left w:val="single" w:color="auto" w:sz="4" w:space="0"/>
                    <w:bottom w:val="single" w:color="auto" w:sz="4" w:space="0"/>
                  </w:tcBorders>
                  <w:noWrap w:val="0"/>
                  <w:vAlign w:val="center"/>
                </w:tcPr>
                <w:p w14:paraId="606CBEBD">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固废堆场</w:t>
                  </w:r>
                </w:p>
              </w:tc>
              <w:tc>
                <w:tcPr>
                  <w:tcW w:w="1706" w:type="dxa"/>
                  <w:tcBorders>
                    <w:top w:val="single" w:color="auto" w:sz="12" w:space="0"/>
                    <w:left w:val="single" w:color="auto" w:sz="4" w:space="0"/>
                    <w:bottom w:val="single" w:color="auto" w:sz="4" w:space="0"/>
                  </w:tcBorders>
                  <w:noWrap w:val="0"/>
                  <w:vAlign w:val="center"/>
                </w:tcPr>
                <w:p w14:paraId="0D281407">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eastAsia="宋体" w:cs="Times New Roman"/>
                      <w:b/>
                      <w:bCs/>
                      <w:color w:val="auto"/>
                      <w:kern w:val="21"/>
                    </w:rPr>
                    <w:t>危险废物</w:t>
                  </w:r>
                </w:p>
              </w:tc>
            </w:tr>
            <w:tr w14:paraId="4A1AB9FC">
              <w:tblPrEx>
                <w:tblCellMar>
                  <w:top w:w="0" w:type="dxa"/>
                  <w:left w:w="108" w:type="dxa"/>
                  <w:bottom w:w="0" w:type="dxa"/>
                  <w:right w:w="108" w:type="dxa"/>
                </w:tblCellMar>
              </w:tblPrEx>
              <w:trPr>
                <w:trHeight w:val="1325" w:hRule="atLeast"/>
                <w:jc w:val="center"/>
              </w:trPr>
              <w:tc>
                <w:tcPr>
                  <w:tcW w:w="871" w:type="dxa"/>
                  <w:tcBorders>
                    <w:top w:val="single" w:color="auto" w:sz="4" w:space="0"/>
                    <w:bottom w:val="single" w:color="auto" w:sz="4" w:space="0"/>
                  </w:tcBorders>
                  <w:noWrap w:val="0"/>
                  <w:vAlign w:val="center"/>
                </w:tcPr>
                <w:p w14:paraId="4931CEB6">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图形符号</w:t>
                  </w:r>
                </w:p>
              </w:tc>
              <w:tc>
                <w:tcPr>
                  <w:tcW w:w="1665" w:type="dxa"/>
                  <w:tcBorders>
                    <w:top w:val="single" w:color="auto" w:sz="4" w:space="0"/>
                    <w:left w:val="single" w:color="auto" w:sz="4" w:space="0"/>
                    <w:bottom w:val="single" w:color="auto" w:sz="4" w:space="0"/>
                  </w:tcBorders>
                  <w:noWrap w:val="0"/>
                  <w:vAlign w:val="center"/>
                </w:tcPr>
                <w:p w14:paraId="5C973602">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sz w:val="21"/>
                      <w:szCs w:val="21"/>
                    </w:rPr>
                    <w:drawing>
                      <wp:inline distT="0" distB="0" distL="114300" distR="114300">
                        <wp:extent cx="1092835" cy="728980"/>
                        <wp:effectExtent l="0" t="0" r="12065" b="13970"/>
                        <wp:docPr id="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9"/>
                                <pic:cNvPicPr>
                                  <a:picLocks noChangeAspect="1"/>
                                </pic:cNvPicPr>
                              </pic:nvPicPr>
                              <pic:blipFill>
                                <a:blip r:embed="rId27"/>
                                <a:stretch>
                                  <a:fillRect/>
                                </a:stretch>
                              </pic:blipFill>
                              <pic:spPr>
                                <a:xfrm>
                                  <a:off x="0" y="0"/>
                                  <a:ext cx="1092835" cy="728980"/>
                                </a:xfrm>
                                <a:prstGeom prst="rect">
                                  <a:avLst/>
                                </a:prstGeom>
                                <a:noFill/>
                                <a:ln>
                                  <a:noFill/>
                                </a:ln>
                              </pic:spPr>
                            </pic:pic>
                          </a:graphicData>
                        </a:graphic>
                      </wp:inline>
                    </w:drawing>
                  </w:r>
                </w:p>
              </w:tc>
              <w:tc>
                <w:tcPr>
                  <w:tcW w:w="1845" w:type="dxa"/>
                  <w:tcBorders>
                    <w:top w:val="single" w:color="auto" w:sz="4" w:space="0"/>
                    <w:left w:val="single" w:color="auto" w:sz="4" w:space="0"/>
                    <w:bottom w:val="single" w:color="auto" w:sz="4" w:space="0"/>
                    <w:right w:val="single" w:color="auto" w:sz="4" w:space="0"/>
                  </w:tcBorders>
                  <w:noWrap w:val="0"/>
                  <w:vAlign w:val="center"/>
                </w:tcPr>
                <w:p w14:paraId="00168448">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sz w:val="21"/>
                      <w:szCs w:val="21"/>
                    </w:rPr>
                    <w:drawing>
                      <wp:inline distT="0" distB="0" distL="114300" distR="114300">
                        <wp:extent cx="1078230" cy="793750"/>
                        <wp:effectExtent l="0" t="0" r="7620" b="635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8"/>
                                <a:stretch>
                                  <a:fillRect/>
                                </a:stretch>
                              </pic:blipFill>
                              <pic:spPr>
                                <a:xfrm>
                                  <a:off x="0" y="0"/>
                                  <a:ext cx="1078230" cy="793750"/>
                                </a:xfrm>
                                <a:prstGeom prst="rect">
                                  <a:avLst/>
                                </a:prstGeom>
                                <a:noFill/>
                                <a:ln>
                                  <a:noFill/>
                                </a:ln>
                              </pic:spPr>
                            </pic:pic>
                          </a:graphicData>
                        </a:graphic>
                      </wp:inline>
                    </w:drawing>
                  </w:r>
                </w:p>
              </w:tc>
              <w:tc>
                <w:tcPr>
                  <w:tcW w:w="1650" w:type="dxa"/>
                  <w:tcBorders>
                    <w:top w:val="single" w:color="auto" w:sz="4" w:space="0"/>
                    <w:left w:val="single" w:color="auto" w:sz="4" w:space="0"/>
                    <w:bottom w:val="single" w:color="auto" w:sz="4" w:space="0"/>
                  </w:tcBorders>
                  <w:noWrap w:val="0"/>
                  <w:vAlign w:val="center"/>
                </w:tcPr>
                <w:p w14:paraId="1464F790">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sz w:val="21"/>
                      <w:szCs w:val="21"/>
                    </w:rPr>
                    <w:drawing>
                      <wp:inline distT="0" distB="0" distL="114300" distR="114300">
                        <wp:extent cx="1077595" cy="709930"/>
                        <wp:effectExtent l="0" t="0" r="8255" b="1397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29"/>
                                <a:stretch>
                                  <a:fillRect/>
                                </a:stretch>
                              </pic:blipFill>
                              <pic:spPr>
                                <a:xfrm>
                                  <a:off x="0" y="0"/>
                                  <a:ext cx="1077595" cy="709930"/>
                                </a:xfrm>
                                <a:prstGeom prst="rect">
                                  <a:avLst/>
                                </a:prstGeom>
                                <a:noFill/>
                                <a:ln>
                                  <a:noFill/>
                                </a:ln>
                              </pic:spPr>
                            </pic:pic>
                          </a:graphicData>
                        </a:graphic>
                      </wp:inline>
                    </w:drawing>
                  </w:r>
                </w:p>
              </w:tc>
              <w:tc>
                <w:tcPr>
                  <w:tcW w:w="1706" w:type="dxa"/>
                  <w:tcBorders>
                    <w:top w:val="single" w:color="auto" w:sz="4" w:space="0"/>
                    <w:left w:val="single" w:color="auto" w:sz="4" w:space="0"/>
                    <w:bottom w:val="single" w:color="auto" w:sz="4" w:space="0"/>
                  </w:tcBorders>
                  <w:noWrap w:val="0"/>
                  <w:vAlign w:val="center"/>
                </w:tcPr>
                <w:p w14:paraId="7C03E7CC">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rPr>
                    <w:drawing>
                      <wp:inline distT="0" distB="0" distL="114300" distR="114300">
                        <wp:extent cx="991870" cy="877570"/>
                        <wp:effectExtent l="0" t="0" r="17780" b="17780"/>
                        <wp:docPr id="8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19"/>
                                <pic:cNvPicPr>
                                  <a:picLocks noChangeAspect="1"/>
                                </pic:cNvPicPr>
                              </pic:nvPicPr>
                              <pic:blipFill>
                                <a:blip r:embed="rId30"/>
                                <a:stretch>
                                  <a:fillRect/>
                                </a:stretch>
                              </pic:blipFill>
                              <pic:spPr>
                                <a:xfrm>
                                  <a:off x="0" y="0"/>
                                  <a:ext cx="991870" cy="877570"/>
                                </a:xfrm>
                                <a:prstGeom prst="rect">
                                  <a:avLst/>
                                </a:prstGeom>
                                <a:noFill/>
                                <a:ln>
                                  <a:noFill/>
                                </a:ln>
                              </pic:spPr>
                            </pic:pic>
                          </a:graphicData>
                        </a:graphic>
                      </wp:inline>
                    </w:drawing>
                  </w:r>
                </w:p>
              </w:tc>
            </w:tr>
            <w:tr w14:paraId="0CC088E7">
              <w:tblPrEx>
                <w:tblCellMar>
                  <w:top w:w="0" w:type="dxa"/>
                  <w:left w:w="108" w:type="dxa"/>
                  <w:bottom w:w="0" w:type="dxa"/>
                  <w:right w:w="108" w:type="dxa"/>
                </w:tblCellMar>
              </w:tblPrEx>
              <w:trPr>
                <w:trHeight w:val="419" w:hRule="atLeast"/>
                <w:jc w:val="center"/>
              </w:trPr>
              <w:tc>
                <w:tcPr>
                  <w:tcW w:w="7737" w:type="dxa"/>
                  <w:gridSpan w:val="5"/>
                  <w:tcBorders>
                    <w:top w:val="single" w:color="auto" w:sz="4" w:space="0"/>
                    <w:bottom w:val="single" w:color="auto" w:sz="4" w:space="0"/>
                  </w:tcBorders>
                  <w:noWrap w:val="0"/>
                  <w:vAlign w:val="center"/>
                </w:tcPr>
                <w:p w14:paraId="5382F453">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eastAsia="宋体" w:cs="Times New Roman"/>
                      <w:bCs/>
                      <w:color w:val="auto"/>
                      <w:lang w:eastAsia="zh-CN"/>
                    </w:rPr>
                    <w:t>注：绿色为提示标志，黄色为警告标志。</w:t>
                  </w:r>
                </w:p>
              </w:tc>
            </w:tr>
          </w:tbl>
          <w:p w14:paraId="1DB46387">
            <w:pPr>
              <w:spacing w:line="360" w:lineRule="auto"/>
              <w:rPr>
                <w:rFonts w:hint="default" w:ascii="Times New Roman" w:hAnsi="Times New Roman" w:cs="Times New Roman"/>
                <w:b/>
                <w:color w:val="auto"/>
                <w:kern w:val="21"/>
                <w:sz w:val="24"/>
                <w:szCs w:val="24"/>
                <w:highlight w:val="none"/>
              </w:rPr>
            </w:pPr>
            <w:r>
              <w:rPr>
                <w:rFonts w:hint="default" w:ascii="Times New Roman" w:hAnsi="Times New Roman" w:cs="Times New Roman"/>
                <w:b/>
                <w:color w:val="auto"/>
                <w:kern w:val="21"/>
                <w:sz w:val="24"/>
                <w:szCs w:val="24"/>
                <w:highlight w:val="none"/>
                <w:lang w:eastAsia="zh-CN"/>
              </w:rPr>
              <w:t>八</w:t>
            </w:r>
            <w:r>
              <w:rPr>
                <w:rFonts w:hint="default" w:ascii="Times New Roman" w:hAnsi="Times New Roman" w:cs="Times New Roman"/>
                <w:b/>
                <w:color w:val="auto"/>
                <w:kern w:val="21"/>
                <w:sz w:val="24"/>
                <w:szCs w:val="24"/>
                <w:highlight w:val="none"/>
              </w:rPr>
              <w:t>、环保投资</w:t>
            </w:r>
          </w:p>
          <w:p w14:paraId="397BD5B0">
            <w:pPr>
              <w:spacing w:line="360" w:lineRule="auto"/>
              <w:ind w:firstLine="480" w:firstLineChars="200"/>
              <w:rPr>
                <w:rFonts w:hint="default" w:ascii="Times New Roman" w:hAnsi="Times New Roman" w:cs="Times New Roman"/>
                <w:b/>
                <w:color w:val="auto"/>
                <w:kern w:val="21"/>
                <w:sz w:val="21"/>
                <w:szCs w:val="21"/>
                <w:highlight w:val="none"/>
              </w:rPr>
            </w:pPr>
            <w:r>
              <w:rPr>
                <w:rFonts w:hint="default" w:ascii="Times New Roman" w:hAnsi="Times New Roman" w:cs="Times New Roman"/>
                <w:color w:val="auto"/>
                <w:kern w:val="21"/>
                <w:sz w:val="24"/>
                <w:highlight w:val="none"/>
              </w:rPr>
              <w:t>本工程环境保护总投资约为</w:t>
            </w:r>
            <w:r>
              <w:rPr>
                <w:rFonts w:hint="eastAsia" w:cs="Times New Roman"/>
                <w:color w:val="auto"/>
                <w:kern w:val="21"/>
                <w:sz w:val="24"/>
                <w:highlight w:val="none"/>
                <w:lang w:val="en-US" w:eastAsia="zh-CN"/>
              </w:rPr>
              <w:t>42</w:t>
            </w:r>
            <w:r>
              <w:rPr>
                <w:rFonts w:hint="default" w:ascii="Times New Roman" w:hAnsi="Times New Roman" w:cs="Times New Roman"/>
                <w:color w:val="auto"/>
                <w:kern w:val="21"/>
                <w:sz w:val="24"/>
                <w:highlight w:val="none"/>
              </w:rPr>
              <w:t>万元</w:t>
            </w:r>
            <w:r>
              <w:rPr>
                <w:rFonts w:hint="default" w:ascii="Times New Roman" w:hAnsi="Times New Roman" w:cs="Times New Roman"/>
                <w:color w:val="auto"/>
                <w:kern w:val="21"/>
                <w:sz w:val="24"/>
              </w:rPr>
              <w:t>，占总投资</w:t>
            </w:r>
            <w:r>
              <w:rPr>
                <w:rFonts w:hint="eastAsia" w:cs="Times New Roman"/>
                <w:color w:val="auto"/>
                <w:kern w:val="21"/>
                <w:sz w:val="24"/>
                <w:lang w:val="en-US" w:eastAsia="zh-CN"/>
              </w:rPr>
              <w:t>5</w:t>
            </w:r>
            <w:r>
              <w:rPr>
                <w:rFonts w:hint="default" w:ascii="Times New Roman" w:hAnsi="Times New Roman" w:cs="Times New Roman"/>
                <w:color w:val="auto"/>
                <w:kern w:val="21"/>
                <w:sz w:val="24"/>
                <w:lang w:eastAsia="zh-CN"/>
              </w:rPr>
              <w:t>万</w:t>
            </w:r>
            <w:r>
              <w:rPr>
                <w:rFonts w:hint="default" w:ascii="Times New Roman" w:hAnsi="Times New Roman" w:cs="Times New Roman"/>
                <w:color w:val="auto"/>
                <w:kern w:val="21"/>
                <w:sz w:val="24"/>
              </w:rPr>
              <w:t>元的</w:t>
            </w:r>
            <w:r>
              <w:rPr>
                <w:rFonts w:hint="eastAsia" w:cs="Times New Roman"/>
                <w:color w:val="auto"/>
                <w:kern w:val="21"/>
                <w:sz w:val="24"/>
                <w:lang w:val="en-US" w:eastAsia="zh-CN"/>
              </w:rPr>
              <w:t>11.90</w:t>
            </w:r>
            <w:r>
              <w:rPr>
                <w:rFonts w:hint="default" w:ascii="Times New Roman" w:hAnsi="Times New Roman" w:cs="Times New Roman"/>
                <w:color w:val="auto"/>
                <w:kern w:val="21"/>
                <w:sz w:val="24"/>
              </w:rPr>
              <w:t>%。其具体环保投资估算表详见</w:t>
            </w:r>
            <w:r>
              <w:rPr>
                <w:rFonts w:hint="eastAsia" w:cs="Times New Roman"/>
                <w:color w:val="auto"/>
                <w:kern w:val="21"/>
                <w:sz w:val="24"/>
                <w:lang w:eastAsia="zh-CN"/>
              </w:rPr>
              <w:t>下</w:t>
            </w:r>
            <w:r>
              <w:rPr>
                <w:rFonts w:hint="default" w:ascii="Times New Roman" w:hAnsi="Times New Roman" w:cs="Times New Roman"/>
                <w:color w:val="auto"/>
                <w:kern w:val="21"/>
                <w:sz w:val="24"/>
              </w:rPr>
              <w:t>表</w:t>
            </w:r>
            <w:r>
              <w:rPr>
                <w:rFonts w:hint="default" w:ascii="Times New Roman" w:hAnsi="Times New Roman" w:cs="Times New Roman"/>
                <w:color w:val="auto"/>
                <w:kern w:val="21"/>
                <w:sz w:val="24"/>
                <w:lang w:val="en-US" w:eastAsia="zh-CN"/>
              </w:rPr>
              <w:t>。</w:t>
            </w:r>
          </w:p>
          <w:p w14:paraId="06C4F86E">
            <w:pPr>
              <w:jc w:val="center"/>
              <w:rPr>
                <w:rFonts w:hint="default" w:ascii="Times New Roman" w:hAnsi="Times New Roman" w:cs="Times New Roman"/>
                <w:b/>
                <w:color w:val="auto"/>
                <w:kern w:val="21"/>
                <w:sz w:val="24"/>
                <w:szCs w:val="24"/>
                <w:highlight w:val="none"/>
              </w:rPr>
            </w:pPr>
            <w:r>
              <w:rPr>
                <w:rFonts w:hint="default" w:ascii="Times New Roman" w:hAnsi="Times New Roman" w:cs="Times New Roman"/>
                <w:b/>
                <w:color w:val="auto"/>
                <w:kern w:val="21"/>
                <w:sz w:val="24"/>
                <w:szCs w:val="24"/>
                <w:highlight w:val="none"/>
              </w:rPr>
              <w:t>表</w:t>
            </w:r>
            <w:r>
              <w:rPr>
                <w:rFonts w:hint="default" w:ascii="Times New Roman" w:hAnsi="Times New Roman" w:cs="Times New Roman"/>
                <w:b/>
                <w:color w:val="auto"/>
                <w:kern w:val="21"/>
                <w:sz w:val="24"/>
                <w:szCs w:val="24"/>
                <w:highlight w:val="none"/>
                <w:lang w:val="en-US" w:eastAsia="zh-CN"/>
              </w:rPr>
              <w:t>4</w:t>
            </w:r>
            <w:r>
              <w:rPr>
                <w:rFonts w:hint="default" w:ascii="Times New Roman" w:hAnsi="Times New Roman" w:cs="Times New Roman"/>
                <w:b/>
                <w:color w:val="auto"/>
                <w:kern w:val="21"/>
                <w:sz w:val="24"/>
                <w:szCs w:val="24"/>
                <w:highlight w:val="none"/>
              </w:rPr>
              <w:t>-</w:t>
            </w:r>
            <w:r>
              <w:rPr>
                <w:rFonts w:hint="default" w:ascii="Times New Roman" w:hAnsi="Times New Roman" w:cs="Times New Roman"/>
                <w:b/>
                <w:color w:val="auto"/>
                <w:kern w:val="21"/>
                <w:sz w:val="24"/>
                <w:szCs w:val="24"/>
                <w:highlight w:val="none"/>
                <w:lang w:val="en-US" w:eastAsia="zh-CN"/>
              </w:rPr>
              <w:t>1</w:t>
            </w:r>
            <w:r>
              <w:rPr>
                <w:rFonts w:hint="eastAsia" w:cs="Times New Roman"/>
                <w:b/>
                <w:color w:val="auto"/>
                <w:kern w:val="21"/>
                <w:sz w:val="24"/>
                <w:szCs w:val="24"/>
                <w:highlight w:val="none"/>
                <w:lang w:val="en-US" w:eastAsia="zh-CN"/>
              </w:rPr>
              <w:t>3</w:t>
            </w:r>
            <w:r>
              <w:rPr>
                <w:rFonts w:hint="default" w:ascii="Times New Roman" w:hAnsi="Times New Roman" w:cs="Times New Roman"/>
                <w:b/>
                <w:color w:val="auto"/>
                <w:kern w:val="21"/>
                <w:sz w:val="24"/>
                <w:szCs w:val="24"/>
                <w:highlight w:val="none"/>
              </w:rPr>
              <w:t xml:space="preserve"> 环保投资估算一览表</w:t>
            </w:r>
          </w:p>
          <w:tbl>
            <w:tblPr>
              <w:tblStyle w:val="30"/>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77"/>
              <w:gridCol w:w="1260"/>
              <w:gridCol w:w="4725"/>
              <w:gridCol w:w="1316"/>
            </w:tblGrid>
            <w:tr w14:paraId="73127D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noWrap w:val="0"/>
                  <w:vAlign w:val="center"/>
                </w:tcPr>
                <w:p w14:paraId="24039F17">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序号</w:t>
                  </w:r>
                </w:p>
              </w:tc>
              <w:tc>
                <w:tcPr>
                  <w:tcW w:w="1260" w:type="dxa"/>
                  <w:noWrap w:val="0"/>
                  <w:vAlign w:val="center"/>
                </w:tcPr>
                <w:p w14:paraId="24A7FD0E">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项目</w:t>
                  </w:r>
                </w:p>
              </w:tc>
              <w:tc>
                <w:tcPr>
                  <w:tcW w:w="4725" w:type="dxa"/>
                  <w:noWrap w:val="0"/>
                  <w:vAlign w:val="center"/>
                </w:tcPr>
                <w:p w14:paraId="2D8E0831">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投资内容</w:t>
                  </w:r>
                </w:p>
              </w:tc>
              <w:tc>
                <w:tcPr>
                  <w:tcW w:w="1316" w:type="dxa"/>
                  <w:noWrap w:val="0"/>
                  <w:vAlign w:val="center"/>
                </w:tcPr>
                <w:p w14:paraId="74D33AC2">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投资</w:t>
                  </w:r>
                </w:p>
                <w:p w14:paraId="0023F3F3">
                  <w:pPr>
                    <w:adjustRightInd w:val="0"/>
                    <w:snapToGrid w:val="0"/>
                    <w:jc w:val="center"/>
                    <w:rPr>
                      <w:rFonts w:hint="default" w:ascii="Times New Roman" w:hAnsi="Times New Roman" w:cs="Times New Roman"/>
                      <w:b/>
                      <w:bCs/>
                      <w:color w:val="auto"/>
                      <w:kern w:val="21"/>
                      <w:sz w:val="21"/>
                      <w:szCs w:val="21"/>
                    </w:rPr>
                  </w:pPr>
                  <w:r>
                    <w:rPr>
                      <w:rFonts w:hint="default" w:ascii="Times New Roman" w:hAnsi="Times New Roman" w:cs="Times New Roman"/>
                      <w:b/>
                      <w:bCs/>
                      <w:color w:val="auto"/>
                      <w:kern w:val="21"/>
                      <w:sz w:val="21"/>
                      <w:szCs w:val="21"/>
                    </w:rPr>
                    <w:t>（万元）</w:t>
                  </w:r>
                </w:p>
              </w:tc>
            </w:tr>
            <w:tr w14:paraId="6B7B3A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noWrap w:val="0"/>
                  <w:vAlign w:val="center"/>
                </w:tcPr>
                <w:p w14:paraId="38B19469">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1</w:t>
                  </w:r>
                </w:p>
              </w:tc>
              <w:tc>
                <w:tcPr>
                  <w:tcW w:w="1260" w:type="dxa"/>
                  <w:noWrap w:val="0"/>
                  <w:vAlign w:val="center"/>
                </w:tcPr>
                <w:p w14:paraId="2D0A873A">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大气</w:t>
                  </w:r>
                </w:p>
              </w:tc>
              <w:tc>
                <w:tcPr>
                  <w:tcW w:w="4725" w:type="dxa"/>
                  <w:noWrap w:val="0"/>
                  <w:vAlign w:val="center"/>
                </w:tcPr>
                <w:p w14:paraId="12047017">
                  <w:pPr>
                    <w:adjustRightInd w:val="0"/>
                    <w:snapToGrid w:val="0"/>
                    <w:jc w:val="center"/>
                    <w:rPr>
                      <w:rFonts w:hint="default" w:ascii="Times New Roman" w:hAnsi="Times New Roman" w:eastAsia="宋体" w:cs="Times New Roman"/>
                      <w:color w:val="auto"/>
                      <w:sz w:val="21"/>
                      <w:szCs w:val="21"/>
                      <w:lang w:eastAsia="zh-CN"/>
                    </w:rPr>
                  </w:pPr>
                  <w:r>
                    <w:rPr>
                      <w:rFonts w:hint="eastAsia" w:cs="Times New Roman"/>
                      <w:color w:val="auto"/>
                      <w:sz w:val="21"/>
                      <w:szCs w:val="21"/>
                      <w:lang w:eastAsia="zh-CN"/>
                    </w:rPr>
                    <w:t>热风炉</w:t>
                  </w:r>
                  <w:r>
                    <w:rPr>
                      <w:rFonts w:hint="default" w:ascii="Times New Roman" w:hAnsi="Times New Roman" w:cs="Times New Roman"/>
                      <w:color w:val="auto"/>
                      <w:sz w:val="21"/>
                      <w:szCs w:val="21"/>
                      <w:lang w:eastAsia="zh-CN"/>
                    </w:rPr>
                    <w:t>除尘</w:t>
                  </w:r>
                  <w:r>
                    <w:rPr>
                      <w:rFonts w:hint="default" w:ascii="Times New Roman" w:hAnsi="Times New Roman" w:eastAsia="宋体" w:cs="Times New Roman"/>
                      <w:color w:val="auto"/>
                      <w:sz w:val="21"/>
                      <w:szCs w:val="21"/>
                    </w:rPr>
                    <w:t>采用</w:t>
                  </w:r>
                  <w:r>
                    <w:rPr>
                      <w:rFonts w:hint="default" w:ascii="Times New Roman" w:hAnsi="Times New Roman" w:eastAsia="宋体" w:cs="Times New Roman"/>
                      <w:color w:val="auto"/>
                      <w:sz w:val="21"/>
                      <w:szCs w:val="21"/>
                      <w:lang w:eastAsia="zh-CN"/>
                    </w:rPr>
                    <w:t>布袋</w:t>
                  </w:r>
                  <w:r>
                    <w:rPr>
                      <w:rFonts w:hint="default" w:ascii="Times New Roman" w:hAnsi="Times New Roman" w:eastAsia="宋体" w:cs="Times New Roman"/>
                      <w:color w:val="auto"/>
                      <w:sz w:val="21"/>
                      <w:szCs w:val="21"/>
                    </w:rPr>
                    <w:t>除尘器</w:t>
                  </w:r>
                </w:p>
              </w:tc>
              <w:tc>
                <w:tcPr>
                  <w:tcW w:w="1316" w:type="dxa"/>
                  <w:noWrap w:val="0"/>
                  <w:vAlign w:val="center"/>
                </w:tcPr>
                <w:p w14:paraId="69E17766">
                  <w:pPr>
                    <w:adjustRightInd w:val="0"/>
                    <w:snapToGrid w:val="0"/>
                    <w:jc w:val="center"/>
                    <w:rPr>
                      <w:rFonts w:hint="default" w:ascii="Times New Roman" w:hAnsi="Times New Roman" w:eastAsia="宋体" w:cs="Times New Roman"/>
                      <w:color w:val="auto"/>
                      <w:kern w:val="21"/>
                      <w:sz w:val="21"/>
                      <w:szCs w:val="21"/>
                      <w:lang w:val="en-US" w:eastAsia="zh-CN"/>
                    </w:rPr>
                  </w:pPr>
                  <w:r>
                    <w:rPr>
                      <w:rFonts w:hint="eastAsia" w:cs="Times New Roman"/>
                      <w:color w:val="auto"/>
                      <w:kern w:val="21"/>
                      <w:sz w:val="21"/>
                      <w:szCs w:val="21"/>
                      <w:lang w:val="en-US" w:eastAsia="zh-CN"/>
                    </w:rPr>
                    <w:t>2.5</w:t>
                  </w:r>
                </w:p>
              </w:tc>
            </w:tr>
            <w:tr w14:paraId="4D57AC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noWrap w:val="0"/>
                  <w:vAlign w:val="center"/>
                </w:tcPr>
                <w:p w14:paraId="28352237">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2</w:t>
                  </w:r>
                </w:p>
              </w:tc>
              <w:tc>
                <w:tcPr>
                  <w:tcW w:w="1260" w:type="dxa"/>
                  <w:noWrap w:val="0"/>
                  <w:vAlign w:val="center"/>
                </w:tcPr>
                <w:p w14:paraId="150BA589">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噪声</w:t>
                  </w:r>
                </w:p>
              </w:tc>
              <w:tc>
                <w:tcPr>
                  <w:tcW w:w="4725" w:type="dxa"/>
                  <w:noWrap w:val="0"/>
                  <w:vAlign w:val="center"/>
                </w:tcPr>
                <w:p w14:paraId="1B41B169">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rPr>
                    <w:t>选取低噪声设备，采取减振、隔声等措施</w:t>
                  </w:r>
                </w:p>
              </w:tc>
              <w:tc>
                <w:tcPr>
                  <w:tcW w:w="1316" w:type="dxa"/>
                  <w:noWrap w:val="0"/>
                  <w:vAlign w:val="center"/>
                </w:tcPr>
                <w:p w14:paraId="79BE420D">
                  <w:pPr>
                    <w:adjustRightInd w:val="0"/>
                    <w:snapToGrid w:val="0"/>
                    <w:jc w:val="center"/>
                    <w:rPr>
                      <w:rFonts w:hint="default" w:ascii="Times New Roman" w:hAnsi="Times New Roman" w:eastAsia="宋体" w:cs="Times New Roman"/>
                      <w:color w:val="auto"/>
                      <w:kern w:val="21"/>
                      <w:sz w:val="21"/>
                      <w:szCs w:val="21"/>
                      <w:lang w:val="en-US" w:eastAsia="zh-CN"/>
                    </w:rPr>
                  </w:pPr>
                  <w:r>
                    <w:rPr>
                      <w:rFonts w:hint="eastAsia" w:cs="Times New Roman"/>
                      <w:color w:val="auto"/>
                      <w:kern w:val="21"/>
                      <w:sz w:val="21"/>
                      <w:szCs w:val="21"/>
                      <w:lang w:val="en-US" w:eastAsia="zh-CN"/>
                    </w:rPr>
                    <w:t>1</w:t>
                  </w:r>
                </w:p>
              </w:tc>
            </w:tr>
            <w:tr w14:paraId="60A54E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7" w:type="dxa"/>
                  <w:noWrap w:val="0"/>
                  <w:vAlign w:val="center"/>
                </w:tcPr>
                <w:p w14:paraId="5E79A2BC">
                  <w:pPr>
                    <w:adjustRightInd w:val="0"/>
                    <w:snapToGrid w:val="0"/>
                    <w:jc w:val="center"/>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3</w:t>
                  </w:r>
                </w:p>
              </w:tc>
              <w:tc>
                <w:tcPr>
                  <w:tcW w:w="1260" w:type="dxa"/>
                  <w:noWrap w:val="0"/>
                  <w:vAlign w:val="center"/>
                </w:tcPr>
                <w:p w14:paraId="0DF51E88">
                  <w:pPr>
                    <w:adjustRightInd w:val="0"/>
                    <w:snapToGrid w:val="0"/>
                    <w:jc w:val="center"/>
                    <w:rPr>
                      <w:rFonts w:hint="default" w:ascii="Times New Roman" w:hAnsi="Times New Roman" w:cs="Times New Roman"/>
                      <w:color w:val="auto"/>
                      <w:kern w:val="21"/>
                      <w:sz w:val="21"/>
                      <w:szCs w:val="21"/>
                      <w:u w:val="none"/>
                    </w:rPr>
                  </w:pPr>
                  <w:r>
                    <w:rPr>
                      <w:rFonts w:hint="default" w:ascii="Times New Roman" w:hAnsi="Times New Roman" w:cs="Times New Roman"/>
                      <w:color w:val="auto"/>
                      <w:kern w:val="21"/>
                      <w:sz w:val="21"/>
                      <w:szCs w:val="21"/>
                      <w:u w:val="none"/>
                    </w:rPr>
                    <w:t>固废</w:t>
                  </w:r>
                </w:p>
              </w:tc>
              <w:tc>
                <w:tcPr>
                  <w:tcW w:w="4725" w:type="dxa"/>
                  <w:noWrap w:val="0"/>
                  <w:vAlign w:val="center"/>
                </w:tcPr>
                <w:p w14:paraId="4EA20B99">
                  <w:pPr>
                    <w:adjustRightInd w:val="0"/>
                    <w:snapToGrid w:val="0"/>
                    <w:jc w:val="center"/>
                    <w:rPr>
                      <w:rFonts w:hint="default" w:ascii="Times New Roman" w:hAnsi="Times New Roman" w:cs="Times New Roman"/>
                      <w:color w:val="auto"/>
                      <w:kern w:val="21"/>
                      <w:sz w:val="21"/>
                      <w:szCs w:val="21"/>
                      <w:u w:val="none"/>
                    </w:rPr>
                  </w:pPr>
                  <w:r>
                    <w:rPr>
                      <w:rFonts w:hint="default" w:ascii="Times New Roman" w:hAnsi="Times New Roman" w:cs="Times New Roman"/>
                      <w:color w:val="auto"/>
                      <w:sz w:val="21"/>
                      <w:szCs w:val="21"/>
                      <w:highlight w:val="none"/>
                      <w:lang w:val="en-US" w:eastAsia="zh-CN"/>
                    </w:rPr>
                    <w:t>锅炉灰渣集中收集，暂存于</w:t>
                  </w:r>
                  <w:r>
                    <w:rPr>
                      <w:rFonts w:hint="eastAsia" w:ascii="Times New Roman" w:hAnsi="Times New Roman" w:cs="Times New Roman"/>
                      <w:color w:val="auto"/>
                      <w:sz w:val="21"/>
                      <w:szCs w:val="21"/>
                      <w:highlight w:val="none"/>
                      <w:lang w:val="en-US" w:eastAsia="zh-CN"/>
                    </w:rPr>
                    <w:t>灰渣间</w:t>
                  </w:r>
                  <w:r>
                    <w:rPr>
                      <w:rFonts w:hint="default" w:ascii="Times New Roman" w:hAnsi="Times New Roman" w:cs="Times New Roman"/>
                      <w:color w:val="auto"/>
                      <w:sz w:val="21"/>
                      <w:szCs w:val="21"/>
                      <w:highlight w:val="none"/>
                      <w:lang w:val="en-US" w:eastAsia="zh-CN"/>
                    </w:rPr>
                    <w:t>，定期外售有机肥，</w:t>
                  </w:r>
                  <w:r>
                    <w:rPr>
                      <w:rFonts w:hint="default" w:ascii="Times New Roman" w:hAnsi="Times New Roman" w:cs="Times New Roman"/>
                      <w:color w:val="auto"/>
                      <w:sz w:val="21"/>
                      <w:szCs w:val="21"/>
                      <w:highlight w:val="none"/>
                      <w:lang w:eastAsia="zh-CN"/>
                    </w:rPr>
                    <w:t>灰渣</w:t>
                  </w:r>
                  <w:r>
                    <w:rPr>
                      <w:rFonts w:hint="eastAsia" w:ascii="Times New Roman" w:hAnsi="Times New Roman" w:cs="Times New Roman"/>
                      <w:color w:val="auto"/>
                      <w:sz w:val="21"/>
                      <w:szCs w:val="21"/>
                      <w:highlight w:val="none"/>
                      <w:lang w:val="en-US" w:eastAsia="zh-CN"/>
                    </w:rPr>
                    <w:t>间</w:t>
                  </w:r>
                  <w:r>
                    <w:rPr>
                      <w:rFonts w:hint="default" w:ascii="Times New Roman" w:hAnsi="Times New Roman" w:cs="Times New Roman"/>
                      <w:color w:val="auto"/>
                      <w:sz w:val="21"/>
                      <w:szCs w:val="21"/>
                      <w:highlight w:val="none"/>
                    </w:rPr>
                    <w:t>地面做</w:t>
                  </w:r>
                  <w:r>
                    <w:rPr>
                      <w:rFonts w:hint="eastAsia" w:cs="Times New Roman"/>
                      <w:color w:val="auto"/>
                      <w:sz w:val="21"/>
                      <w:szCs w:val="21"/>
                      <w:highlight w:val="none"/>
                      <w:lang w:eastAsia="zh-CN"/>
                    </w:rPr>
                    <w:t>硬化</w:t>
                  </w:r>
                  <w:r>
                    <w:rPr>
                      <w:rFonts w:hint="default" w:ascii="Times New Roman" w:hAnsi="Times New Roman" w:cs="Times New Roman"/>
                      <w:color w:val="auto"/>
                      <w:sz w:val="21"/>
                      <w:szCs w:val="21"/>
                      <w:highlight w:val="none"/>
                    </w:rPr>
                    <w:t>处理</w:t>
                  </w:r>
                  <w:r>
                    <w:rPr>
                      <w:rFonts w:hint="default" w:ascii="Times New Roman" w:hAnsi="Times New Roman" w:cs="Times New Roman"/>
                      <w:color w:val="auto"/>
                      <w:kern w:val="21"/>
                      <w:sz w:val="21"/>
                      <w:szCs w:val="21"/>
                      <w:u w:val="none"/>
                      <w:lang w:val="en-US" w:eastAsia="zh-CN"/>
                    </w:rPr>
                    <w:t>；除尘器收集的粉尘集中收集后外售肥料</w:t>
                  </w:r>
                  <w:r>
                    <w:rPr>
                      <w:rFonts w:hint="eastAsia" w:cs="Times New Roman"/>
                      <w:color w:val="auto"/>
                      <w:kern w:val="21"/>
                      <w:sz w:val="21"/>
                      <w:szCs w:val="21"/>
                      <w:u w:val="none"/>
                      <w:lang w:val="en-US" w:eastAsia="zh-CN"/>
                    </w:rPr>
                    <w:t>；危废暂存间重点防渗。</w:t>
                  </w:r>
                </w:p>
              </w:tc>
              <w:tc>
                <w:tcPr>
                  <w:tcW w:w="1316" w:type="dxa"/>
                  <w:noWrap w:val="0"/>
                  <w:vAlign w:val="center"/>
                </w:tcPr>
                <w:p w14:paraId="32D0248C">
                  <w:pPr>
                    <w:adjustRightInd w:val="0"/>
                    <w:snapToGrid w:val="0"/>
                    <w:jc w:val="center"/>
                    <w:rPr>
                      <w:rFonts w:hint="default" w:ascii="Times New Roman" w:hAnsi="Times New Roman" w:eastAsia="宋体" w:cs="Times New Roman"/>
                      <w:color w:val="auto"/>
                      <w:kern w:val="21"/>
                      <w:sz w:val="21"/>
                      <w:szCs w:val="21"/>
                      <w:u w:val="none"/>
                      <w:lang w:val="en-US" w:eastAsia="zh-CN"/>
                    </w:rPr>
                  </w:pPr>
                  <w:r>
                    <w:rPr>
                      <w:rFonts w:hint="eastAsia" w:cs="Times New Roman"/>
                      <w:color w:val="auto"/>
                      <w:kern w:val="21"/>
                      <w:sz w:val="21"/>
                      <w:szCs w:val="21"/>
                      <w:u w:val="none"/>
                      <w:lang w:val="en-US" w:eastAsia="zh-CN"/>
                    </w:rPr>
                    <w:t>1.5</w:t>
                  </w:r>
                </w:p>
              </w:tc>
            </w:tr>
            <w:tr w14:paraId="2A63F0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662" w:type="dxa"/>
                  <w:gridSpan w:val="3"/>
                  <w:noWrap w:val="0"/>
                  <w:vAlign w:val="center"/>
                </w:tcPr>
                <w:p w14:paraId="3A2C23A0">
                  <w:pPr>
                    <w:adjustRightInd w:val="0"/>
                    <w:snapToGrid w:val="0"/>
                    <w:jc w:val="center"/>
                    <w:rPr>
                      <w:rFonts w:hint="default" w:ascii="Times New Roman" w:hAnsi="Times New Roman" w:eastAsia="宋体" w:cs="Times New Roman"/>
                      <w:color w:val="auto"/>
                      <w:kern w:val="21"/>
                      <w:sz w:val="21"/>
                      <w:szCs w:val="21"/>
                      <w:lang w:eastAsia="zh-CN"/>
                    </w:rPr>
                  </w:pPr>
                  <w:r>
                    <w:rPr>
                      <w:rFonts w:hint="default" w:ascii="Times New Roman" w:hAnsi="Times New Roman" w:cs="Times New Roman"/>
                      <w:color w:val="auto"/>
                      <w:kern w:val="21"/>
                      <w:sz w:val="21"/>
                      <w:szCs w:val="21"/>
                      <w:lang w:eastAsia="zh-CN"/>
                    </w:rPr>
                    <w:t>合计</w:t>
                  </w:r>
                </w:p>
              </w:tc>
              <w:tc>
                <w:tcPr>
                  <w:tcW w:w="1316" w:type="dxa"/>
                  <w:noWrap w:val="0"/>
                  <w:vAlign w:val="center"/>
                </w:tcPr>
                <w:p w14:paraId="0F05A0AD">
                  <w:pPr>
                    <w:adjustRightInd w:val="0"/>
                    <w:snapToGrid w:val="0"/>
                    <w:jc w:val="center"/>
                    <w:rPr>
                      <w:rFonts w:hint="default" w:ascii="Times New Roman" w:hAnsi="Times New Roman" w:cs="Times New Roman"/>
                      <w:color w:val="auto"/>
                      <w:kern w:val="21"/>
                      <w:sz w:val="21"/>
                      <w:szCs w:val="21"/>
                      <w:lang w:val="en-US" w:eastAsia="zh-CN"/>
                    </w:rPr>
                  </w:pPr>
                  <w:r>
                    <w:rPr>
                      <w:rFonts w:hint="eastAsia" w:cs="Times New Roman"/>
                      <w:color w:val="auto"/>
                      <w:kern w:val="21"/>
                      <w:sz w:val="21"/>
                      <w:szCs w:val="21"/>
                      <w:lang w:val="en-US" w:eastAsia="zh-CN"/>
                    </w:rPr>
                    <w:t>5</w:t>
                  </w:r>
                </w:p>
              </w:tc>
            </w:tr>
          </w:tbl>
          <w:p w14:paraId="3F2F5EB4">
            <w:pPr>
              <w:numPr>
                <w:ilvl w:val="0"/>
                <w:numId w:val="0"/>
              </w:numPr>
              <w:adjustRightInd w:val="0"/>
              <w:snapToGrid w:val="0"/>
              <w:spacing w:line="360" w:lineRule="auto"/>
              <w:ind w:firstLine="482" w:firstLineChars="200"/>
              <w:jc w:val="both"/>
              <w:rPr>
                <w:rFonts w:hint="default" w:ascii="Times New Roman" w:hAnsi="Times New Roman" w:eastAsia="宋体" w:cs="Times New Roman"/>
                <w:b/>
                <w:bCs/>
                <w:color w:val="auto"/>
                <w:sz w:val="24"/>
                <w:szCs w:val="24"/>
                <w:lang w:val="en-US" w:eastAsia="zh-CN"/>
              </w:rPr>
            </w:pPr>
            <w:r>
              <w:rPr>
                <w:rFonts w:hint="eastAsia" w:ascii="Times New Roman" w:hAnsi="Times New Roman" w:cs="Times New Roman"/>
                <w:b/>
                <w:bCs/>
                <w:color w:val="auto"/>
                <w:sz w:val="24"/>
                <w:szCs w:val="24"/>
                <w:lang w:val="en-US" w:eastAsia="zh-CN"/>
              </w:rPr>
              <w:t>九</w:t>
            </w:r>
            <w:r>
              <w:rPr>
                <w:rFonts w:hint="default" w:ascii="Times New Roman" w:hAnsi="Times New Roman" w:eastAsia="宋体" w:cs="Times New Roman"/>
                <w:b/>
                <w:bCs/>
                <w:color w:val="auto"/>
                <w:sz w:val="24"/>
                <w:szCs w:val="24"/>
                <w:lang w:val="en-US" w:eastAsia="zh-CN"/>
              </w:rPr>
              <w:t>、三同时制度及环保验收</w:t>
            </w:r>
          </w:p>
          <w:p w14:paraId="55E8AB0F">
            <w:pPr>
              <w:pStyle w:val="76"/>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①建设项目需要完善的减振降噪设施、废气处理设施固废处理措施等，应与主体工程同时设计、同时施工、同时投入使用。</w:t>
            </w:r>
          </w:p>
          <w:p w14:paraId="4B26E3E5">
            <w:pPr>
              <w:pStyle w:val="76"/>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②做好废气、噪声等污染处理设施和设备的维护和保养工作，保证污染处理设施有较高的运转率。</w:t>
            </w:r>
          </w:p>
          <w:p w14:paraId="5F312FCD">
            <w:pPr>
              <w:pStyle w:val="76"/>
              <w:rPr>
                <w:rFonts w:hint="default" w:ascii="Times New Roman" w:hAnsi="Times New Roman" w:cs="Times New Roman"/>
                <w:b w:val="0"/>
                <w:bCs w:val="0"/>
                <w:color w:val="auto"/>
                <w:lang w:val="en-US" w:eastAsia="zh-CN"/>
              </w:rPr>
            </w:pPr>
            <w:r>
              <w:rPr>
                <w:rFonts w:hint="default" w:ascii="Times New Roman" w:hAnsi="Times New Roman" w:cs="Times New Roman"/>
                <w:b w:val="0"/>
                <w:bCs w:val="0"/>
                <w:color w:val="auto"/>
                <w:lang w:val="en-US" w:eastAsia="zh-CN"/>
              </w:rPr>
              <w:t>③污染处理设施因故需拆除或停止运行，必须事先报环保主管部门审批。</w:t>
            </w:r>
          </w:p>
          <w:p w14:paraId="27D28524">
            <w:pPr>
              <w:pStyle w:val="76"/>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④建设单位</w:t>
            </w:r>
            <w:r>
              <w:rPr>
                <w:rFonts w:hint="default" w:ascii="Times New Roman" w:hAnsi="Times New Roman" w:cs="Times New Roman"/>
                <w:b w:val="0"/>
                <w:bCs w:val="0"/>
                <w:color w:val="auto"/>
                <w:sz w:val="24"/>
                <w:u w:val="none"/>
              </w:rPr>
              <w:t>尽快落实整改的环保措施，完成投运后，尽快开展环保验收</w:t>
            </w:r>
            <w:r>
              <w:rPr>
                <w:rFonts w:hint="default" w:ascii="Times New Roman" w:hAnsi="Times New Roman" w:cs="Times New Roman"/>
                <w:b w:val="0"/>
                <w:bCs w:val="0"/>
                <w:color w:val="auto"/>
                <w:u w:val="none"/>
                <w:lang w:val="en-US" w:eastAsia="zh-CN"/>
              </w:rPr>
              <w:t>应进行竣工环保自主验收。</w:t>
            </w:r>
          </w:p>
          <w:p w14:paraId="21D43E2F">
            <w:pPr>
              <w:pStyle w:val="68"/>
              <w:numPr>
                <w:ilvl w:val="0"/>
                <w:numId w:val="0"/>
              </w:numPr>
              <w:spacing w:before="0" w:beforeLines="0" w:after="0" w:afterLines="0" w:line="360" w:lineRule="auto"/>
              <w:ind w:leftChars="0" w:firstLine="480" w:firstLineChars="200"/>
              <w:rPr>
                <w:rFonts w:hint="eastAsia"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b w:val="0"/>
                <w:bCs w:val="0"/>
                <w:color w:val="auto"/>
                <w:sz w:val="24"/>
              </w:rPr>
              <w:t>本次建设项目的环保设施三同时竣工验收一览表见下表</w:t>
            </w:r>
            <w:r>
              <w:rPr>
                <w:rFonts w:hint="eastAsia" w:cs="Times New Roman"/>
                <w:b w:val="0"/>
                <w:bCs w:val="0"/>
                <w:color w:val="auto"/>
                <w:sz w:val="24"/>
                <w:lang w:eastAsia="zh-CN"/>
              </w:rPr>
              <w:t>。</w:t>
            </w:r>
          </w:p>
          <w:p w14:paraId="7811F0B9">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4"/>
                <w:szCs w:val="24"/>
                <w:lang w:val="en-US" w:eastAsia="zh-CN" w:bidi="ar-SA"/>
              </w:rPr>
            </w:pPr>
            <w:r>
              <w:rPr>
                <w:rFonts w:hint="default" w:ascii="Times New Roman" w:hAnsi="Times New Roman" w:eastAsia="宋体" w:cs="Times New Roman"/>
                <w:b/>
                <w:bCs/>
                <w:color w:val="auto"/>
                <w:kern w:val="2"/>
                <w:sz w:val="24"/>
                <w:szCs w:val="24"/>
                <w:lang w:val="en-US" w:eastAsia="zh-CN" w:bidi="ar-SA"/>
              </w:rPr>
              <w:t>表4-1</w:t>
            </w:r>
            <w:r>
              <w:rPr>
                <w:rFonts w:hint="eastAsia" w:cs="Times New Roman"/>
                <w:b/>
                <w:bCs/>
                <w:color w:val="auto"/>
                <w:kern w:val="2"/>
                <w:sz w:val="24"/>
                <w:szCs w:val="24"/>
                <w:lang w:val="en-US" w:eastAsia="zh-CN" w:bidi="ar-SA"/>
              </w:rPr>
              <w:t xml:space="preserve">4 </w:t>
            </w:r>
            <w:r>
              <w:rPr>
                <w:rFonts w:hint="default" w:ascii="Times New Roman" w:hAnsi="Times New Roman" w:eastAsia="宋体" w:cs="Times New Roman"/>
                <w:b/>
                <w:bCs/>
                <w:color w:val="auto"/>
                <w:kern w:val="2"/>
                <w:sz w:val="24"/>
                <w:szCs w:val="24"/>
                <w:lang w:val="en-US" w:eastAsia="zh-CN" w:bidi="ar-SA"/>
              </w:rPr>
              <w:t>“三同时”竣工验收一览表</w:t>
            </w:r>
          </w:p>
          <w:tbl>
            <w:tblPr>
              <w:tblStyle w:val="31"/>
              <w:tblW w:w="7978"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74"/>
              <w:gridCol w:w="632"/>
              <w:gridCol w:w="870"/>
              <w:gridCol w:w="870"/>
              <w:gridCol w:w="2640"/>
              <w:gridCol w:w="2492"/>
            </w:tblGrid>
            <w:tr w14:paraId="0493DB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106" w:type="dxa"/>
                  <w:gridSpan w:val="2"/>
                  <w:tcBorders>
                    <w:tl2br w:val="nil"/>
                    <w:tr2bl w:val="nil"/>
                  </w:tcBorders>
                  <w:vAlign w:val="center"/>
                </w:tcPr>
                <w:p w14:paraId="1F2AF09F">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项目</w:t>
                  </w:r>
                </w:p>
              </w:tc>
              <w:tc>
                <w:tcPr>
                  <w:tcW w:w="870" w:type="dxa"/>
                  <w:tcBorders>
                    <w:tl2br w:val="nil"/>
                    <w:tr2bl w:val="nil"/>
                  </w:tcBorders>
                  <w:vAlign w:val="center"/>
                </w:tcPr>
                <w:p w14:paraId="74018990">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eastAsia" w:ascii="Times New Roman" w:hAnsi="Times New Roman" w:cs="Times New Roman"/>
                      <w:b/>
                      <w:bCs/>
                      <w:color w:val="auto"/>
                      <w:kern w:val="2"/>
                      <w:sz w:val="21"/>
                      <w:szCs w:val="21"/>
                      <w:lang w:val="en-US" w:eastAsia="zh-CN" w:bidi="ar-SA"/>
                    </w:rPr>
                    <w:t>排放口</w:t>
                  </w:r>
                </w:p>
              </w:tc>
              <w:tc>
                <w:tcPr>
                  <w:tcW w:w="870" w:type="dxa"/>
                  <w:tcBorders>
                    <w:tl2br w:val="nil"/>
                    <w:tr2bl w:val="nil"/>
                  </w:tcBorders>
                  <w:vAlign w:val="center"/>
                </w:tcPr>
                <w:p w14:paraId="15D7494D">
                  <w:pPr>
                    <w:pStyle w:val="9"/>
                    <w:adjustRightInd w:val="0"/>
                    <w:snapToGrid w:val="0"/>
                    <w:spacing w:line="360" w:lineRule="exact"/>
                    <w:ind w:left="0" w:leftChars="0" w:firstLine="0" w:firstLineChars="0"/>
                    <w:jc w:val="center"/>
                    <w:rPr>
                      <w:rFonts w:hint="default" w:ascii="Times New Roman" w:hAnsi="Times New Roman"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监测</w:t>
                  </w:r>
                </w:p>
                <w:p w14:paraId="7AC2B959">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cs="Times New Roman"/>
                      <w:b/>
                      <w:bCs/>
                      <w:color w:val="auto"/>
                      <w:kern w:val="2"/>
                      <w:sz w:val="21"/>
                      <w:szCs w:val="21"/>
                      <w:lang w:val="en-US" w:eastAsia="zh-CN" w:bidi="ar-SA"/>
                    </w:rPr>
                    <w:t>因子</w:t>
                  </w:r>
                </w:p>
              </w:tc>
              <w:tc>
                <w:tcPr>
                  <w:tcW w:w="2640" w:type="dxa"/>
                  <w:tcBorders>
                    <w:tl2br w:val="nil"/>
                    <w:tr2bl w:val="nil"/>
                  </w:tcBorders>
                  <w:vAlign w:val="center"/>
                </w:tcPr>
                <w:p w14:paraId="3EB010F5">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治理措施</w:t>
                  </w:r>
                </w:p>
              </w:tc>
              <w:tc>
                <w:tcPr>
                  <w:tcW w:w="2492" w:type="dxa"/>
                  <w:tcBorders>
                    <w:tl2br w:val="nil"/>
                    <w:tr2bl w:val="nil"/>
                  </w:tcBorders>
                  <w:vAlign w:val="center"/>
                </w:tcPr>
                <w:p w14:paraId="1741BD40">
                  <w:pPr>
                    <w:pStyle w:val="9"/>
                    <w:adjustRightInd w:val="0"/>
                    <w:snapToGrid w:val="0"/>
                    <w:spacing w:line="360" w:lineRule="exact"/>
                    <w:ind w:left="0" w:leftChars="0" w:firstLine="0" w:firstLineChars="0"/>
                    <w:jc w:val="center"/>
                    <w:rPr>
                      <w:rFonts w:hint="default" w:ascii="Times New Roman" w:hAnsi="Times New Roman" w:eastAsia="宋体" w:cs="Times New Roman"/>
                      <w:b/>
                      <w:bCs/>
                      <w:color w:val="auto"/>
                      <w:kern w:val="2"/>
                      <w:sz w:val="21"/>
                      <w:szCs w:val="21"/>
                      <w:lang w:val="en-US" w:eastAsia="zh-CN" w:bidi="ar-SA"/>
                    </w:rPr>
                  </w:pPr>
                  <w:r>
                    <w:rPr>
                      <w:rFonts w:hint="default" w:ascii="Times New Roman" w:hAnsi="Times New Roman" w:eastAsia="宋体" w:cs="Times New Roman"/>
                      <w:b/>
                      <w:bCs/>
                      <w:color w:val="auto"/>
                      <w:kern w:val="2"/>
                      <w:sz w:val="21"/>
                      <w:szCs w:val="21"/>
                      <w:lang w:val="en-US" w:eastAsia="zh-CN" w:bidi="ar-SA"/>
                    </w:rPr>
                    <w:t>验收内容及标准</w:t>
                  </w:r>
                </w:p>
              </w:tc>
            </w:tr>
            <w:tr w14:paraId="57EBD8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4" w:type="dxa"/>
                  <w:vMerge w:val="restart"/>
                  <w:tcBorders>
                    <w:tl2br w:val="nil"/>
                    <w:tr2bl w:val="nil"/>
                  </w:tcBorders>
                  <w:vAlign w:val="center"/>
                </w:tcPr>
                <w:p w14:paraId="307BEBA7">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eastAsia="宋体" w:cs="Times New Roman"/>
                      <w:b w:val="0"/>
                      <w:bCs w:val="0"/>
                      <w:color w:val="auto"/>
                      <w:sz w:val="21"/>
                      <w:szCs w:val="21"/>
                      <w:vertAlign w:val="baseline"/>
                      <w:lang w:val="en-US" w:eastAsia="zh-CN"/>
                    </w:rPr>
                    <w:t>废气</w:t>
                  </w:r>
                </w:p>
              </w:tc>
              <w:tc>
                <w:tcPr>
                  <w:tcW w:w="632" w:type="dxa"/>
                  <w:tcBorders>
                    <w:tl2br w:val="nil"/>
                    <w:tr2bl w:val="nil"/>
                  </w:tcBorders>
                  <w:vAlign w:val="center"/>
                </w:tcPr>
                <w:p w14:paraId="11848978">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有组织</w:t>
                  </w:r>
                </w:p>
              </w:tc>
              <w:tc>
                <w:tcPr>
                  <w:tcW w:w="870" w:type="dxa"/>
                  <w:tcBorders>
                    <w:tl2br w:val="nil"/>
                    <w:tr2bl w:val="nil"/>
                  </w:tcBorders>
                  <w:vAlign w:val="center"/>
                </w:tcPr>
                <w:p w14:paraId="6BD48E50">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cs="Times New Roman"/>
                      <w:b w:val="0"/>
                      <w:bCs w:val="0"/>
                      <w:color w:val="auto"/>
                      <w:sz w:val="21"/>
                      <w:szCs w:val="21"/>
                      <w:vertAlign w:val="baseline"/>
                      <w:lang w:val="en-US" w:eastAsia="zh-CN"/>
                    </w:rPr>
                  </w:pPr>
                  <w:r>
                    <w:rPr>
                      <w:rFonts w:hint="eastAsia" w:ascii="Times New Roman" w:hAnsi="Times New Roman" w:cs="Times New Roman"/>
                      <w:b w:val="0"/>
                      <w:bCs w:val="0"/>
                      <w:color w:val="auto"/>
                      <w:sz w:val="21"/>
                      <w:szCs w:val="21"/>
                      <w:vertAlign w:val="baseline"/>
                      <w:lang w:val="en-US" w:eastAsia="zh-CN"/>
                    </w:rPr>
                    <w:t>DA001</w:t>
                  </w:r>
                </w:p>
              </w:tc>
              <w:tc>
                <w:tcPr>
                  <w:tcW w:w="870" w:type="dxa"/>
                  <w:tcBorders>
                    <w:tl2br w:val="nil"/>
                    <w:tr2bl w:val="nil"/>
                  </w:tcBorders>
                  <w:vAlign w:val="center"/>
                </w:tcPr>
                <w:p w14:paraId="54F47996">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颗粒物、</w:t>
                  </w:r>
                </w:p>
                <w:p w14:paraId="059807A3">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val="0"/>
                      <w:color w:val="auto"/>
                      <w:sz w:val="21"/>
                      <w:szCs w:val="21"/>
                      <w:vertAlign w:val="baseline"/>
                      <w:lang w:val="en-US" w:eastAsia="zh-CN"/>
                    </w:rPr>
                    <w:t>SO</w:t>
                  </w:r>
                  <w:r>
                    <w:rPr>
                      <w:rFonts w:hint="default" w:ascii="Times New Roman" w:hAnsi="Times New Roman" w:cs="Times New Roman"/>
                      <w:b w:val="0"/>
                      <w:bCs w:val="0"/>
                      <w:color w:val="auto"/>
                      <w:sz w:val="21"/>
                      <w:szCs w:val="21"/>
                      <w:vertAlign w:val="subscript"/>
                      <w:lang w:val="en-US" w:eastAsia="zh-CN"/>
                    </w:rPr>
                    <w:t>2</w:t>
                  </w:r>
                </w:p>
              </w:tc>
              <w:tc>
                <w:tcPr>
                  <w:tcW w:w="2640" w:type="dxa"/>
                  <w:tcBorders>
                    <w:tl2br w:val="nil"/>
                    <w:tr2bl w:val="nil"/>
                  </w:tcBorders>
                  <w:vAlign w:val="center"/>
                </w:tcPr>
                <w:p w14:paraId="41B06D66">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ascii="Times New Roman" w:hAnsi="Times New Roman" w:cs="Times New Roman"/>
                      <w:b w:val="0"/>
                      <w:bCs/>
                      <w:color w:val="auto"/>
                      <w:szCs w:val="21"/>
                      <w:lang w:eastAsia="zh-CN"/>
                    </w:rPr>
                    <w:t>布袋除尘器</w:t>
                  </w:r>
                  <w:r>
                    <w:rPr>
                      <w:rFonts w:hint="default" w:ascii="Times New Roman" w:hAnsi="Times New Roman" w:cs="Times New Roman"/>
                      <w:b w:val="0"/>
                      <w:bCs/>
                      <w:color w:val="auto"/>
                      <w:szCs w:val="21"/>
                      <w:lang w:val="en-US" w:eastAsia="zh-CN"/>
                    </w:rPr>
                    <w:t>+</w:t>
                  </w:r>
                  <w:r>
                    <w:rPr>
                      <w:rFonts w:hint="eastAsia" w:cs="Times New Roman"/>
                      <w:b w:val="0"/>
                      <w:bCs/>
                      <w:color w:val="auto"/>
                      <w:szCs w:val="21"/>
                      <w:lang w:val="en-US" w:eastAsia="zh-CN"/>
                    </w:rPr>
                    <w:t>20</w:t>
                  </w:r>
                  <w:r>
                    <w:rPr>
                      <w:rFonts w:hint="default" w:ascii="Times New Roman" w:hAnsi="Times New Roman" w:cs="Times New Roman"/>
                      <w:b w:val="0"/>
                      <w:bCs/>
                      <w:color w:val="auto"/>
                      <w:szCs w:val="21"/>
                      <w:lang w:val="en-US" w:eastAsia="zh-CN"/>
                    </w:rPr>
                    <w:t>m高</w:t>
                  </w:r>
                  <w:r>
                    <w:rPr>
                      <w:rFonts w:hint="eastAsia" w:cs="Times New Roman"/>
                      <w:b w:val="0"/>
                      <w:bCs/>
                      <w:color w:val="auto"/>
                      <w:szCs w:val="21"/>
                      <w:lang w:val="en-US" w:eastAsia="zh-CN"/>
                    </w:rPr>
                    <w:t>烟囱</w:t>
                  </w:r>
                </w:p>
              </w:tc>
              <w:tc>
                <w:tcPr>
                  <w:tcW w:w="2492" w:type="dxa"/>
                  <w:tcBorders>
                    <w:tl2br w:val="nil"/>
                    <w:tr2bl w:val="nil"/>
                  </w:tcBorders>
                  <w:vAlign w:val="center"/>
                </w:tcPr>
                <w:p w14:paraId="2534E1DF">
                  <w:pPr>
                    <w:keepNext w:val="0"/>
                    <w:keepLines w:val="0"/>
                    <w:pageBreakBefore w:val="0"/>
                    <w:kinsoku/>
                    <w:wordWrap/>
                    <w:overflowPunct/>
                    <w:topLinePunct w:val="0"/>
                    <w:autoSpaceDE/>
                    <w:autoSpaceDN/>
                    <w:bidi w:val="0"/>
                    <w:adjustRightInd/>
                    <w:snapToGrid/>
                    <w:spacing w:line="0" w:lineRule="atLeast"/>
                    <w:jc w:val="center"/>
                    <w:textAlignment w:val="auto"/>
                    <w:rPr>
                      <w:rFonts w:hint="default" w:ascii="Times New Roman" w:hAnsi="Times New Roman" w:eastAsia="宋体" w:cs="Times New Roman"/>
                      <w:b w:val="0"/>
                      <w:bCs w:val="0"/>
                      <w:color w:val="auto"/>
                      <w:sz w:val="21"/>
                      <w:szCs w:val="21"/>
                      <w:vertAlign w:val="baseline"/>
                      <w:lang w:val="en-US" w:eastAsia="zh-CN"/>
                    </w:rPr>
                  </w:pPr>
                  <w:r>
                    <w:rPr>
                      <w:rFonts w:hint="default"/>
                      <w:color w:val="auto"/>
                      <w:vertAlign w:val="baseline"/>
                      <w:lang w:val="en-US" w:eastAsia="zh-CN"/>
                    </w:rPr>
                    <w:t>《工业炉窑大气污染物排放标准》（GB 9078-1996）</w:t>
                  </w:r>
                </w:p>
              </w:tc>
            </w:tr>
            <w:tr w14:paraId="0CFA4E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4" w:type="dxa"/>
                  <w:vMerge w:val="continue"/>
                  <w:tcBorders>
                    <w:tl2br w:val="nil"/>
                    <w:tr2bl w:val="nil"/>
                  </w:tcBorders>
                  <w:vAlign w:val="center"/>
                </w:tcPr>
                <w:p w14:paraId="7423547D">
                  <w:pPr>
                    <w:pStyle w:val="16"/>
                    <w:keepNext w:val="0"/>
                    <w:keepLines w:val="0"/>
                    <w:pageBreakBefore w:val="0"/>
                    <w:widowControl w:val="0"/>
                    <w:kinsoku/>
                    <w:wordWrap/>
                    <w:overflowPunct/>
                    <w:topLinePunct w:val="0"/>
                    <w:autoSpaceDE/>
                    <w:autoSpaceDN/>
                    <w:bidi w:val="0"/>
                    <w:spacing w:line="0" w:lineRule="atLeast"/>
                    <w:jc w:val="center"/>
                    <w:textAlignment w:val="auto"/>
                    <w:rPr>
                      <w:color w:val="auto"/>
                    </w:rPr>
                  </w:pPr>
                </w:p>
              </w:tc>
              <w:tc>
                <w:tcPr>
                  <w:tcW w:w="632" w:type="dxa"/>
                  <w:tcBorders>
                    <w:tl2br w:val="nil"/>
                    <w:tr2bl w:val="nil"/>
                  </w:tcBorders>
                  <w:vAlign w:val="center"/>
                </w:tcPr>
                <w:p w14:paraId="287E4887">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cs="Times New Roman"/>
                      <w:b w:val="0"/>
                      <w:bCs w:val="0"/>
                      <w:color w:val="auto"/>
                      <w:sz w:val="21"/>
                      <w:szCs w:val="21"/>
                      <w:vertAlign w:val="baseline"/>
                      <w:lang w:val="en-US" w:eastAsia="zh-CN"/>
                    </w:rPr>
                    <w:t>无组织</w:t>
                  </w:r>
                </w:p>
              </w:tc>
              <w:tc>
                <w:tcPr>
                  <w:tcW w:w="870" w:type="dxa"/>
                  <w:tcBorders>
                    <w:tl2br w:val="nil"/>
                    <w:tr2bl w:val="nil"/>
                  </w:tcBorders>
                  <w:vAlign w:val="center"/>
                </w:tcPr>
                <w:p w14:paraId="77E76B5A">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eastAsia" w:ascii="Times New Roman" w:hAnsi="Times New Roman" w:eastAsia="宋体" w:cs="Times New Roman"/>
                      <w:b w:val="0"/>
                      <w:bCs w:val="0"/>
                      <w:color w:val="auto"/>
                      <w:kern w:val="2"/>
                      <w:sz w:val="21"/>
                      <w:szCs w:val="21"/>
                      <w:vertAlign w:val="baseline"/>
                      <w:lang w:val="en-US" w:eastAsia="zh-CN" w:bidi="ar-SA"/>
                    </w:rPr>
                  </w:pPr>
                  <w:r>
                    <w:rPr>
                      <w:rFonts w:hint="eastAsia" w:ascii="Times New Roman" w:hAnsi="Times New Roman" w:cs="Times New Roman"/>
                      <w:b w:val="0"/>
                      <w:bCs w:val="0"/>
                      <w:color w:val="auto"/>
                      <w:sz w:val="21"/>
                      <w:szCs w:val="21"/>
                      <w:vertAlign w:val="baseline"/>
                      <w:lang w:val="en-US" w:eastAsia="zh-CN"/>
                    </w:rPr>
                    <w:t>厂界</w:t>
                  </w:r>
                </w:p>
              </w:tc>
              <w:tc>
                <w:tcPr>
                  <w:tcW w:w="870" w:type="dxa"/>
                  <w:tcBorders>
                    <w:tl2br w:val="nil"/>
                    <w:tr2bl w:val="nil"/>
                  </w:tcBorders>
                  <w:vAlign w:val="center"/>
                </w:tcPr>
                <w:p w14:paraId="432AA842">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cs="Times New Roman"/>
                      <w:b w:val="0"/>
                      <w:bCs w:val="0"/>
                      <w:color w:val="auto"/>
                      <w:sz w:val="21"/>
                      <w:szCs w:val="21"/>
                      <w:vertAlign w:val="baseline"/>
                      <w:lang w:val="en-US" w:eastAsia="zh-CN"/>
                    </w:rPr>
                    <w:t>颗粒物</w:t>
                  </w:r>
                </w:p>
              </w:tc>
              <w:tc>
                <w:tcPr>
                  <w:tcW w:w="2640" w:type="dxa"/>
                  <w:tcBorders>
                    <w:tl2br w:val="nil"/>
                    <w:tr2bl w:val="nil"/>
                  </w:tcBorders>
                  <w:vAlign w:val="center"/>
                </w:tcPr>
                <w:p w14:paraId="30051495">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color w:val="auto"/>
                      <w:kern w:val="2"/>
                      <w:sz w:val="21"/>
                      <w:szCs w:val="21"/>
                      <w:lang w:val="en-US" w:eastAsia="zh-CN" w:bidi="ar-SA"/>
                    </w:rPr>
                  </w:pPr>
                  <w:r>
                    <w:rPr>
                      <w:rFonts w:hint="default" w:ascii="Times New Roman" w:hAnsi="Times New Roman" w:eastAsia="宋体" w:cs="Times New Roman"/>
                      <w:b w:val="0"/>
                      <w:bCs/>
                      <w:color w:val="auto"/>
                      <w:kern w:val="2"/>
                      <w:sz w:val="21"/>
                      <w:szCs w:val="21"/>
                      <w:lang w:val="en-US" w:eastAsia="zh-CN" w:bidi="ar-SA"/>
                    </w:rPr>
                    <w:t>灰渣在收集过程中采取封闭措施</w:t>
                  </w:r>
                </w:p>
              </w:tc>
              <w:tc>
                <w:tcPr>
                  <w:tcW w:w="2492" w:type="dxa"/>
                  <w:tcBorders>
                    <w:tl2br w:val="nil"/>
                    <w:tr2bl w:val="nil"/>
                  </w:tcBorders>
                  <w:vAlign w:val="center"/>
                </w:tcPr>
                <w:p w14:paraId="656ED7EE">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eastAsia="宋体" w:cs="Times New Roman"/>
                      <w:color w:val="auto"/>
                      <w:kern w:val="2"/>
                      <w:sz w:val="21"/>
                      <w:szCs w:val="21"/>
                      <w:lang w:val="en-US" w:eastAsia="zh-CN" w:bidi="ar-SA"/>
                    </w:rPr>
                    <w:t>《煤炭工业污染物排放标准》（GB20426—2006）表5中无组织限值</w:t>
                  </w:r>
                </w:p>
              </w:tc>
            </w:tr>
            <w:tr w14:paraId="1A6220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4" w:type="dxa"/>
                  <w:tcBorders>
                    <w:tl2br w:val="nil"/>
                    <w:tr2bl w:val="nil"/>
                  </w:tcBorders>
                  <w:vAlign w:val="center"/>
                </w:tcPr>
                <w:p w14:paraId="4ADA25CF">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噪声</w:t>
                  </w:r>
                </w:p>
              </w:tc>
              <w:tc>
                <w:tcPr>
                  <w:tcW w:w="2372" w:type="dxa"/>
                  <w:gridSpan w:val="3"/>
                  <w:tcBorders>
                    <w:tl2br w:val="nil"/>
                    <w:tr2bl w:val="nil"/>
                  </w:tcBorders>
                  <w:vAlign w:val="center"/>
                </w:tcPr>
                <w:p w14:paraId="2C82C912">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cs="Times New Roman"/>
                      <w:b w:val="0"/>
                      <w:bCs w:val="0"/>
                      <w:color w:val="auto"/>
                      <w:sz w:val="21"/>
                      <w:szCs w:val="21"/>
                      <w:vertAlign w:val="baseline"/>
                      <w:lang w:val="en-US" w:eastAsia="zh-CN"/>
                    </w:rPr>
                    <w:t>昼间</w:t>
                  </w:r>
                  <w:r>
                    <w:rPr>
                      <w:rFonts w:hint="eastAsia" w:cs="Times New Roman"/>
                      <w:b w:val="0"/>
                      <w:bCs w:val="0"/>
                      <w:color w:val="auto"/>
                      <w:sz w:val="21"/>
                      <w:szCs w:val="21"/>
                      <w:vertAlign w:val="baseline"/>
                      <w:lang w:val="en-US" w:eastAsia="zh-CN"/>
                    </w:rPr>
                    <w:t>、夜间</w:t>
                  </w:r>
                  <w:r>
                    <w:rPr>
                      <w:rFonts w:hint="default" w:ascii="Times New Roman" w:hAnsi="Times New Roman" w:cs="Times New Roman"/>
                      <w:b w:val="0"/>
                      <w:bCs w:val="0"/>
                      <w:color w:val="auto"/>
                      <w:sz w:val="21"/>
                      <w:szCs w:val="21"/>
                      <w:vertAlign w:val="baseline"/>
                      <w:lang w:val="en-US" w:eastAsia="zh-CN"/>
                    </w:rPr>
                    <w:t>等效A级</w:t>
                  </w:r>
                </w:p>
              </w:tc>
              <w:tc>
                <w:tcPr>
                  <w:tcW w:w="2640" w:type="dxa"/>
                  <w:tcBorders>
                    <w:tl2br w:val="nil"/>
                    <w:tr2bl w:val="nil"/>
                  </w:tcBorders>
                  <w:vAlign w:val="center"/>
                </w:tcPr>
                <w:p w14:paraId="15023F42">
                  <w:pPr>
                    <w:pStyle w:val="9"/>
                    <w:adjustRightInd w:val="0"/>
                    <w:snapToGrid w:val="0"/>
                    <w:spacing w:line="360" w:lineRule="exact"/>
                    <w:ind w:left="0" w:leftChars="0" w:firstLine="0" w:firstLineChars="0"/>
                    <w:jc w:val="center"/>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kern w:val="2"/>
                      <w:sz w:val="21"/>
                      <w:szCs w:val="21"/>
                      <w:vertAlign w:val="baseline"/>
                      <w:lang w:val="en-US" w:eastAsia="zh-CN" w:bidi="ar-SA"/>
                    </w:rPr>
                    <w:t>选取低噪声设备，采取减振、隔声等措施</w:t>
                  </w:r>
                </w:p>
              </w:tc>
              <w:tc>
                <w:tcPr>
                  <w:tcW w:w="2492" w:type="dxa"/>
                  <w:tcBorders>
                    <w:tl2br w:val="nil"/>
                    <w:tr2bl w:val="nil"/>
                  </w:tcBorders>
                  <w:vAlign w:val="center"/>
                </w:tcPr>
                <w:p w14:paraId="6FA283FD">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kern w:val="2"/>
                      <w:sz w:val="21"/>
                      <w:szCs w:val="21"/>
                      <w:lang w:val="en-US" w:eastAsia="zh-CN" w:bidi="ar-SA"/>
                    </w:rPr>
                  </w:pPr>
                  <w:r>
                    <w:rPr>
                      <w:rFonts w:hint="default" w:ascii="Times New Roman" w:hAnsi="Times New Roman" w:cs="Times New Roman"/>
                      <w:color w:val="auto"/>
                      <w:szCs w:val="21"/>
                    </w:rPr>
                    <w:t>《工业企业厂界环境噪声排放标准》（GB</w:t>
                  </w:r>
                  <w:r>
                    <w:rPr>
                      <w:rFonts w:hint="default" w:ascii="Times New Roman" w:hAnsi="Times New Roman" w:cs="Times New Roman"/>
                      <w:color w:val="auto"/>
                      <w:szCs w:val="21"/>
                      <w:lang w:val="en-US" w:eastAsia="zh-CN"/>
                    </w:rPr>
                    <w:t xml:space="preserve"> </w:t>
                  </w:r>
                  <w:r>
                    <w:rPr>
                      <w:rFonts w:hint="default" w:ascii="Times New Roman" w:hAnsi="Times New Roman" w:cs="Times New Roman"/>
                      <w:color w:val="auto"/>
                      <w:szCs w:val="21"/>
                    </w:rPr>
                    <w:t>12348-2008）表1</w:t>
                  </w:r>
                  <w:r>
                    <w:rPr>
                      <w:rFonts w:hint="eastAsia" w:cs="Times New Roman"/>
                      <w:color w:val="auto"/>
                      <w:szCs w:val="21"/>
                      <w:lang w:eastAsia="zh-CN"/>
                    </w:rPr>
                    <w:t>中</w:t>
                  </w:r>
                  <w:r>
                    <w:rPr>
                      <w:rFonts w:hint="eastAsia" w:cs="Times New Roman"/>
                      <w:color w:val="auto"/>
                      <w:szCs w:val="21"/>
                      <w:lang w:val="en-US" w:eastAsia="zh-CN"/>
                    </w:rPr>
                    <w:t>2</w:t>
                  </w:r>
                  <w:r>
                    <w:rPr>
                      <w:rFonts w:hint="default" w:ascii="Times New Roman" w:hAnsi="Times New Roman" w:cs="Times New Roman"/>
                      <w:color w:val="auto"/>
                      <w:szCs w:val="21"/>
                    </w:rPr>
                    <w:t>类标准</w:t>
                  </w:r>
                </w:p>
              </w:tc>
            </w:tr>
            <w:tr w14:paraId="76621C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474" w:type="dxa"/>
                  <w:tcBorders>
                    <w:tl2br w:val="nil"/>
                    <w:tr2bl w:val="nil"/>
                  </w:tcBorders>
                  <w:vAlign w:val="center"/>
                </w:tcPr>
                <w:p w14:paraId="52297D4B">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固废</w:t>
                  </w:r>
                </w:p>
              </w:tc>
              <w:tc>
                <w:tcPr>
                  <w:tcW w:w="2372" w:type="dxa"/>
                  <w:gridSpan w:val="3"/>
                  <w:tcBorders>
                    <w:tl2br w:val="nil"/>
                    <w:tr2bl w:val="nil"/>
                  </w:tcBorders>
                  <w:vAlign w:val="center"/>
                </w:tcPr>
                <w:p w14:paraId="5E787226">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cs="Times New Roman"/>
                      <w:b w:val="0"/>
                      <w:bCs w:val="0"/>
                      <w:color w:val="auto"/>
                      <w:sz w:val="21"/>
                      <w:szCs w:val="21"/>
                      <w:vertAlign w:val="baseline"/>
                      <w:lang w:val="en-US" w:eastAsia="zh-CN"/>
                    </w:rPr>
                    <w:t>锅炉灰渣</w:t>
                  </w:r>
                  <w:r>
                    <w:rPr>
                      <w:rFonts w:hint="eastAsia" w:cs="Times New Roman"/>
                      <w:b w:val="0"/>
                      <w:bCs w:val="0"/>
                      <w:color w:val="auto"/>
                      <w:sz w:val="21"/>
                      <w:szCs w:val="21"/>
                      <w:vertAlign w:val="baseline"/>
                      <w:lang w:val="en-US" w:eastAsia="zh-CN"/>
                    </w:rPr>
                    <w:t>、废布袋、废机油及含油废抹布</w:t>
                  </w:r>
                </w:p>
              </w:tc>
              <w:tc>
                <w:tcPr>
                  <w:tcW w:w="2640" w:type="dxa"/>
                  <w:tcBorders>
                    <w:tl2br w:val="nil"/>
                    <w:tr2bl w:val="nil"/>
                  </w:tcBorders>
                  <w:vAlign w:val="center"/>
                </w:tcPr>
                <w:p w14:paraId="2E314339">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val="0"/>
                      <w:color w:val="auto"/>
                      <w:kern w:val="2"/>
                      <w:sz w:val="21"/>
                      <w:szCs w:val="21"/>
                      <w:vertAlign w:val="baseline"/>
                      <w:lang w:val="en-US" w:eastAsia="zh-CN" w:bidi="ar-SA"/>
                    </w:rPr>
                  </w:pPr>
                  <w:r>
                    <w:rPr>
                      <w:rFonts w:hint="default" w:ascii="Times New Roman" w:hAnsi="Times New Roman" w:eastAsia="宋体" w:cs="Times New Roman"/>
                      <w:b w:val="0"/>
                      <w:bCs w:val="0"/>
                      <w:color w:val="auto"/>
                      <w:sz w:val="21"/>
                      <w:szCs w:val="21"/>
                      <w:vertAlign w:val="baseline"/>
                      <w:lang w:val="en-US" w:eastAsia="zh-CN"/>
                    </w:rPr>
                    <w:t>锅炉灰渣收集的粉尘集中收集，暂存于</w:t>
                  </w:r>
                  <w:r>
                    <w:rPr>
                      <w:rFonts w:hint="eastAsia" w:cs="Times New Roman"/>
                      <w:b w:val="0"/>
                      <w:bCs w:val="0"/>
                      <w:color w:val="auto"/>
                      <w:sz w:val="21"/>
                      <w:szCs w:val="21"/>
                      <w:vertAlign w:val="baseline"/>
                      <w:lang w:val="en-US" w:eastAsia="zh-CN"/>
                    </w:rPr>
                    <w:t>灰渣间</w:t>
                  </w:r>
                  <w:r>
                    <w:rPr>
                      <w:rFonts w:hint="default" w:ascii="Times New Roman" w:hAnsi="Times New Roman" w:eastAsia="宋体" w:cs="Times New Roman"/>
                      <w:b w:val="0"/>
                      <w:bCs w:val="0"/>
                      <w:color w:val="auto"/>
                      <w:sz w:val="21"/>
                      <w:szCs w:val="21"/>
                      <w:vertAlign w:val="baseline"/>
                      <w:lang w:val="en-US" w:eastAsia="zh-CN"/>
                    </w:rPr>
                    <w:t>，外售肥料</w:t>
                  </w:r>
                  <w:r>
                    <w:rPr>
                      <w:rFonts w:hint="eastAsia" w:cs="Times New Roman"/>
                      <w:b w:val="0"/>
                      <w:bCs w:val="0"/>
                      <w:color w:val="auto"/>
                      <w:sz w:val="21"/>
                      <w:szCs w:val="21"/>
                      <w:vertAlign w:val="baseline"/>
                      <w:lang w:val="en-US" w:eastAsia="zh-CN"/>
                    </w:rPr>
                    <w:t>；废布袋由厂家回收处理；维修产生的废机油及含油废抹布暂存于危险废物暂存间中，委托有资质单位处理。</w:t>
                  </w:r>
                </w:p>
              </w:tc>
              <w:tc>
                <w:tcPr>
                  <w:tcW w:w="2492" w:type="dxa"/>
                  <w:tcBorders>
                    <w:tl2br w:val="nil"/>
                    <w:tr2bl w:val="nil"/>
                  </w:tcBorders>
                  <w:vAlign w:val="center"/>
                </w:tcPr>
                <w:p w14:paraId="3B315C90">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b w:val="0"/>
                      <w:bCs/>
                      <w:color w:val="auto"/>
                      <w:kern w:val="2"/>
                      <w:sz w:val="21"/>
                      <w:szCs w:val="21"/>
                      <w:highlight w:val="none"/>
                      <w:lang w:val="en-US" w:eastAsia="zh-CN" w:bidi="ar-SA"/>
                    </w:rPr>
                  </w:pPr>
                  <w:r>
                    <w:rPr>
                      <w:rFonts w:hint="default" w:ascii="Times New Roman" w:hAnsi="Times New Roman" w:cs="Times New Roman"/>
                      <w:b w:val="0"/>
                      <w:bCs/>
                      <w:color w:val="auto"/>
                      <w:szCs w:val="21"/>
                      <w:highlight w:val="none"/>
                      <w:lang w:val="en-US" w:eastAsia="zh-CN"/>
                    </w:rPr>
                    <w:t>一般工业固体废物执行《一般工业固体废物贮存和填埋污染控制标准》(GB 18599-2020)</w:t>
                  </w:r>
                  <w:r>
                    <w:rPr>
                      <w:rFonts w:hint="default" w:ascii="Times New Roman" w:hAnsi="Times New Roman" w:eastAsia="宋体" w:cs="Times New Roman"/>
                      <w:color w:val="auto"/>
                      <w:sz w:val="21"/>
                      <w:szCs w:val="21"/>
                      <w:highlight w:val="none"/>
                      <w:lang w:eastAsia="zh-CN"/>
                    </w:rPr>
                    <w:t>和</w:t>
                  </w:r>
                  <w:r>
                    <w:rPr>
                      <w:rFonts w:hint="default" w:ascii="Times New Roman" w:hAnsi="Times New Roman" w:eastAsia="宋体" w:cs="Times New Roman"/>
                      <w:color w:val="auto"/>
                      <w:sz w:val="21"/>
                      <w:szCs w:val="21"/>
                      <w:highlight w:val="none"/>
                    </w:rPr>
                    <w:t>《危险废物贮存污染控制标准》（GB1859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p>
              </w:tc>
            </w:tr>
          </w:tbl>
          <w:p w14:paraId="6CB4A98F">
            <w:pPr>
              <w:numPr>
                <w:ilvl w:val="0"/>
                <w:numId w:val="0"/>
              </w:numPr>
              <w:adjustRightInd w:val="0"/>
              <w:snapToGrid w:val="0"/>
              <w:spacing w:line="360" w:lineRule="auto"/>
              <w:ind w:firstLine="422" w:firstLineChars="200"/>
              <w:jc w:val="both"/>
              <w:rPr>
                <w:rFonts w:hint="default" w:ascii="Times New Roman" w:hAnsi="Times New Roman" w:eastAsia="宋体" w:cs="Times New Roman"/>
                <w:b/>
                <w:bCs/>
                <w:color w:val="auto"/>
                <w:sz w:val="24"/>
                <w:szCs w:val="24"/>
                <w:lang w:val="en-US" w:eastAsia="zh-CN"/>
              </w:rPr>
            </w:pPr>
            <w:r>
              <w:rPr>
                <w:rFonts w:hint="default" w:ascii="Times New Roman" w:hAnsi="Times New Roman" w:eastAsia="宋体" w:cs="Times New Roman"/>
                <w:b/>
                <w:bCs/>
                <w:color w:val="auto"/>
                <w:sz w:val="21"/>
                <w:szCs w:val="21"/>
                <w:highlight w:val="none"/>
                <w:lang w:val="en-US" w:eastAsia="zh-CN"/>
              </w:rPr>
              <w:t>十、</w:t>
            </w:r>
            <w:r>
              <w:rPr>
                <w:rFonts w:hint="default" w:ascii="Times New Roman" w:hAnsi="Times New Roman" w:eastAsia="宋体" w:cs="Times New Roman"/>
                <w:b/>
                <w:bCs/>
                <w:color w:val="auto"/>
                <w:sz w:val="24"/>
                <w:szCs w:val="24"/>
                <w:lang w:val="en-US" w:eastAsia="zh-CN"/>
              </w:rPr>
              <w:t>排污许可证制度衔接</w:t>
            </w:r>
          </w:p>
          <w:p w14:paraId="05993A77">
            <w:pPr>
              <w:keepNext w:val="0"/>
              <w:keepLines w:val="0"/>
              <w:pageBreakBefore w:val="0"/>
              <w:widowControl w:val="0"/>
              <w:kinsoku/>
              <w:wordWrap/>
              <w:overflowPunct/>
              <w:topLinePunct w:val="0"/>
              <w:autoSpaceDE/>
              <w:autoSpaceDN/>
              <w:bidi w:val="0"/>
              <w:adjustRightInd/>
              <w:snapToGrid/>
              <w:spacing w:beforeAutospacing="0" w:afterAutospacing="0" w:line="360" w:lineRule="auto"/>
              <w:ind w:right="0" w:rightChars="0" w:firstLine="480" w:firstLineChars="200"/>
              <w:jc w:val="both"/>
              <w:textAlignment w:val="auto"/>
              <w:outlineLvl w:val="3"/>
              <w:rPr>
                <w:rFonts w:hint="default" w:ascii="Times New Roman" w:hAnsi="Times New Roman" w:eastAsia="宋体" w:cs="Times New Roman"/>
                <w:b w:val="0"/>
                <w:bCs/>
                <w:color w:val="auto"/>
                <w:sz w:val="24"/>
                <w:szCs w:val="24"/>
              </w:rPr>
            </w:pPr>
            <w:r>
              <w:rPr>
                <w:rFonts w:hint="default" w:ascii="Times New Roman" w:hAnsi="Times New Roman" w:eastAsia="宋体" w:cs="Times New Roman"/>
                <w:b w:val="0"/>
                <w:bCs/>
                <w:color w:val="auto"/>
                <w:sz w:val="24"/>
                <w:szCs w:val="24"/>
              </w:rPr>
              <w:t>根据《国务院办公厅关于印发控制污染物排放许可制实施方案的通知》（国办发[2016]81号），将排污许可制建设成为固定污染源环境管理的核心制度。本项目应严格按照国家排污许可证改革的要求，推进刷卡排污及污染源“一证式”管理工作，并作为建设单位在生产运营期接受环境监管和环境保护部门实施监管的主要法律文书，单位依法申领排污许可证，按证排污，自证守法。环境保护部门基于企事业单位守法承诺，依法发放排污许可证，依证强化事中事后监管。</w:t>
            </w:r>
          </w:p>
          <w:p w14:paraId="67F09DE5">
            <w:pPr>
              <w:keepNext w:val="0"/>
              <w:keepLines w:val="0"/>
              <w:pageBreakBefore w:val="0"/>
              <w:widowControl w:val="0"/>
              <w:kinsoku/>
              <w:wordWrap/>
              <w:overflowPunct/>
              <w:topLinePunct w:val="0"/>
              <w:autoSpaceDE/>
              <w:autoSpaceDN/>
              <w:bidi w:val="0"/>
              <w:adjustRightInd/>
              <w:snapToGrid/>
              <w:spacing w:beforeAutospacing="0" w:afterAutospacing="0" w:line="360" w:lineRule="auto"/>
              <w:ind w:right="0" w:rightChars="0" w:firstLine="480" w:firstLineChars="200"/>
              <w:jc w:val="both"/>
              <w:textAlignment w:val="auto"/>
              <w:outlineLvl w:val="3"/>
              <w:rPr>
                <w:rFonts w:hint="eastAsia" w:cs="Times New Roman"/>
                <w:b w:val="0"/>
                <w:bCs/>
                <w:color w:val="auto"/>
                <w:sz w:val="24"/>
                <w:szCs w:val="24"/>
                <w:lang w:val="en-US" w:eastAsia="zh-CN"/>
              </w:rPr>
            </w:pPr>
            <w:r>
              <w:rPr>
                <w:rFonts w:hint="eastAsia" w:cs="Times New Roman"/>
                <w:b w:val="0"/>
                <w:bCs/>
                <w:color w:val="auto"/>
                <w:sz w:val="24"/>
                <w:szCs w:val="24"/>
                <w:lang w:eastAsia="zh-CN"/>
              </w:rPr>
              <w:t>本项目为热力生产和供应业，属于《固定污染源排污许可分类管理名录（2019版）》中的“五十一、通用工序”</w:t>
            </w:r>
            <w:r>
              <w:rPr>
                <w:rFonts w:hint="eastAsia" w:cs="Times New Roman"/>
                <w:b w:val="0"/>
                <w:bCs/>
                <w:color w:val="auto"/>
                <w:sz w:val="24"/>
                <w:szCs w:val="24"/>
                <w:lang w:val="en-US" w:eastAsia="zh-CN"/>
              </w:rPr>
              <w:t>-“110工业炉窑”-“除纳入重点排污单位名录的，除以天然气或者电为能源的加热炉、热处理炉、干燥炉（窑）以外的其他工业炉窑”，应执行简化管理。</w:t>
            </w:r>
          </w:p>
          <w:p w14:paraId="3193AE21">
            <w:pPr>
              <w:pStyle w:val="2"/>
              <w:rPr>
                <w:rFonts w:hint="eastAsia" w:cs="Times New Roman"/>
                <w:b w:val="0"/>
                <w:bCs/>
                <w:color w:val="auto"/>
                <w:sz w:val="24"/>
                <w:szCs w:val="24"/>
                <w:lang w:val="en-US" w:eastAsia="zh-CN"/>
              </w:rPr>
            </w:pPr>
          </w:p>
          <w:p w14:paraId="3860C8D0">
            <w:pPr>
              <w:rPr>
                <w:rFonts w:hint="eastAsia" w:cs="Times New Roman"/>
                <w:b w:val="0"/>
                <w:bCs/>
                <w:color w:val="auto"/>
                <w:sz w:val="24"/>
                <w:szCs w:val="24"/>
                <w:lang w:val="en-US" w:eastAsia="zh-CN"/>
              </w:rPr>
            </w:pPr>
          </w:p>
          <w:p w14:paraId="4B38E106">
            <w:pPr>
              <w:pStyle w:val="2"/>
              <w:rPr>
                <w:rFonts w:hint="eastAsia" w:cs="Times New Roman"/>
                <w:b w:val="0"/>
                <w:bCs/>
                <w:color w:val="auto"/>
                <w:sz w:val="24"/>
                <w:szCs w:val="24"/>
                <w:lang w:val="en-US" w:eastAsia="zh-CN"/>
              </w:rPr>
            </w:pPr>
          </w:p>
          <w:p w14:paraId="60EFFB02">
            <w:pPr>
              <w:rPr>
                <w:rFonts w:hint="eastAsia" w:cs="Times New Roman"/>
                <w:b w:val="0"/>
                <w:bCs/>
                <w:color w:val="auto"/>
                <w:sz w:val="24"/>
                <w:szCs w:val="24"/>
                <w:lang w:val="en-US" w:eastAsia="zh-CN"/>
              </w:rPr>
            </w:pPr>
          </w:p>
          <w:p w14:paraId="1BC1057D">
            <w:pPr>
              <w:pStyle w:val="2"/>
              <w:rPr>
                <w:rFonts w:hint="eastAsia" w:cs="Times New Roman"/>
                <w:b w:val="0"/>
                <w:bCs/>
                <w:color w:val="auto"/>
                <w:sz w:val="24"/>
                <w:szCs w:val="24"/>
                <w:lang w:val="en-US" w:eastAsia="zh-CN"/>
              </w:rPr>
            </w:pPr>
          </w:p>
          <w:p w14:paraId="603AD45B">
            <w:pPr>
              <w:rPr>
                <w:rFonts w:hint="eastAsia" w:cs="Times New Roman"/>
                <w:b w:val="0"/>
                <w:bCs/>
                <w:color w:val="auto"/>
                <w:sz w:val="24"/>
                <w:szCs w:val="24"/>
                <w:lang w:val="en-US" w:eastAsia="zh-CN"/>
              </w:rPr>
            </w:pPr>
          </w:p>
          <w:p w14:paraId="13B1BE4A">
            <w:pPr>
              <w:pStyle w:val="2"/>
              <w:rPr>
                <w:rFonts w:hint="eastAsia" w:cs="Times New Roman"/>
                <w:b w:val="0"/>
                <w:bCs/>
                <w:color w:val="auto"/>
                <w:sz w:val="24"/>
                <w:szCs w:val="24"/>
                <w:lang w:val="en-US" w:eastAsia="zh-CN"/>
              </w:rPr>
            </w:pPr>
          </w:p>
          <w:p w14:paraId="62B381A9">
            <w:pPr>
              <w:rPr>
                <w:rFonts w:hint="eastAsia" w:cs="Times New Roman"/>
                <w:b w:val="0"/>
                <w:bCs/>
                <w:color w:val="auto"/>
                <w:sz w:val="24"/>
                <w:szCs w:val="24"/>
                <w:lang w:val="en-US" w:eastAsia="zh-CN"/>
              </w:rPr>
            </w:pPr>
          </w:p>
          <w:p w14:paraId="37AE4917">
            <w:pPr>
              <w:pStyle w:val="2"/>
              <w:rPr>
                <w:rFonts w:hint="eastAsia" w:cs="Times New Roman"/>
                <w:b w:val="0"/>
                <w:bCs/>
                <w:color w:val="auto"/>
                <w:sz w:val="24"/>
                <w:szCs w:val="24"/>
                <w:lang w:val="en-US" w:eastAsia="zh-CN"/>
              </w:rPr>
            </w:pPr>
          </w:p>
          <w:p w14:paraId="01F27310">
            <w:pPr>
              <w:rPr>
                <w:rFonts w:hint="eastAsia" w:cs="Times New Roman"/>
                <w:b w:val="0"/>
                <w:bCs/>
                <w:color w:val="auto"/>
                <w:sz w:val="24"/>
                <w:szCs w:val="24"/>
                <w:lang w:val="en-US" w:eastAsia="zh-CN"/>
              </w:rPr>
            </w:pPr>
          </w:p>
          <w:p w14:paraId="3B6659A7">
            <w:pPr>
              <w:pStyle w:val="2"/>
              <w:rPr>
                <w:rFonts w:hint="eastAsia" w:cs="Times New Roman"/>
                <w:b w:val="0"/>
                <w:bCs/>
                <w:color w:val="auto"/>
                <w:sz w:val="24"/>
                <w:szCs w:val="24"/>
                <w:lang w:val="en-US" w:eastAsia="zh-CN"/>
              </w:rPr>
            </w:pPr>
          </w:p>
          <w:p w14:paraId="3F30480E">
            <w:pPr>
              <w:rPr>
                <w:rFonts w:hint="eastAsia" w:cs="Times New Roman"/>
                <w:b w:val="0"/>
                <w:bCs/>
                <w:color w:val="auto"/>
                <w:sz w:val="24"/>
                <w:szCs w:val="24"/>
                <w:lang w:val="en-US" w:eastAsia="zh-CN"/>
              </w:rPr>
            </w:pPr>
          </w:p>
          <w:p w14:paraId="1776914F">
            <w:pPr>
              <w:pStyle w:val="2"/>
              <w:rPr>
                <w:rFonts w:hint="eastAsia" w:cs="Times New Roman"/>
                <w:b w:val="0"/>
                <w:bCs/>
                <w:color w:val="auto"/>
                <w:sz w:val="24"/>
                <w:szCs w:val="24"/>
                <w:lang w:val="en-US" w:eastAsia="zh-CN"/>
              </w:rPr>
            </w:pPr>
          </w:p>
          <w:p w14:paraId="1DF75D43">
            <w:pPr>
              <w:rPr>
                <w:rFonts w:hint="eastAsia" w:cs="Times New Roman"/>
                <w:b w:val="0"/>
                <w:bCs/>
                <w:color w:val="auto"/>
                <w:sz w:val="24"/>
                <w:szCs w:val="24"/>
                <w:lang w:val="en-US" w:eastAsia="zh-CN"/>
              </w:rPr>
            </w:pPr>
          </w:p>
          <w:p w14:paraId="46B3C164">
            <w:pPr>
              <w:pStyle w:val="2"/>
              <w:rPr>
                <w:rFonts w:hint="eastAsia" w:cs="Times New Roman"/>
                <w:b w:val="0"/>
                <w:bCs/>
                <w:color w:val="auto"/>
                <w:sz w:val="24"/>
                <w:szCs w:val="24"/>
                <w:lang w:val="en-US" w:eastAsia="zh-CN"/>
              </w:rPr>
            </w:pPr>
          </w:p>
          <w:p w14:paraId="0382B59C">
            <w:pPr>
              <w:rPr>
                <w:rFonts w:hint="eastAsia" w:cs="Times New Roman"/>
                <w:b w:val="0"/>
                <w:bCs/>
                <w:color w:val="auto"/>
                <w:sz w:val="24"/>
                <w:szCs w:val="24"/>
                <w:lang w:val="en-US" w:eastAsia="zh-CN"/>
              </w:rPr>
            </w:pPr>
          </w:p>
          <w:p w14:paraId="2A40ED69">
            <w:pPr>
              <w:pStyle w:val="2"/>
              <w:rPr>
                <w:rFonts w:hint="eastAsia" w:cs="Times New Roman"/>
                <w:b w:val="0"/>
                <w:bCs/>
                <w:color w:val="auto"/>
                <w:sz w:val="24"/>
                <w:szCs w:val="24"/>
                <w:lang w:val="en-US" w:eastAsia="zh-CN"/>
              </w:rPr>
            </w:pPr>
          </w:p>
          <w:p w14:paraId="5B0A6B4E">
            <w:pPr>
              <w:rPr>
                <w:rFonts w:hint="eastAsia" w:cs="Times New Roman"/>
                <w:b w:val="0"/>
                <w:bCs/>
                <w:color w:val="auto"/>
                <w:sz w:val="24"/>
                <w:szCs w:val="24"/>
                <w:lang w:val="en-US" w:eastAsia="zh-CN"/>
              </w:rPr>
            </w:pPr>
          </w:p>
          <w:p w14:paraId="61CF33D4">
            <w:pPr>
              <w:pStyle w:val="2"/>
              <w:rPr>
                <w:rFonts w:hint="eastAsia" w:cs="Times New Roman"/>
                <w:b w:val="0"/>
                <w:bCs/>
                <w:color w:val="auto"/>
                <w:sz w:val="24"/>
                <w:szCs w:val="24"/>
                <w:lang w:val="en-US" w:eastAsia="zh-CN"/>
              </w:rPr>
            </w:pPr>
          </w:p>
          <w:p w14:paraId="52377600">
            <w:pPr>
              <w:rPr>
                <w:rFonts w:hint="eastAsia" w:cs="Times New Roman"/>
                <w:b w:val="0"/>
                <w:bCs/>
                <w:color w:val="auto"/>
                <w:sz w:val="24"/>
                <w:szCs w:val="24"/>
                <w:lang w:val="en-US" w:eastAsia="zh-CN"/>
              </w:rPr>
            </w:pPr>
          </w:p>
          <w:p w14:paraId="4368A667">
            <w:pPr>
              <w:pStyle w:val="2"/>
              <w:rPr>
                <w:rFonts w:hint="eastAsia" w:cs="Times New Roman"/>
                <w:b w:val="0"/>
                <w:bCs/>
                <w:color w:val="auto"/>
                <w:sz w:val="24"/>
                <w:szCs w:val="24"/>
                <w:lang w:val="en-US" w:eastAsia="zh-CN"/>
              </w:rPr>
            </w:pPr>
          </w:p>
          <w:p w14:paraId="11B4BC3F">
            <w:pPr>
              <w:pStyle w:val="2"/>
              <w:ind w:left="0" w:leftChars="0" w:firstLine="0" w:firstLineChars="0"/>
              <w:rPr>
                <w:rFonts w:hint="default"/>
                <w:lang w:val="en-US" w:eastAsia="zh-CN"/>
              </w:rPr>
            </w:pPr>
          </w:p>
        </w:tc>
      </w:tr>
    </w:tbl>
    <w:p w14:paraId="5E12FA94">
      <w:pPr>
        <w:adjustRightInd w:val="0"/>
        <w:snapToGrid w:val="0"/>
        <w:spacing w:line="360" w:lineRule="auto"/>
        <w:rPr>
          <w:rFonts w:hint="default" w:ascii="Times New Roman" w:hAnsi="Times New Roman" w:cs="Times New Roman"/>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77FA7FFC">
      <w:pPr>
        <w:pStyle w:val="26"/>
        <w:jc w:val="center"/>
        <w:outlineLvl w:val="0"/>
        <w:rPr>
          <w:rFonts w:hint="default" w:ascii="Times New Roman" w:hAnsi="Times New Roman" w:eastAsia="黑体" w:cs="Times New Roman"/>
          <w:snapToGrid w:val="0"/>
          <w:color w:val="auto"/>
          <w:sz w:val="30"/>
          <w:szCs w:val="30"/>
        </w:rPr>
      </w:pPr>
      <w:bookmarkStart w:id="5" w:name="_Toc14242"/>
      <w:r>
        <w:rPr>
          <w:rFonts w:hint="default" w:ascii="Times New Roman" w:hAnsi="Times New Roman" w:eastAsia="黑体" w:cs="Times New Roman"/>
          <w:snapToGrid w:val="0"/>
          <w:color w:val="auto"/>
          <w:sz w:val="30"/>
          <w:szCs w:val="30"/>
        </w:rPr>
        <w:t>五、</w:t>
      </w:r>
      <w:bookmarkStart w:id="6" w:name="_Hlk54167917"/>
      <w:r>
        <w:rPr>
          <w:rFonts w:hint="default" w:ascii="Times New Roman" w:hAnsi="Times New Roman" w:eastAsia="黑体" w:cs="Times New Roman"/>
          <w:snapToGrid w:val="0"/>
          <w:color w:val="auto"/>
          <w:sz w:val="30"/>
          <w:szCs w:val="30"/>
        </w:rPr>
        <w:t>环境保护措施监督检查清单</w:t>
      </w:r>
      <w:bookmarkEnd w:id="5"/>
      <w:bookmarkEnd w:id="6"/>
    </w:p>
    <w:tbl>
      <w:tblPr>
        <w:tblStyle w:val="30"/>
        <w:tblW w:w="919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33"/>
        <w:gridCol w:w="1708"/>
        <w:gridCol w:w="1433"/>
        <w:gridCol w:w="2277"/>
        <w:gridCol w:w="2247"/>
      </w:tblGrid>
      <w:tr w14:paraId="1EF944F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77" w:hRule="atLeast"/>
          <w:jc w:val="center"/>
        </w:trPr>
        <w:tc>
          <w:tcPr>
            <w:tcW w:w="1533" w:type="dxa"/>
            <w:tcBorders>
              <w:tl2br w:val="single" w:color="auto" w:sz="4" w:space="0"/>
            </w:tcBorders>
            <w:noWrap w:val="0"/>
            <w:vAlign w:val="top"/>
          </w:tcPr>
          <w:p w14:paraId="6569E641">
            <w:pPr>
              <w:adjustRightInd w:val="0"/>
              <w:snapToGrid w:val="0"/>
              <w:ind w:firstLine="630" w:firstLineChars="30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内容</w:t>
            </w:r>
          </w:p>
          <w:p w14:paraId="6B36BDBC">
            <w:pPr>
              <w:adjustRightInd w:val="0"/>
              <w:snapToGrid w:val="0"/>
              <w:rPr>
                <w:rFonts w:hint="default" w:ascii="Times New Roman" w:hAnsi="Times New Roman" w:cs="Times New Roman"/>
                <w:color w:val="auto"/>
                <w:sz w:val="21"/>
                <w:szCs w:val="21"/>
              </w:rPr>
            </w:pPr>
            <w:r>
              <w:rPr>
                <w:rFonts w:hint="default" w:ascii="Times New Roman" w:hAnsi="Times New Roman" w:cs="Times New Roman"/>
                <w:color w:val="auto"/>
                <w:sz w:val="21"/>
                <w:szCs w:val="21"/>
              </w:rPr>
              <w:t>要素</w:t>
            </w:r>
          </w:p>
        </w:tc>
        <w:tc>
          <w:tcPr>
            <w:tcW w:w="1708" w:type="dxa"/>
            <w:noWrap w:val="0"/>
            <w:vAlign w:val="center"/>
          </w:tcPr>
          <w:p w14:paraId="4C255657">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排放口(编号、</w:t>
            </w:r>
          </w:p>
          <w:p w14:paraId="2BA42A4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名称)/污染源</w:t>
            </w:r>
          </w:p>
        </w:tc>
        <w:tc>
          <w:tcPr>
            <w:tcW w:w="1433" w:type="dxa"/>
            <w:noWrap w:val="0"/>
            <w:vAlign w:val="center"/>
          </w:tcPr>
          <w:p w14:paraId="1CF8EFE3">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污染物项目</w:t>
            </w:r>
          </w:p>
        </w:tc>
        <w:tc>
          <w:tcPr>
            <w:tcW w:w="2277" w:type="dxa"/>
            <w:noWrap w:val="0"/>
            <w:vAlign w:val="center"/>
          </w:tcPr>
          <w:p w14:paraId="29AB36B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环境保护措施</w:t>
            </w:r>
          </w:p>
        </w:tc>
        <w:tc>
          <w:tcPr>
            <w:tcW w:w="2247" w:type="dxa"/>
            <w:noWrap w:val="0"/>
            <w:vAlign w:val="center"/>
          </w:tcPr>
          <w:p w14:paraId="11EA190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执行标准</w:t>
            </w:r>
          </w:p>
        </w:tc>
      </w:tr>
      <w:tr w14:paraId="17D4E7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533" w:type="dxa"/>
            <w:vMerge w:val="restart"/>
            <w:noWrap w:val="0"/>
            <w:vAlign w:val="center"/>
          </w:tcPr>
          <w:p w14:paraId="2EB7803D">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大气环境</w:t>
            </w:r>
          </w:p>
        </w:tc>
        <w:tc>
          <w:tcPr>
            <w:tcW w:w="1708" w:type="dxa"/>
            <w:noWrap w:val="0"/>
            <w:vAlign w:val="center"/>
          </w:tcPr>
          <w:p w14:paraId="18F17F74">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DA001</w:t>
            </w:r>
          </w:p>
        </w:tc>
        <w:tc>
          <w:tcPr>
            <w:tcW w:w="1433" w:type="dxa"/>
            <w:noWrap w:val="0"/>
            <w:vAlign w:val="center"/>
          </w:tcPr>
          <w:p w14:paraId="3D00DDAE">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颗粒物</w:t>
            </w:r>
            <w:r>
              <w:rPr>
                <w:rFonts w:hint="eastAsia" w:cs="Times New Roman"/>
                <w:color w:val="auto"/>
                <w:sz w:val="21"/>
                <w:szCs w:val="21"/>
                <w:highlight w:val="none"/>
                <w:lang w:eastAsia="zh-CN"/>
              </w:rPr>
              <w:t>、</w:t>
            </w:r>
          </w:p>
          <w:p w14:paraId="5ACD5AE5">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eastAsia="zh-CN"/>
              </w:rPr>
              <w:t>SO</w:t>
            </w:r>
            <w:r>
              <w:rPr>
                <w:rFonts w:hint="default" w:ascii="Times New Roman" w:hAnsi="Times New Roman" w:eastAsia="宋体" w:cs="Times New Roman"/>
                <w:color w:val="auto"/>
                <w:sz w:val="21"/>
                <w:szCs w:val="21"/>
                <w:highlight w:val="none"/>
                <w:vertAlign w:val="subscript"/>
                <w:lang w:eastAsia="zh-CN"/>
              </w:rPr>
              <w:t>2</w:t>
            </w:r>
          </w:p>
        </w:tc>
        <w:tc>
          <w:tcPr>
            <w:tcW w:w="2277" w:type="dxa"/>
            <w:noWrap w:val="0"/>
            <w:vAlign w:val="center"/>
          </w:tcPr>
          <w:p w14:paraId="6E3299B3">
            <w:pPr>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锅炉烟气经</w:t>
            </w:r>
            <w:r>
              <w:rPr>
                <w:rFonts w:hint="eastAsia"/>
                <w:color w:val="auto"/>
                <w:highlight w:val="none"/>
                <w:lang w:val="en-US" w:eastAsia="zh-CN"/>
              </w:rPr>
              <w:t>配套的</w:t>
            </w:r>
            <w:r>
              <w:rPr>
                <w:rFonts w:hint="default" w:ascii="Times New Roman" w:hAnsi="Times New Roman" w:cs="Times New Roman"/>
                <w:color w:val="auto"/>
                <w:sz w:val="21"/>
                <w:szCs w:val="21"/>
                <w:highlight w:val="none"/>
                <w:lang w:val="en-US" w:eastAsia="zh-CN"/>
              </w:rPr>
              <w:t>布袋除尘器处理后（处理效率为99%），通过</w:t>
            </w:r>
            <w:r>
              <w:rPr>
                <w:rFonts w:hint="eastAsia" w:cs="Times New Roman"/>
                <w:color w:val="auto"/>
                <w:sz w:val="21"/>
                <w:szCs w:val="21"/>
                <w:highlight w:val="none"/>
                <w:lang w:val="en-US" w:eastAsia="zh-CN"/>
              </w:rPr>
              <w:t>20</w:t>
            </w:r>
            <w:r>
              <w:rPr>
                <w:rFonts w:hint="default" w:ascii="Times New Roman" w:hAnsi="Times New Roman" w:cs="Times New Roman"/>
                <w:color w:val="auto"/>
                <w:sz w:val="21"/>
                <w:szCs w:val="21"/>
                <w:highlight w:val="none"/>
                <w:lang w:val="en-US" w:eastAsia="zh-CN"/>
              </w:rPr>
              <w:t>m高</w:t>
            </w:r>
            <w:r>
              <w:rPr>
                <w:rFonts w:hint="eastAsia" w:cs="Times New Roman"/>
                <w:color w:val="auto"/>
                <w:sz w:val="21"/>
                <w:szCs w:val="21"/>
                <w:highlight w:val="none"/>
                <w:lang w:val="en-US" w:eastAsia="zh-CN"/>
              </w:rPr>
              <w:t>烟囱DA001</w:t>
            </w:r>
            <w:r>
              <w:rPr>
                <w:rFonts w:hint="default" w:ascii="Times New Roman" w:hAnsi="Times New Roman" w:cs="Times New Roman"/>
                <w:color w:val="auto"/>
                <w:sz w:val="21"/>
                <w:szCs w:val="21"/>
                <w:highlight w:val="none"/>
                <w:lang w:val="en-US" w:eastAsia="zh-CN"/>
              </w:rPr>
              <w:t>排放</w:t>
            </w:r>
          </w:p>
        </w:tc>
        <w:tc>
          <w:tcPr>
            <w:tcW w:w="2247" w:type="dxa"/>
            <w:noWrap w:val="0"/>
            <w:vAlign w:val="center"/>
          </w:tcPr>
          <w:p w14:paraId="6D5EB995">
            <w:pPr>
              <w:adjustRightInd w:val="0"/>
              <w:snapToGrid w:val="0"/>
              <w:jc w:val="center"/>
              <w:rPr>
                <w:rFonts w:hint="default"/>
                <w:color w:val="auto"/>
                <w:highlight w:val="none"/>
                <w:vertAlign w:val="baseline"/>
                <w:lang w:val="en-US" w:eastAsia="zh-CN"/>
              </w:rPr>
            </w:pPr>
            <w:r>
              <w:rPr>
                <w:rFonts w:hint="default"/>
                <w:color w:val="auto"/>
                <w:highlight w:val="none"/>
                <w:vertAlign w:val="baseline"/>
                <w:lang w:val="en-US" w:eastAsia="zh-CN"/>
              </w:rPr>
              <w:t>《工业炉窑大气污染物排放标准》</w:t>
            </w:r>
          </w:p>
          <w:p w14:paraId="3C5E4799">
            <w:pPr>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color w:val="auto"/>
                <w:highlight w:val="none"/>
                <w:vertAlign w:val="baseline"/>
                <w:lang w:val="en-US" w:eastAsia="zh-CN"/>
              </w:rPr>
              <w:t>（GB 9078-1996）</w:t>
            </w:r>
          </w:p>
        </w:tc>
      </w:tr>
      <w:tr w14:paraId="482632F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98" w:hRule="atLeast"/>
          <w:jc w:val="center"/>
        </w:trPr>
        <w:tc>
          <w:tcPr>
            <w:tcW w:w="1533" w:type="dxa"/>
            <w:vMerge w:val="continue"/>
            <w:noWrap w:val="0"/>
            <w:vAlign w:val="center"/>
          </w:tcPr>
          <w:p w14:paraId="59C9C107">
            <w:pPr>
              <w:adjustRightInd w:val="0"/>
              <w:snapToGrid w:val="0"/>
              <w:jc w:val="center"/>
              <w:rPr>
                <w:color w:val="auto"/>
              </w:rPr>
            </w:pPr>
          </w:p>
        </w:tc>
        <w:tc>
          <w:tcPr>
            <w:tcW w:w="1708" w:type="dxa"/>
            <w:noWrap w:val="0"/>
            <w:vAlign w:val="center"/>
          </w:tcPr>
          <w:p w14:paraId="3BF53920">
            <w:pPr>
              <w:adjustRightInd w:val="0"/>
              <w:snapToGrid w:val="0"/>
              <w:jc w:val="center"/>
              <w:rPr>
                <w:rFonts w:hint="eastAsia" w:eastAsia="宋体"/>
                <w:color w:val="auto"/>
                <w:lang w:eastAsia="zh-CN"/>
              </w:rPr>
            </w:pPr>
            <w:r>
              <w:rPr>
                <w:rFonts w:hint="eastAsia"/>
                <w:color w:val="auto"/>
                <w:lang w:eastAsia="zh-CN"/>
              </w:rPr>
              <w:t>厂界</w:t>
            </w:r>
          </w:p>
        </w:tc>
        <w:tc>
          <w:tcPr>
            <w:tcW w:w="1433" w:type="dxa"/>
            <w:noWrap w:val="0"/>
            <w:vAlign w:val="center"/>
          </w:tcPr>
          <w:p w14:paraId="29DA0A63">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color w:val="auto"/>
                <w:sz w:val="21"/>
                <w:szCs w:val="21"/>
                <w:lang w:eastAsia="zh-CN"/>
              </w:rPr>
              <w:t>颗粒物</w:t>
            </w:r>
          </w:p>
        </w:tc>
        <w:tc>
          <w:tcPr>
            <w:tcW w:w="2277" w:type="dxa"/>
            <w:noWrap w:val="0"/>
            <w:vAlign w:val="center"/>
          </w:tcPr>
          <w:p w14:paraId="4250D642">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eastAsia="宋体" w:cs="Times New Roman"/>
                <w:b w:val="0"/>
                <w:bCs/>
                <w:color w:val="auto"/>
                <w:kern w:val="2"/>
                <w:sz w:val="21"/>
                <w:szCs w:val="21"/>
                <w:lang w:val="en-US" w:eastAsia="zh-CN" w:bidi="ar-SA"/>
              </w:rPr>
              <w:t>表面封闭，加盖防风抑尘网并定期洒水的方式抑尘</w:t>
            </w:r>
            <w:r>
              <w:rPr>
                <w:rFonts w:hint="eastAsia" w:cs="Times New Roman"/>
                <w:b w:val="0"/>
                <w:bCs/>
                <w:color w:val="auto"/>
                <w:kern w:val="2"/>
                <w:sz w:val="21"/>
                <w:szCs w:val="21"/>
                <w:lang w:val="en-US" w:eastAsia="zh-CN" w:bidi="ar-SA"/>
              </w:rPr>
              <w:t>；</w:t>
            </w:r>
            <w:r>
              <w:rPr>
                <w:rFonts w:hint="default" w:ascii="Times New Roman" w:hAnsi="Times New Roman" w:eastAsia="宋体" w:cs="Times New Roman"/>
                <w:b w:val="0"/>
                <w:bCs/>
                <w:color w:val="auto"/>
                <w:kern w:val="2"/>
                <w:sz w:val="21"/>
                <w:szCs w:val="21"/>
                <w:lang w:val="en-US" w:eastAsia="zh-CN" w:bidi="ar-SA"/>
              </w:rPr>
              <w:t>灰渣</w:t>
            </w:r>
            <w:r>
              <w:rPr>
                <w:rFonts w:hint="eastAsia" w:cs="Times New Roman"/>
                <w:b w:val="0"/>
                <w:bCs/>
                <w:color w:val="auto"/>
                <w:kern w:val="2"/>
                <w:sz w:val="21"/>
                <w:szCs w:val="21"/>
                <w:lang w:val="en-US" w:eastAsia="zh-CN" w:bidi="ar-SA"/>
              </w:rPr>
              <w:t>及灰渣堆场</w:t>
            </w:r>
            <w:r>
              <w:rPr>
                <w:rFonts w:hint="default" w:ascii="Times New Roman" w:hAnsi="Times New Roman" w:eastAsia="宋体" w:cs="Times New Roman"/>
                <w:b w:val="0"/>
                <w:bCs/>
                <w:color w:val="auto"/>
                <w:kern w:val="2"/>
                <w:sz w:val="21"/>
                <w:szCs w:val="21"/>
                <w:lang w:val="en-US" w:eastAsia="zh-CN" w:bidi="ar-SA"/>
              </w:rPr>
              <w:t>在收集过程中采取封闭措施</w:t>
            </w:r>
          </w:p>
        </w:tc>
        <w:tc>
          <w:tcPr>
            <w:tcW w:w="2247" w:type="dxa"/>
            <w:noWrap w:val="0"/>
            <w:vAlign w:val="center"/>
          </w:tcPr>
          <w:p w14:paraId="7C74FC58">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《煤炭工业污染物排放标准》（GB20426—2006）表5中无组织限值</w:t>
            </w:r>
          </w:p>
        </w:tc>
      </w:tr>
      <w:tr w14:paraId="5C2C8F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533" w:type="dxa"/>
            <w:noWrap w:val="0"/>
            <w:vAlign w:val="center"/>
          </w:tcPr>
          <w:p w14:paraId="2C69D7C5">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地表水环境</w:t>
            </w:r>
          </w:p>
        </w:tc>
        <w:tc>
          <w:tcPr>
            <w:tcW w:w="1708" w:type="dxa"/>
            <w:noWrap w:val="0"/>
            <w:vAlign w:val="center"/>
          </w:tcPr>
          <w:p w14:paraId="31FB8098">
            <w:pPr>
              <w:adjustRightInd w:val="0"/>
              <w:snapToGrid w:val="0"/>
              <w:jc w:val="center"/>
              <w:rPr>
                <w:rFonts w:hint="default" w:ascii="Times New Roman" w:hAnsi="Times New Roman" w:cs="Times New Roman"/>
                <w:color w:val="auto"/>
                <w:lang w:eastAsia="zh-CN"/>
              </w:rPr>
            </w:pPr>
            <w:r>
              <w:rPr>
                <w:rFonts w:hint="eastAsia" w:ascii="Times New Roman" w:hAnsi="Times New Roman" w:cs="Times New Roman"/>
                <w:color w:val="auto"/>
                <w:lang w:val="en-US" w:eastAsia="zh-CN"/>
              </w:rPr>
              <w:t>/</w:t>
            </w:r>
          </w:p>
        </w:tc>
        <w:tc>
          <w:tcPr>
            <w:tcW w:w="1433" w:type="dxa"/>
            <w:noWrap w:val="0"/>
            <w:vAlign w:val="center"/>
          </w:tcPr>
          <w:p w14:paraId="46C4C59C">
            <w:pPr>
              <w:adjustRightInd w:val="0"/>
              <w:snapToGrid w:val="0"/>
              <w:jc w:val="center"/>
              <w:rPr>
                <w:rFonts w:hint="default" w:ascii="Times New Roman" w:hAnsi="Times New Roman" w:cs="Times New Roman"/>
                <w:color w:val="auto"/>
                <w:lang w:val="en-US" w:eastAsia="zh-CN"/>
              </w:rPr>
            </w:pPr>
            <w:r>
              <w:rPr>
                <w:rFonts w:hint="default" w:ascii="Times New Roman" w:hAnsi="Times New Roman" w:cs="Times New Roman"/>
                <w:color w:val="auto"/>
                <w:lang w:val="en-US" w:eastAsia="zh-CN"/>
              </w:rPr>
              <w:t>/</w:t>
            </w:r>
          </w:p>
        </w:tc>
        <w:tc>
          <w:tcPr>
            <w:tcW w:w="2277" w:type="dxa"/>
            <w:noWrap w:val="0"/>
            <w:vAlign w:val="center"/>
          </w:tcPr>
          <w:p w14:paraId="3BE77445">
            <w:pPr>
              <w:adjustRightInd w:val="0"/>
              <w:snapToGrid w:val="0"/>
              <w:jc w:val="center"/>
              <w:rPr>
                <w:rFonts w:hint="default" w:ascii="Times New Roman" w:hAnsi="Times New Roman" w:cs="Times New Roman"/>
                <w:color w:val="auto"/>
                <w:lang w:eastAsia="zh-CN"/>
              </w:rPr>
            </w:pPr>
            <w:r>
              <w:rPr>
                <w:rFonts w:hint="eastAsia" w:ascii="Times New Roman" w:hAnsi="Times New Roman" w:cs="Times New Roman"/>
                <w:color w:val="auto"/>
                <w:lang w:val="en-US" w:eastAsia="zh-CN"/>
              </w:rPr>
              <w:t>/</w:t>
            </w:r>
          </w:p>
        </w:tc>
        <w:tc>
          <w:tcPr>
            <w:tcW w:w="2247" w:type="dxa"/>
            <w:noWrap w:val="0"/>
            <w:vAlign w:val="center"/>
          </w:tcPr>
          <w:p w14:paraId="3C29E1A3">
            <w:pPr>
              <w:adjustRightInd w:val="0"/>
              <w:snapToGrid w:val="0"/>
              <w:jc w:val="center"/>
              <w:rPr>
                <w:rFonts w:hint="default" w:ascii="Times New Roman" w:hAnsi="Times New Roman" w:cs="Times New Roman"/>
                <w:color w:val="auto"/>
                <w:lang w:eastAsia="zh-CN"/>
              </w:rPr>
            </w:pPr>
            <w:r>
              <w:rPr>
                <w:rFonts w:hint="default" w:ascii="Times New Roman" w:hAnsi="Times New Roman" w:cs="Times New Roman"/>
                <w:color w:val="auto"/>
                <w:lang w:val="en-US" w:eastAsia="zh-CN"/>
              </w:rPr>
              <w:t>/</w:t>
            </w:r>
          </w:p>
        </w:tc>
      </w:tr>
      <w:tr w14:paraId="682A6A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84" w:hRule="atLeast"/>
          <w:jc w:val="center"/>
        </w:trPr>
        <w:tc>
          <w:tcPr>
            <w:tcW w:w="1533" w:type="dxa"/>
            <w:noWrap w:val="0"/>
            <w:vAlign w:val="center"/>
          </w:tcPr>
          <w:p w14:paraId="019E46A9">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噪声</w:t>
            </w:r>
          </w:p>
        </w:tc>
        <w:tc>
          <w:tcPr>
            <w:tcW w:w="1708" w:type="dxa"/>
            <w:noWrap w:val="0"/>
            <w:vAlign w:val="center"/>
          </w:tcPr>
          <w:p w14:paraId="4515078F">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风机</w:t>
            </w:r>
          </w:p>
        </w:tc>
        <w:tc>
          <w:tcPr>
            <w:tcW w:w="1433" w:type="dxa"/>
            <w:noWrap w:val="0"/>
            <w:vAlign w:val="center"/>
          </w:tcPr>
          <w:p w14:paraId="090A82CE">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噪声</w:t>
            </w:r>
          </w:p>
        </w:tc>
        <w:tc>
          <w:tcPr>
            <w:tcW w:w="2277" w:type="dxa"/>
            <w:noWrap w:val="0"/>
            <w:vAlign w:val="center"/>
          </w:tcPr>
          <w:p w14:paraId="0B8B1A8C">
            <w:pPr>
              <w:pStyle w:val="16"/>
              <w:keepNext w:val="0"/>
              <w:keepLines w:val="0"/>
              <w:pageBreakBefore w:val="0"/>
              <w:widowControl w:val="0"/>
              <w:numPr>
                <w:ilvl w:val="0"/>
                <w:numId w:val="0"/>
              </w:numPr>
              <w:kinsoku/>
              <w:wordWrap/>
              <w:overflowPunct/>
              <w:topLinePunct w:val="0"/>
              <w:autoSpaceDE/>
              <w:autoSpaceDN/>
              <w:bidi w:val="0"/>
              <w:spacing w:line="0" w:lineRule="atLeast"/>
              <w:jc w:val="center"/>
              <w:textAlignment w:val="auto"/>
              <w:rPr>
                <w:rFonts w:hint="default" w:ascii="Times New Roman" w:hAnsi="Times New Roman" w:cs="Times New Roman"/>
                <w:color w:val="auto"/>
                <w:kern w:val="21"/>
                <w:sz w:val="21"/>
                <w:szCs w:val="21"/>
              </w:rPr>
            </w:pPr>
            <w:r>
              <w:rPr>
                <w:rFonts w:hint="default" w:ascii="Times New Roman" w:hAnsi="Times New Roman" w:cs="Times New Roman"/>
                <w:color w:val="auto"/>
                <w:kern w:val="21"/>
                <w:sz w:val="21"/>
                <w:szCs w:val="21"/>
              </w:rPr>
              <w:t>选用低噪声设备；</w:t>
            </w:r>
          </w:p>
          <w:p w14:paraId="13B1B246">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kern w:val="21"/>
                <w:sz w:val="21"/>
                <w:szCs w:val="21"/>
              </w:rPr>
              <w:t>设置减振垫</w:t>
            </w:r>
          </w:p>
        </w:tc>
        <w:tc>
          <w:tcPr>
            <w:tcW w:w="2247" w:type="dxa"/>
            <w:noWrap w:val="0"/>
            <w:vAlign w:val="center"/>
          </w:tcPr>
          <w:p w14:paraId="6E7BB98B">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《工业企业厂界环境噪声排放标准》（GB12348-2008）中</w:t>
            </w:r>
            <w:r>
              <w:rPr>
                <w:rFonts w:hint="eastAsia" w:cs="Times New Roman"/>
                <w:color w:val="auto"/>
                <w:sz w:val="21"/>
                <w:szCs w:val="21"/>
                <w:lang w:val="en-US" w:eastAsia="zh-CN"/>
              </w:rPr>
              <w:t>2</w:t>
            </w:r>
            <w:r>
              <w:rPr>
                <w:rFonts w:hint="default" w:ascii="Times New Roman" w:hAnsi="Times New Roman" w:cs="Times New Roman"/>
                <w:color w:val="auto"/>
                <w:sz w:val="21"/>
                <w:szCs w:val="21"/>
              </w:rPr>
              <w:t>类标准</w:t>
            </w:r>
          </w:p>
        </w:tc>
      </w:tr>
      <w:tr w14:paraId="4F0D111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66" w:hRule="atLeast"/>
          <w:jc w:val="center"/>
        </w:trPr>
        <w:tc>
          <w:tcPr>
            <w:tcW w:w="1533" w:type="dxa"/>
            <w:noWrap w:val="0"/>
            <w:vAlign w:val="center"/>
          </w:tcPr>
          <w:p w14:paraId="14F4C506">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电磁辐射</w:t>
            </w:r>
          </w:p>
        </w:tc>
        <w:tc>
          <w:tcPr>
            <w:tcW w:w="7665" w:type="dxa"/>
            <w:gridSpan w:val="4"/>
            <w:noWrap w:val="0"/>
            <w:vAlign w:val="center"/>
          </w:tcPr>
          <w:p w14:paraId="465C5904">
            <w:pPr>
              <w:adjustRightInd w:val="0"/>
              <w:snapToGrid w:val="0"/>
              <w:jc w:val="center"/>
              <w:rPr>
                <w:rFonts w:hint="default" w:ascii="Times New Roman" w:hAnsi="Times New Roman" w:eastAsia="宋体"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40C59F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99" w:hRule="atLeast"/>
          <w:jc w:val="center"/>
        </w:trPr>
        <w:tc>
          <w:tcPr>
            <w:tcW w:w="1533" w:type="dxa"/>
            <w:noWrap w:val="0"/>
            <w:vAlign w:val="center"/>
          </w:tcPr>
          <w:p w14:paraId="402DE0A3">
            <w:pPr>
              <w:adjustRightInd w:val="0"/>
              <w:snapToGrid w:val="0"/>
              <w:jc w:val="center"/>
              <w:rPr>
                <w:rFonts w:hint="default" w:ascii="Times New Roman" w:hAnsi="Times New Roman" w:cs="Times New Roman"/>
                <w:color w:val="auto"/>
                <w:sz w:val="21"/>
                <w:szCs w:val="21"/>
              </w:rPr>
            </w:pPr>
            <w:r>
              <w:rPr>
                <w:rFonts w:hint="default" w:ascii="Times New Roman" w:hAnsi="Times New Roman" w:cs="Times New Roman"/>
                <w:color w:val="auto"/>
                <w:sz w:val="21"/>
                <w:szCs w:val="21"/>
              </w:rPr>
              <w:t>固体废物</w:t>
            </w:r>
          </w:p>
        </w:tc>
        <w:tc>
          <w:tcPr>
            <w:tcW w:w="1708" w:type="dxa"/>
            <w:noWrap w:val="0"/>
            <w:vAlign w:val="center"/>
          </w:tcPr>
          <w:p w14:paraId="52FE16CB">
            <w:pPr>
              <w:pStyle w:val="60"/>
              <w:rPr>
                <w:rFonts w:hint="default" w:ascii="Times New Roman" w:hAnsi="Times New Roman" w:cs="Times New Roman"/>
                <w:color w:val="auto"/>
                <w:sz w:val="21"/>
                <w:szCs w:val="21"/>
                <w:highlight w:val="none"/>
              </w:rPr>
            </w:pPr>
          </w:p>
          <w:p w14:paraId="4976228C">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color w:val="auto"/>
                <w:sz w:val="21"/>
                <w:szCs w:val="21"/>
                <w:highlight w:val="none"/>
                <w:lang w:eastAsia="zh-CN"/>
              </w:rPr>
              <w:t>锅炉</w:t>
            </w:r>
          </w:p>
        </w:tc>
        <w:tc>
          <w:tcPr>
            <w:tcW w:w="1433" w:type="dxa"/>
            <w:noWrap w:val="0"/>
            <w:vAlign w:val="center"/>
          </w:tcPr>
          <w:p w14:paraId="36674342">
            <w:pPr>
              <w:pStyle w:val="60"/>
              <w:rPr>
                <w:rFonts w:hint="default" w:ascii="Times New Roman" w:hAnsi="Times New Roman" w:eastAsia="宋体" w:cs="Times New Roman"/>
                <w:color w:val="auto"/>
                <w:sz w:val="21"/>
                <w:szCs w:val="21"/>
                <w:highlight w:val="none"/>
                <w:lang w:eastAsia="zh-CN"/>
              </w:rPr>
            </w:pPr>
            <w:r>
              <w:rPr>
                <w:rFonts w:hint="default" w:ascii="Times New Roman" w:hAnsi="Times New Roman" w:cs="Times New Roman"/>
                <w:b w:val="0"/>
                <w:bCs w:val="0"/>
                <w:color w:val="auto"/>
                <w:sz w:val="21"/>
                <w:szCs w:val="21"/>
                <w:highlight w:val="none"/>
                <w:vertAlign w:val="baseline"/>
                <w:lang w:val="en-US" w:eastAsia="zh-CN"/>
              </w:rPr>
              <w:t>锅炉灰渣</w:t>
            </w:r>
            <w:r>
              <w:rPr>
                <w:rFonts w:hint="eastAsia" w:cs="Times New Roman"/>
                <w:b w:val="0"/>
                <w:bCs w:val="0"/>
                <w:color w:val="auto"/>
                <w:sz w:val="21"/>
                <w:szCs w:val="21"/>
                <w:highlight w:val="none"/>
                <w:vertAlign w:val="baseline"/>
                <w:lang w:val="en-US" w:eastAsia="zh-CN"/>
              </w:rPr>
              <w:t>、废布袋、废机油及含油废抹布</w:t>
            </w:r>
          </w:p>
        </w:tc>
        <w:tc>
          <w:tcPr>
            <w:tcW w:w="2277" w:type="dxa"/>
            <w:noWrap w:val="0"/>
            <w:vAlign w:val="center"/>
          </w:tcPr>
          <w:p w14:paraId="39756D95">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b w:val="0"/>
                <w:bCs w:val="0"/>
                <w:color w:val="auto"/>
                <w:sz w:val="21"/>
                <w:szCs w:val="21"/>
                <w:highlight w:val="none"/>
                <w:vertAlign w:val="baseline"/>
                <w:lang w:val="en-US" w:eastAsia="zh-CN"/>
              </w:rPr>
              <w:t>锅炉灰渣收集的粉尘集中收集，暂存于</w:t>
            </w:r>
            <w:r>
              <w:rPr>
                <w:rFonts w:hint="eastAsia" w:cs="Times New Roman"/>
                <w:b w:val="0"/>
                <w:bCs w:val="0"/>
                <w:color w:val="auto"/>
                <w:sz w:val="21"/>
                <w:szCs w:val="21"/>
                <w:highlight w:val="none"/>
                <w:vertAlign w:val="baseline"/>
                <w:lang w:val="en-US" w:eastAsia="zh-CN"/>
              </w:rPr>
              <w:t>灰渣间</w:t>
            </w:r>
            <w:r>
              <w:rPr>
                <w:rFonts w:hint="default" w:ascii="Times New Roman" w:hAnsi="Times New Roman" w:eastAsia="宋体" w:cs="Times New Roman"/>
                <w:b w:val="0"/>
                <w:bCs w:val="0"/>
                <w:color w:val="auto"/>
                <w:sz w:val="21"/>
                <w:szCs w:val="21"/>
                <w:highlight w:val="none"/>
                <w:vertAlign w:val="baseline"/>
                <w:lang w:val="en-US" w:eastAsia="zh-CN"/>
              </w:rPr>
              <w:t>，外售肥料</w:t>
            </w:r>
            <w:r>
              <w:rPr>
                <w:rFonts w:hint="eastAsia" w:cs="Times New Roman"/>
                <w:b w:val="0"/>
                <w:bCs w:val="0"/>
                <w:color w:val="auto"/>
                <w:sz w:val="21"/>
                <w:szCs w:val="21"/>
                <w:highlight w:val="none"/>
                <w:vertAlign w:val="baseline"/>
                <w:lang w:val="en-US" w:eastAsia="zh-CN"/>
              </w:rPr>
              <w:t>；废布袋由厂家回收处理；维修产生的废机油及含油废抹布暂存于危险废物暂存间中，委托有资质单位处理。</w:t>
            </w:r>
          </w:p>
        </w:tc>
        <w:tc>
          <w:tcPr>
            <w:tcW w:w="2247" w:type="dxa"/>
            <w:noWrap w:val="0"/>
            <w:vAlign w:val="center"/>
          </w:tcPr>
          <w:p w14:paraId="1060B188">
            <w:pPr>
              <w:pStyle w:val="16"/>
              <w:keepNext w:val="0"/>
              <w:keepLines w:val="0"/>
              <w:pageBreakBefore w:val="0"/>
              <w:widowControl w:val="0"/>
              <w:numPr>
                <w:ilvl w:val="0"/>
                <w:numId w:val="0"/>
              </w:numPr>
              <w:kinsoku/>
              <w:wordWrap/>
              <w:overflowPunct/>
              <w:topLinePunct w:val="0"/>
              <w:autoSpaceDE/>
              <w:autoSpaceDN/>
              <w:bidi w:val="0"/>
              <w:spacing w:line="0" w:lineRule="atLeast"/>
              <w:ind w:left="0" w:leftChars="0" w:firstLine="0" w:firstLineChars="0"/>
              <w:jc w:val="center"/>
              <w:textAlignment w:val="auto"/>
              <w:rPr>
                <w:rFonts w:hint="default" w:ascii="Times New Roman" w:hAnsi="Times New Roman" w:cs="Times New Roman"/>
                <w:color w:val="auto"/>
                <w:sz w:val="21"/>
                <w:szCs w:val="21"/>
                <w:highlight w:val="none"/>
              </w:rPr>
            </w:pPr>
            <w:r>
              <w:rPr>
                <w:rFonts w:hint="default" w:ascii="Times New Roman" w:hAnsi="Times New Roman" w:cs="Times New Roman"/>
                <w:b w:val="0"/>
                <w:bCs/>
                <w:color w:val="auto"/>
                <w:szCs w:val="21"/>
                <w:highlight w:val="none"/>
                <w:lang w:val="en-US" w:eastAsia="zh-CN"/>
              </w:rPr>
              <w:t>一般工业固体废物执行《一般工业固体废物贮存和填埋污染控制标准》(GB 18599-2020)</w:t>
            </w:r>
            <w:r>
              <w:rPr>
                <w:rFonts w:hint="default" w:ascii="Times New Roman" w:hAnsi="Times New Roman" w:eastAsia="宋体" w:cs="Times New Roman"/>
                <w:color w:val="auto"/>
                <w:sz w:val="21"/>
                <w:szCs w:val="21"/>
                <w:highlight w:val="none"/>
                <w:lang w:eastAsia="zh-CN"/>
              </w:rPr>
              <w:t>和</w:t>
            </w:r>
            <w:r>
              <w:rPr>
                <w:rFonts w:hint="default" w:ascii="Times New Roman" w:hAnsi="Times New Roman" w:eastAsia="宋体" w:cs="Times New Roman"/>
                <w:color w:val="auto"/>
                <w:sz w:val="21"/>
                <w:szCs w:val="21"/>
                <w:highlight w:val="none"/>
              </w:rPr>
              <w:t>《危险废物贮存污染控制标准》（GB1859</w:t>
            </w:r>
            <w:r>
              <w:rPr>
                <w:rFonts w:hint="default" w:ascii="Times New Roman" w:hAnsi="Times New Roman" w:eastAsia="宋体" w:cs="Times New Roman"/>
                <w:color w:val="auto"/>
                <w:sz w:val="21"/>
                <w:szCs w:val="21"/>
                <w:highlight w:val="none"/>
                <w:lang w:val="en-US" w:eastAsia="zh-CN"/>
              </w:rPr>
              <w:t>7</w:t>
            </w:r>
            <w:r>
              <w:rPr>
                <w:rFonts w:hint="default" w:ascii="Times New Roman" w:hAnsi="Times New Roman" w:eastAsia="宋体" w:cs="Times New Roman"/>
                <w:color w:val="auto"/>
                <w:sz w:val="21"/>
                <w:szCs w:val="21"/>
                <w:highlight w:val="none"/>
              </w:rPr>
              <w:t>-202</w:t>
            </w:r>
            <w:r>
              <w:rPr>
                <w:rFonts w:hint="default" w:ascii="Times New Roman" w:hAnsi="Times New Roman" w:eastAsia="宋体" w:cs="Times New Roman"/>
                <w:color w:val="auto"/>
                <w:sz w:val="21"/>
                <w:szCs w:val="21"/>
                <w:highlight w:val="none"/>
                <w:lang w:val="en-US" w:eastAsia="zh-CN"/>
              </w:rPr>
              <w:t>3</w:t>
            </w:r>
            <w:r>
              <w:rPr>
                <w:rFonts w:hint="default" w:ascii="Times New Roman" w:hAnsi="Times New Roman" w:eastAsia="宋体" w:cs="Times New Roman"/>
                <w:color w:val="auto"/>
                <w:sz w:val="21"/>
                <w:szCs w:val="21"/>
                <w:highlight w:val="none"/>
              </w:rPr>
              <w:t>）</w:t>
            </w:r>
          </w:p>
        </w:tc>
      </w:tr>
      <w:tr w14:paraId="55BD8B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2" w:hRule="atLeast"/>
          <w:jc w:val="center"/>
        </w:trPr>
        <w:tc>
          <w:tcPr>
            <w:tcW w:w="1533" w:type="dxa"/>
            <w:noWrap w:val="0"/>
            <w:vAlign w:val="center"/>
          </w:tcPr>
          <w:p w14:paraId="5B5C9EAB">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土壤及地下水污染防治措施</w:t>
            </w:r>
          </w:p>
        </w:tc>
        <w:tc>
          <w:tcPr>
            <w:tcW w:w="7665" w:type="dxa"/>
            <w:gridSpan w:val="4"/>
            <w:noWrap w:val="0"/>
            <w:vAlign w:val="center"/>
          </w:tcPr>
          <w:p w14:paraId="3310ED83">
            <w:pPr>
              <w:adjustRightInd w:val="0"/>
              <w:snapToGrid w:val="0"/>
              <w:jc w:val="left"/>
              <w:rPr>
                <w:rFonts w:hint="eastAsia" w:ascii="Times New Roman" w:hAnsi="Times New Roman" w:eastAsia="宋体" w:cs="Times New Roman"/>
                <w:color w:val="auto"/>
                <w:sz w:val="21"/>
                <w:szCs w:val="21"/>
                <w:highlight w:val="none"/>
                <w:lang w:eastAsia="zh-CN"/>
              </w:rPr>
            </w:pPr>
            <w:r>
              <w:rPr>
                <w:rFonts w:hint="eastAsia" w:cs="Times New Roman"/>
                <w:b w:val="0"/>
                <w:bCs w:val="0"/>
                <w:color w:val="auto"/>
                <w:sz w:val="21"/>
                <w:szCs w:val="21"/>
                <w:highlight w:val="none"/>
                <w:lang w:eastAsia="zh-CN"/>
              </w:rPr>
              <w:t>简单防渗区：</w:t>
            </w:r>
            <w:r>
              <w:rPr>
                <w:rFonts w:hint="eastAsia" w:ascii="Times New Roman" w:hAnsi="Times New Roman" w:eastAsia="宋体" w:cs="Times New Roman"/>
                <w:b w:val="0"/>
                <w:bCs w:val="0"/>
                <w:color w:val="auto"/>
                <w:sz w:val="21"/>
                <w:szCs w:val="21"/>
                <w:highlight w:val="none"/>
                <w:lang w:eastAsia="zh-CN"/>
              </w:rPr>
              <w:t>锅炉房、灰渣间、生物质堆场</w:t>
            </w:r>
            <w:r>
              <w:rPr>
                <w:rFonts w:hint="eastAsia" w:cs="Times New Roman"/>
                <w:b w:val="0"/>
                <w:bCs w:val="0"/>
                <w:color w:val="auto"/>
                <w:sz w:val="21"/>
                <w:szCs w:val="21"/>
                <w:highlight w:val="none"/>
                <w:lang w:eastAsia="zh-CN"/>
              </w:rPr>
              <w:t>为简单防渗区，采取水泥</w:t>
            </w:r>
            <w:r>
              <w:rPr>
                <w:rFonts w:hint="eastAsia" w:ascii="Times New Roman" w:hAnsi="Times New Roman" w:eastAsia="宋体" w:cs="Times New Roman"/>
                <w:b w:val="0"/>
                <w:bCs w:val="0"/>
                <w:color w:val="auto"/>
                <w:sz w:val="21"/>
                <w:szCs w:val="21"/>
                <w:highlight w:val="none"/>
                <w:lang w:eastAsia="zh-CN"/>
              </w:rPr>
              <w:t>地面硬化；</w:t>
            </w:r>
            <w:r>
              <w:rPr>
                <w:rFonts w:hint="default" w:ascii="Times New Roman" w:hAnsi="Times New Roman" w:eastAsia="宋体" w:cs="Times New Roman"/>
                <w:b w:val="0"/>
                <w:bCs w:val="0"/>
                <w:color w:val="auto"/>
                <w:sz w:val="21"/>
                <w:szCs w:val="21"/>
                <w:highlight w:val="none"/>
              </w:rPr>
              <w:t>重点防渗</w:t>
            </w:r>
            <w:r>
              <w:rPr>
                <w:rFonts w:hint="eastAsia" w:cs="Times New Roman"/>
                <w:b w:val="0"/>
                <w:bCs w:val="0"/>
                <w:color w:val="auto"/>
                <w:sz w:val="21"/>
                <w:szCs w:val="21"/>
                <w:highlight w:val="none"/>
                <w:lang w:eastAsia="zh-CN"/>
              </w:rPr>
              <w:t>区</w:t>
            </w:r>
            <w:r>
              <w:rPr>
                <w:rFonts w:hint="default" w:ascii="Times New Roman" w:hAnsi="Times New Roman" w:eastAsia="宋体" w:cs="Times New Roman"/>
                <w:b w:val="0"/>
                <w:bCs w:val="0"/>
                <w:color w:val="auto"/>
                <w:sz w:val="21"/>
                <w:szCs w:val="21"/>
                <w:highlight w:val="none"/>
              </w:rPr>
              <w:t>：</w:t>
            </w:r>
            <w:r>
              <w:rPr>
                <w:rFonts w:hint="eastAsia" w:ascii="Times New Roman" w:hAnsi="Times New Roman" w:eastAsia="宋体" w:cs="Times New Roman"/>
                <w:b w:val="0"/>
                <w:bCs w:val="0"/>
                <w:color w:val="auto"/>
                <w:sz w:val="21"/>
                <w:szCs w:val="21"/>
                <w:highlight w:val="none"/>
                <w:lang w:eastAsia="zh-CN"/>
              </w:rPr>
              <w:t>危险废物暂存间</w:t>
            </w:r>
            <w:r>
              <w:rPr>
                <w:rFonts w:hint="eastAsia" w:cs="Times New Roman"/>
                <w:b w:val="0"/>
                <w:bCs w:val="0"/>
                <w:color w:val="auto"/>
                <w:sz w:val="21"/>
                <w:szCs w:val="21"/>
                <w:highlight w:val="none"/>
                <w:lang w:eastAsia="zh-CN"/>
              </w:rPr>
              <w:t>为重点防渗区，贮存设施地面与裙脚应采取表面防渗措施</w:t>
            </w:r>
            <w:r>
              <w:rPr>
                <w:rFonts w:hint="default" w:ascii="Times New Roman" w:hAnsi="Times New Roman" w:eastAsia="宋体" w:cs="Times New Roman"/>
                <w:b w:val="0"/>
                <w:bCs w:val="0"/>
                <w:color w:val="auto"/>
                <w:sz w:val="21"/>
                <w:szCs w:val="21"/>
                <w:highlight w:val="none"/>
              </w:rPr>
              <w:t>，</w:t>
            </w:r>
            <w:r>
              <w:rPr>
                <w:rFonts w:hint="eastAsia" w:cs="Times New Roman"/>
                <w:b w:val="0"/>
                <w:bCs w:val="0"/>
                <w:color w:val="auto"/>
                <w:sz w:val="21"/>
                <w:szCs w:val="21"/>
                <w:highlight w:val="none"/>
                <w:lang w:eastAsia="zh-CN"/>
              </w:rPr>
              <w:t>采取</w:t>
            </w:r>
            <w:r>
              <w:rPr>
                <w:rFonts w:hint="default" w:ascii="Times New Roman" w:hAnsi="Times New Roman" w:eastAsia="宋体" w:cs="Times New Roman"/>
                <w:b w:val="0"/>
                <w:bCs w:val="0"/>
                <w:color w:val="auto"/>
                <w:sz w:val="21"/>
                <w:szCs w:val="21"/>
                <w:highlight w:val="none"/>
              </w:rPr>
              <w:t>至少2 mm 厚高密度聚乙烯膜等人工防渗材料（渗透系数不大于10</w:t>
            </w:r>
            <w:r>
              <w:rPr>
                <w:rFonts w:hint="default" w:ascii="Times New Roman" w:hAnsi="Times New Roman" w:eastAsia="宋体" w:cs="Times New Roman"/>
                <w:b w:val="0"/>
                <w:bCs w:val="0"/>
                <w:color w:val="auto"/>
                <w:sz w:val="21"/>
                <w:szCs w:val="21"/>
                <w:highlight w:val="none"/>
                <w:vertAlign w:val="superscript"/>
              </w:rPr>
              <w:t xml:space="preserve"> -10</w:t>
            </w:r>
            <w:r>
              <w:rPr>
                <w:rFonts w:hint="default" w:ascii="Times New Roman" w:hAnsi="Times New Roman" w:eastAsia="宋体" w:cs="Times New Roman"/>
                <w:b w:val="0"/>
                <w:bCs w:val="0"/>
                <w:color w:val="auto"/>
                <w:sz w:val="21"/>
                <w:szCs w:val="21"/>
                <w:highlight w:val="none"/>
              </w:rPr>
              <w:t xml:space="preserve"> cm/s）</w:t>
            </w:r>
            <w:r>
              <w:rPr>
                <w:rFonts w:hint="eastAsia" w:cs="Times New Roman"/>
                <w:b w:val="0"/>
                <w:bCs w:val="0"/>
                <w:color w:val="auto"/>
                <w:sz w:val="21"/>
                <w:szCs w:val="21"/>
                <w:highlight w:val="none"/>
                <w:lang w:eastAsia="zh-CN"/>
              </w:rPr>
              <w:t>；</w:t>
            </w:r>
            <w:r>
              <w:rPr>
                <w:rFonts w:hint="default" w:ascii="Times New Roman" w:hAnsi="Times New Roman" w:eastAsia="宋体" w:cs="Times New Roman"/>
                <w:b w:val="0"/>
                <w:bCs w:val="0"/>
                <w:color w:val="auto"/>
                <w:sz w:val="21"/>
                <w:szCs w:val="21"/>
                <w:highlight w:val="none"/>
              </w:rPr>
              <w:t>贮存的危险废物直接接触地面的，还应进行基础防渗，</w:t>
            </w:r>
            <w:r>
              <w:rPr>
                <w:rFonts w:hint="eastAsia" w:cs="Times New Roman"/>
                <w:b w:val="0"/>
                <w:bCs w:val="0"/>
                <w:color w:val="auto"/>
                <w:sz w:val="21"/>
                <w:szCs w:val="21"/>
                <w:highlight w:val="none"/>
                <w:lang w:eastAsia="zh-CN"/>
              </w:rPr>
              <w:t>采取</w:t>
            </w:r>
            <w:r>
              <w:rPr>
                <w:rFonts w:hint="default" w:ascii="Times New Roman" w:hAnsi="Times New Roman" w:eastAsia="宋体" w:cs="Times New Roman"/>
                <w:b w:val="0"/>
                <w:bCs w:val="0"/>
                <w:color w:val="auto"/>
                <w:sz w:val="21"/>
                <w:szCs w:val="21"/>
                <w:highlight w:val="none"/>
              </w:rPr>
              <w:t>至少2 mm 厚高密度聚乙烯膜等人工防渗材料（渗透系数不大于10</w:t>
            </w:r>
            <w:r>
              <w:rPr>
                <w:rFonts w:hint="default" w:ascii="Times New Roman" w:hAnsi="Times New Roman" w:eastAsia="宋体" w:cs="Times New Roman"/>
                <w:b w:val="0"/>
                <w:bCs w:val="0"/>
                <w:color w:val="auto"/>
                <w:sz w:val="21"/>
                <w:szCs w:val="21"/>
                <w:highlight w:val="none"/>
                <w:vertAlign w:val="superscript"/>
              </w:rPr>
              <w:t xml:space="preserve"> -10</w:t>
            </w:r>
            <w:r>
              <w:rPr>
                <w:rFonts w:hint="default" w:ascii="Times New Roman" w:hAnsi="Times New Roman" w:eastAsia="宋体" w:cs="Times New Roman"/>
                <w:b w:val="0"/>
                <w:bCs w:val="0"/>
                <w:color w:val="auto"/>
                <w:sz w:val="21"/>
                <w:szCs w:val="21"/>
                <w:highlight w:val="none"/>
              </w:rPr>
              <w:t xml:space="preserve"> cm/s）。</w:t>
            </w:r>
          </w:p>
        </w:tc>
      </w:tr>
      <w:tr w14:paraId="1F04D2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81" w:hRule="atLeast"/>
          <w:jc w:val="center"/>
        </w:trPr>
        <w:tc>
          <w:tcPr>
            <w:tcW w:w="1533" w:type="dxa"/>
            <w:noWrap w:val="0"/>
            <w:vAlign w:val="center"/>
          </w:tcPr>
          <w:p w14:paraId="608B89F1">
            <w:pPr>
              <w:adjustRightInd w:val="0"/>
              <w:snapToGrid w:val="0"/>
              <w:jc w:val="center"/>
              <w:rPr>
                <w:rFonts w:hint="default" w:ascii="Times New Roman" w:hAnsi="Times New Roman" w:eastAsia="宋体" w:cs="Times New Roman"/>
                <w:color w:val="auto"/>
                <w:sz w:val="21"/>
                <w:szCs w:val="21"/>
                <w:lang w:eastAsia="zh-CN"/>
              </w:rPr>
            </w:pPr>
            <w:r>
              <w:rPr>
                <w:rFonts w:hint="default" w:ascii="Times New Roman" w:hAnsi="Times New Roman" w:cs="Times New Roman"/>
                <w:color w:val="auto"/>
                <w:sz w:val="21"/>
                <w:szCs w:val="21"/>
                <w:lang w:eastAsia="zh-CN"/>
              </w:rPr>
              <w:t>生态保护措施</w:t>
            </w:r>
          </w:p>
        </w:tc>
        <w:tc>
          <w:tcPr>
            <w:tcW w:w="7665" w:type="dxa"/>
            <w:gridSpan w:val="4"/>
            <w:noWrap w:val="0"/>
            <w:vAlign w:val="center"/>
          </w:tcPr>
          <w:p w14:paraId="6013E35F">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185DD23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8" w:hRule="atLeast"/>
          <w:jc w:val="center"/>
        </w:trPr>
        <w:tc>
          <w:tcPr>
            <w:tcW w:w="1533" w:type="dxa"/>
            <w:noWrap w:val="0"/>
            <w:vAlign w:val="center"/>
          </w:tcPr>
          <w:p w14:paraId="4A21B735">
            <w:pPr>
              <w:adjustRightInd w:val="0"/>
              <w:snapToGrid w:val="0"/>
              <w:jc w:val="center"/>
              <w:rPr>
                <w:rFonts w:hint="eastAsia" w:cs="Times New Roman"/>
                <w:color w:val="auto"/>
                <w:sz w:val="21"/>
                <w:szCs w:val="21"/>
                <w:lang w:eastAsia="zh-CN"/>
              </w:rPr>
            </w:pPr>
            <w:r>
              <w:rPr>
                <w:rFonts w:hint="eastAsia" w:cs="Times New Roman"/>
                <w:color w:val="auto"/>
                <w:sz w:val="21"/>
                <w:szCs w:val="21"/>
                <w:lang w:eastAsia="zh-CN"/>
              </w:rPr>
              <w:t>环境风险防范措施</w:t>
            </w:r>
          </w:p>
        </w:tc>
        <w:tc>
          <w:tcPr>
            <w:tcW w:w="7665" w:type="dxa"/>
            <w:gridSpan w:val="4"/>
            <w:noWrap w:val="0"/>
            <w:vAlign w:val="center"/>
          </w:tcPr>
          <w:p w14:paraId="1A8A7207">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r w14:paraId="1ACBE07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86" w:hRule="atLeast"/>
          <w:jc w:val="center"/>
        </w:trPr>
        <w:tc>
          <w:tcPr>
            <w:tcW w:w="1533" w:type="dxa"/>
            <w:noWrap w:val="0"/>
            <w:vAlign w:val="center"/>
          </w:tcPr>
          <w:p w14:paraId="61D2F9B9">
            <w:pPr>
              <w:adjustRightInd w:val="0"/>
              <w:snapToGrid w:val="0"/>
              <w:jc w:val="center"/>
              <w:rPr>
                <w:rFonts w:hint="eastAsia" w:cs="Times New Roman"/>
                <w:color w:val="auto"/>
                <w:sz w:val="21"/>
                <w:szCs w:val="21"/>
                <w:lang w:eastAsia="zh-CN"/>
              </w:rPr>
            </w:pPr>
            <w:r>
              <w:rPr>
                <w:rFonts w:hint="eastAsia" w:cs="Times New Roman"/>
                <w:color w:val="auto"/>
                <w:sz w:val="21"/>
                <w:szCs w:val="21"/>
                <w:lang w:eastAsia="zh-CN"/>
              </w:rPr>
              <w:t>其他环境管理要求</w:t>
            </w:r>
          </w:p>
        </w:tc>
        <w:tc>
          <w:tcPr>
            <w:tcW w:w="7665" w:type="dxa"/>
            <w:gridSpan w:val="4"/>
            <w:noWrap w:val="0"/>
            <w:vAlign w:val="center"/>
          </w:tcPr>
          <w:p w14:paraId="768E610A">
            <w:pPr>
              <w:adjustRightInd w:val="0"/>
              <w:snapToGrid w:val="0"/>
              <w:jc w:val="center"/>
              <w:rPr>
                <w:rFonts w:hint="default" w:ascii="Times New Roman" w:hAnsi="Times New Roman" w:cs="Times New Roman"/>
                <w:color w:val="auto"/>
                <w:sz w:val="21"/>
                <w:szCs w:val="21"/>
                <w:lang w:val="en-US" w:eastAsia="zh-CN"/>
              </w:rPr>
            </w:pPr>
            <w:r>
              <w:rPr>
                <w:rFonts w:hint="default" w:ascii="Times New Roman" w:hAnsi="Times New Roman" w:cs="Times New Roman"/>
                <w:color w:val="auto"/>
                <w:sz w:val="21"/>
                <w:szCs w:val="21"/>
                <w:lang w:val="en-US" w:eastAsia="zh-CN"/>
              </w:rPr>
              <w:t>/</w:t>
            </w:r>
          </w:p>
        </w:tc>
      </w:tr>
    </w:tbl>
    <w:p w14:paraId="437DB0FD">
      <w:pPr>
        <w:pStyle w:val="26"/>
        <w:jc w:val="center"/>
        <w:outlineLvl w:val="0"/>
        <w:rPr>
          <w:rFonts w:hint="default" w:ascii="Times New Roman" w:hAnsi="Times New Roman" w:eastAsia="黑体" w:cs="Times New Roman"/>
          <w:snapToGrid w:val="0"/>
          <w:color w:val="auto"/>
          <w:sz w:val="30"/>
          <w:szCs w:val="30"/>
        </w:rPr>
      </w:pPr>
      <w:r>
        <w:rPr>
          <w:rFonts w:hint="default" w:ascii="Times New Roman" w:hAnsi="Times New Roman" w:cs="Times New Roman"/>
          <w:snapToGrid w:val="0"/>
          <w:color w:val="auto"/>
        </w:rPr>
        <w:br w:type="page"/>
      </w:r>
      <w:bookmarkStart w:id="7" w:name="_Toc30202"/>
      <w:r>
        <w:rPr>
          <w:rFonts w:hint="default" w:ascii="Times New Roman" w:hAnsi="Times New Roman" w:eastAsia="黑体" w:cs="Times New Roman"/>
          <w:snapToGrid w:val="0"/>
          <w:color w:val="auto"/>
          <w:sz w:val="30"/>
          <w:szCs w:val="30"/>
        </w:rPr>
        <w:t>六、结论</w:t>
      </w:r>
      <w:bookmarkEnd w:id="7"/>
    </w:p>
    <w:tbl>
      <w:tblPr>
        <w:tblStyle w:val="30"/>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37C4A10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noWrap w:val="0"/>
            <w:vAlign w:val="top"/>
          </w:tcPr>
          <w:p w14:paraId="70E305A4">
            <w:pPr>
              <w:keepNext w:val="0"/>
              <w:keepLines w:val="0"/>
              <w:pageBreakBefore w:val="0"/>
              <w:widowControl w:val="0"/>
              <w:kinsoku/>
              <w:wordWrap/>
              <w:overflowPunct/>
              <w:topLinePunct w:val="0"/>
              <w:autoSpaceDE/>
              <w:autoSpaceDN/>
              <w:bidi w:val="0"/>
              <w:adjustRightInd/>
              <w:snapToGrid/>
              <w:spacing w:before="157" w:beforeLines="50" w:line="360" w:lineRule="auto"/>
              <w:ind w:firstLine="480" w:firstLineChars="200"/>
              <w:jc w:val="both"/>
              <w:textAlignment w:val="auto"/>
              <w:rPr>
                <w:rFonts w:hint="eastAsia" w:ascii="Times New Roman" w:hAnsi="Times New Roman" w:eastAsia="宋体" w:cs="Times New Roman"/>
                <w:color w:val="auto"/>
                <w:sz w:val="24"/>
                <w:lang w:eastAsia="zh-CN"/>
              </w:rPr>
            </w:pPr>
            <w:r>
              <w:rPr>
                <w:rFonts w:hint="default" w:ascii="Times New Roman" w:hAnsi="Times New Roman" w:cs="Times New Roman"/>
                <w:color w:val="auto"/>
                <w:sz w:val="24"/>
              </w:rPr>
              <w:t>综上所述，该项目符合当前国家产业政策。若建设单位可认真落实报告中所提出的各项污染防治措施，防范企业自身产生的环境问题，在实现污染物达标排放的前提下对周围环境影响不大。因此，从环保角度看，本项目的建设是可行的。</w:t>
            </w:r>
          </w:p>
        </w:tc>
      </w:tr>
    </w:tbl>
    <w:p w14:paraId="563E7D84">
      <w:pPr>
        <w:rPr>
          <w:rFonts w:hint="default" w:ascii="Times New Roman" w:hAnsi="Times New Roman" w:cs="Times New Roman"/>
          <w:color w:val="auto"/>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p>
    <w:p w14:paraId="4AAED924">
      <w:pPr>
        <w:pStyle w:val="24"/>
        <w:ind w:left="0" w:leftChars="0"/>
        <w:jc w:val="both"/>
        <w:outlineLvl w:val="0"/>
        <w:rPr>
          <w:rFonts w:hint="eastAsia" w:cs="Times New Roman"/>
          <w:b/>
          <w:bCs/>
          <w:color w:val="auto"/>
          <w:sz w:val="24"/>
          <w:szCs w:val="24"/>
          <w:lang w:val="en-US" w:eastAsia="zh-CN"/>
        </w:rPr>
      </w:pPr>
      <w:bookmarkStart w:id="8" w:name="_Toc9444"/>
      <w:r>
        <w:rPr>
          <w:rFonts w:hint="eastAsia" w:cs="Times New Roman"/>
          <w:b/>
          <w:bCs/>
          <w:color w:val="auto"/>
          <w:sz w:val="24"/>
          <w:szCs w:val="24"/>
          <w:lang w:eastAsia="zh-CN"/>
        </w:rPr>
        <w:t>附图</w:t>
      </w:r>
      <w:r>
        <w:rPr>
          <w:rFonts w:hint="eastAsia" w:cs="Times New Roman"/>
          <w:b/>
          <w:bCs/>
          <w:color w:val="auto"/>
          <w:sz w:val="24"/>
          <w:szCs w:val="24"/>
          <w:lang w:val="en-US" w:eastAsia="zh-CN"/>
        </w:rPr>
        <w:t>1鸡西市环境管控单元分布图</w:t>
      </w:r>
      <w:bookmarkEnd w:id="8"/>
    </w:p>
    <w:p w14:paraId="597FBB9A">
      <w:pPr>
        <w:pStyle w:val="24"/>
        <w:ind w:left="0" w:leftChars="0"/>
        <w:jc w:val="both"/>
        <w:rPr>
          <w:rFonts w:hint="eastAsia" w:cs="Times New Roman"/>
          <w:b/>
          <w:bCs/>
          <w:color w:val="auto"/>
          <w:sz w:val="24"/>
          <w:szCs w:val="24"/>
          <w:lang w:val="en-US" w:eastAsia="zh-CN"/>
        </w:rPr>
      </w:pPr>
      <w:r>
        <w:rPr>
          <w:rFonts w:hint="eastAsia"/>
          <w:color w:val="auto"/>
          <w:lang w:val="en-US" w:eastAsia="zh-CN"/>
        </w:rPr>
        <w:drawing>
          <wp:anchor distT="0" distB="0" distL="114935" distR="114935" simplePos="0" relativeHeight="251670528" behindDoc="0" locked="0" layoutInCell="1" allowOverlap="1">
            <wp:simplePos x="0" y="0"/>
            <wp:positionH relativeFrom="column">
              <wp:posOffset>241935</wp:posOffset>
            </wp:positionH>
            <wp:positionV relativeFrom="paragraph">
              <wp:posOffset>102235</wp:posOffset>
            </wp:positionV>
            <wp:extent cx="7652385" cy="5413375"/>
            <wp:effectExtent l="0" t="0" r="5715" b="15875"/>
            <wp:wrapNone/>
            <wp:docPr id="5" name="图片 2" descr="971785f5e851cc10cc77fa6b452fc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971785f5e851cc10cc77fa6b452fc50"/>
                    <pic:cNvPicPr>
                      <a:picLocks noChangeAspect="1"/>
                    </pic:cNvPicPr>
                  </pic:nvPicPr>
                  <pic:blipFill>
                    <a:blip r:embed="rId31"/>
                    <a:stretch>
                      <a:fillRect/>
                    </a:stretch>
                  </pic:blipFill>
                  <pic:spPr>
                    <a:xfrm>
                      <a:off x="0" y="0"/>
                      <a:ext cx="7652385" cy="5413375"/>
                    </a:xfrm>
                    <a:prstGeom prst="rect">
                      <a:avLst/>
                    </a:prstGeom>
                    <a:noFill/>
                    <a:ln>
                      <a:noFill/>
                    </a:ln>
                  </pic:spPr>
                </pic:pic>
              </a:graphicData>
            </a:graphic>
          </wp:anchor>
        </w:drawing>
      </w:r>
    </w:p>
    <w:p w14:paraId="0511F83A">
      <w:pPr>
        <w:rPr>
          <w:rFonts w:hint="eastAsia"/>
          <w:color w:val="auto"/>
          <w:lang w:val="en-US" w:eastAsia="zh-CN"/>
        </w:rPr>
        <w:sectPr>
          <w:footerReference r:id="rId6"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sz w:val="21"/>
        </w:rPr>
        <mc:AlternateContent>
          <mc:Choice Requires="wps">
            <w:drawing>
              <wp:anchor distT="0" distB="0" distL="114300" distR="114300" simplePos="0" relativeHeight="251671552" behindDoc="0" locked="0" layoutInCell="1" allowOverlap="1">
                <wp:simplePos x="0" y="0"/>
                <wp:positionH relativeFrom="column">
                  <wp:posOffset>1554480</wp:posOffset>
                </wp:positionH>
                <wp:positionV relativeFrom="paragraph">
                  <wp:posOffset>3173095</wp:posOffset>
                </wp:positionV>
                <wp:extent cx="595630" cy="326390"/>
                <wp:effectExtent l="137795" t="4445" r="9525" b="164465"/>
                <wp:wrapNone/>
                <wp:docPr id="64" name="矩形标注 64"/>
                <wp:cNvGraphicFramePr/>
                <a:graphic xmlns:a="http://schemas.openxmlformats.org/drawingml/2006/main">
                  <a:graphicData uri="http://schemas.microsoft.com/office/word/2010/wordprocessingShape">
                    <wps:wsp>
                      <wps:cNvSpPr/>
                      <wps:spPr>
                        <a:xfrm>
                          <a:off x="3611880" y="4335145"/>
                          <a:ext cx="595630" cy="326390"/>
                        </a:xfrm>
                        <a:prstGeom prst="wedgeRectCallout">
                          <a:avLst>
                            <a:gd name="adj1" fmla="val -72388"/>
                            <a:gd name="adj2" fmla="val 94163"/>
                          </a:avLst>
                        </a:prstGeom>
                        <a:noFill/>
                        <a:ln w="952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6D5A5D">
                            <w:pPr>
                              <w:jc w:val="center"/>
                              <w:rPr>
                                <w:rFonts w:hint="eastAsia" w:eastAsia="宋体"/>
                                <w:color w:val="000000" w:themeColor="text1"/>
                                <w:sz w:val="15"/>
                                <w:szCs w:val="15"/>
                                <w:lang w:eastAsia="zh-CN"/>
                                <w14:textFill>
                                  <w14:solidFill>
                                    <w14:schemeClr w14:val="tx1"/>
                                  </w14:solidFill>
                                </w14:textFill>
                              </w:rPr>
                            </w:pPr>
                            <w:r>
                              <w:rPr>
                                <w:rFonts w:hint="eastAsia"/>
                                <w:color w:val="000000" w:themeColor="text1"/>
                                <w:sz w:val="15"/>
                                <w:szCs w:val="15"/>
                                <w:lang w:eastAsia="zh-CN"/>
                                <w14:textFill>
                                  <w14:solidFill>
                                    <w14:schemeClr w14:val="tx1"/>
                                  </w14:solidFill>
                                </w14:textFill>
                              </w:rPr>
                              <w:t>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2.4pt;margin-top:249.85pt;height:25.7pt;width:46.9pt;z-index:251671552;v-text-anchor:middle;mso-width-relative:page;mso-height-relative:page;" filled="f" stroked="t" coordsize="21600,21600" o:gfxdata="UEsDBAoAAAAAAIdO4kAAAAAAAAAAAAAAAAAEAAAAZHJzL1BLAwQUAAAACACHTuJAEi6u4NoAAAAL&#10;AQAADwAAAGRycy9kb3ducmV2LnhtbE2PzU7DMBCE70i8g7VI3KiTNi1tyKZCkSoOnCgIrk68xAF7&#10;HcXuDzw95gTH0Yxmvqm2Z2fFkaYweEbIZxkI4s7rgXuEl+fdzRpEiIq1sp4J4YsCbOvLi0qV2p/4&#10;iY772ItUwqFUCCbGsZQydIacCjM/Eifv3U9OxSSnXupJnVK5s3KeZSvp1MBpwaiRGkPd5/7gEPz9&#10;rnkN/E1tnOyHf2jM49tgEK+v8uwORKRz/AvDL35Chzoxtf7AOgiLMC+KhB4Ris3mFkRKLBbrFYgW&#10;YbnMc5B1Jf9/qH8AUEsDBBQAAAAIAIdO4kDXjDjZqgIAAC8FAAAOAAAAZHJzL2Uyb0RvYy54bWyt&#10;VM1uEzEQviPxDpbv7Wb/0iTqpooSBSFVtKIgzo7X+4P8h+1kU16AxyjiBGfOPA7lNRh7t20oHHrg&#10;4szsfPlm5huPT8/2gqMdM7ZVssDx8QgjJqkqW1kX+O2b9dEEI+uILAlXkhX4mll8Nn/+7LTTM5ao&#10;RvGSGQQk0s46XeDGOT2LIksbJog9VppJCFbKCOLANXVUGtIBu+BRMhqNo06ZUhtFmbXwddUH8cBo&#10;nkKoqqqlbKXoVjDpelbDOHHQkm1abfE8VFtVjLqLqrLMIV5g6NSFE5KAvfFnND8ls9oQ3bR0KIE8&#10;pYRHPQnSSkh6T7UijqCtaf+iEi01yqrKHVMlor6RoAh0EY8eaXPVEM1CLyC11fei2/9HS1/tLg1q&#10;ywKPM4wkETDxXzfffv74cvv50+33rwg+g0adtjOAXulLM3gWTN/wvjLC/0IraF/gdBzHkwmoe13g&#10;LE3zOMt7jdneIQqAfJqPU4hTAKTJOJ2GGUQPRNpY94IpgbxR4I6VNXsNc1wSztXWBZXJ7ty6IHc5&#10;1EzK9zFGleAwvR3h6OgkSSeTYbwHoOQQNM3iceoxkH6gBOuuAM8v1brlPFwSLlFX4Gme5FA8gYtf&#10;wYUDU2gQz8oaI8Jr2CjqTKjRKt6W/t+ex5p6s+QGQWmwc+tserIa8v4B86lXxDY9LoQGGJdQpZ9C&#10;r7u33H6zH4axUeU1jNGo/n5bTdctUJ0T6y6JAUlAcFh5dwFHxRX0oQYLo0aZj//67vFwzyCKUQcL&#10;Ak1+2BLDMOIvJdzAaZxlQOuCk+UnCTjmMLI5jMitWCrfOzwumgbT4x2/MyujxDt4GRY+K4SIpJC7&#10;l3Nwlq5fXHhbKFssAgy2SBN3Lq809eT9zBZbp6rW+cF6oXp1Bgf2KMx72Hm/qId+QD28c/P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Ei6u4NoAAAALAQAADwAAAAAAAAABACAAAAAiAAAAZHJzL2Rv&#10;d25yZXYueG1sUEsBAhQAFAAAAAgAh07iQNeMONmqAgAALwUAAA4AAAAAAAAAAQAgAAAAKQEAAGRy&#10;cy9lMm9Eb2MueG1sUEsFBgAAAAAGAAYAWQEAAEUGAAAAAA==&#10;" adj="-4836,31139">
                <v:fill on="f" focussize="0,0"/>
                <v:stroke color="#1F497D [3215]" joinstyle="round"/>
                <v:imagedata o:title=""/>
                <o:lock v:ext="edit" aspectratio="f"/>
                <v:textbox>
                  <w:txbxContent>
                    <w:p w14:paraId="266D5A5D">
                      <w:pPr>
                        <w:jc w:val="center"/>
                        <w:rPr>
                          <w:rFonts w:hint="eastAsia" w:eastAsia="宋体"/>
                          <w:color w:val="000000" w:themeColor="text1"/>
                          <w:sz w:val="15"/>
                          <w:szCs w:val="15"/>
                          <w:lang w:eastAsia="zh-CN"/>
                          <w14:textFill>
                            <w14:solidFill>
                              <w14:schemeClr w14:val="tx1"/>
                            </w14:solidFill>
                          </w14:textFill>
                        </w:rPr>
                      </w:pPr>
                      <w:r>
                        <w:rPr>
                          <w:rFonts w:hint="eastAsia"/>
                          <w:color w:val="000000" w:themeColor="text1"/>
                          <w:sz w:val="15"/>
                          <w:szCs w:val="15"/>
                          <w:lang w:eastAsia="zh-CN"/>
                          <w14:textFill>
                            <w14:solidFill>
                              <w14:schemeClr w14:val="tx1"/>
                            </w14:solidFill>
                          </w14:textFill>
                        </w:rPr>
                        <w:t>项目位置</w:t>
                      </w:r>
                    </w:p>
                  </w:txbxContent>
                </v:textbox>
              </v:shape>
            </w:pict>
          </mc:Fallback>
        </mc:AlternateContent>
      </w:r>
      <w:r>
        <w:rPr>
          <w:color w:val="auto"/>
          <w:sz w:val="21"/>
        </w:rPr>
        <mc:AlternateContent>
          <mc:Choice Requires="wps">
            <w:drawing>
              <wp:anchor distT="0" distB="0" distL="114300" distR="114300" simplePos="0" relativeHeight="251662336" behindDoc="0" locked="0" layoutInCell="1" allowOverlap="1">
                <wp:simplePos x="0" y="0"/>
                <wp:positionH relativeFrom="column">
                  <wp:posOffset>2280920</wp:posOffset>
                </wp:positionH>
                <wp:positionV relativeFrom="paragraph">
                  <wp:posOffset>1947545</wp:posOffset>
                </wp:positionV>
                <wp:extent cx="819785" cy="270510"/>
                <wp:effectExtent l="4445" t="4445" r="13970" b="48895"/>
                <wp:wrapNone/>
                <wp:docPr id="33" name="矩形标注 33"/>
                <wp:cNvGraphicFramePr/>
                <a:graphic xmlns:a="http://schemas.openxmlformats.org/drawingml/2006/main">
                  <a:graphicData uri="http://schemas.microsoft.com/office/word/2010/wordprocessingShape">
                    <wps:wsp>
                      <wps:cNvSpPr/>
                      <wps:spPr>
                        <a:xfrm>
                          <a:off x="3547745" y="3547110"/>
                          <a:ext cx="819785" cy="270510"/>
                        </a:xfrm>
                        <a:prstGeom prst="wedgeRectCallout">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93F3AE">
                            <w:pPr>
                              <w:jc w:val="center"/>
                              <w:rPr>
                                <w:rFonts w:hint="eastAsia" w:eastAsia="宋体"/>
                                <w:b/>
                                <w:bCs/>
                                <w:color w:val="E46C0A" w:themeColor="accent6" w:themeShade="BF"/>
                                <w:sz w:val="18"/>
                                <w:szCs w:val="18"/>
                                <w:highlight w:val="none"/>
                                <w:lang w:eastAsia="zh-CN"/>
                              </w:rPr>
                            </w:pPr>
                            <w:r>
                              <w:rPr>
                                <w:rFonts w:hint="eastAsia"/>
                                <w:b/>
                                <w:bCs/>
                                <w:color w:val="E46C0A" w:themeColor="accent6" w:themeShade="BF"/>
                                <w:sz w:val="18"/>
                                <w:szCs w:val="18"/>
                                <w:highlight w:val="none"/>
                                <w:lang w:eastAsia="zh-CN"/>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79.6pt;margin-top:153.35pt;height:21.3pt;width:64.55pt;z-index:251662336;v-text-anchor:middle;mso-width-relative:page;mso-height-relative:page;" filled="f" stroked="t" coordsize="21600,21600" o:gfxdata="UEsDBAoAAAAAAIdO4kAAAAAAAAAAAAAAAAAEAAAAZHJzL1BLAwQUAAAACACHTuJAXIA5UdgAAAAL&#10;AQAADwAAAGRycy9kb3ducmV2LnhtbE2PPU/DMBCGdyT+g3VIbNRukpYkxOmAhAQTUFjYrrFJAvE5&#10;xE5T/j3HBNt9PHrvuWp3coM42in0njSsVwqEpcabnloNry93VzmIEJEMDp6shm8bYFefn1VYGr/Q&#10;sz3uYys4hEKJGroYx1LK0HTWYVj50RLv3v3kMHI7tdJMuHC4G2Si1FY67IkvdDja2842n/vZaXha&#10;MnrbJPeP2JqP7GFWphi/jNaXF2t1AyLaU/yD4Vef1aFmp4OfyQQxaEg3RcIoF2p7DYKJLM9TEAee&#10;ZEUKsq7k/x/qH1BLAwQUAAAACACHTuJA2SOIFoACAADdBAAADgAAAGRycy9lMm9Eb2MueG1srVTN&#10;bhMxEL4j8Q6W73SzadK0UTdVlKgIqaIVBXF2vN7sSv7DdrIpL8BjUHGCM2ceh/IafPZufygceiAH&#10;Z8Yz+83M588+PtkpSbbC+cboguZ7A0qE5qZs9Lqg796evjikxAemSyaNFgW9Ep6ezJ4/O27tVAxN&#10;bWQpHAGI9tPWFrQOwU6zzPNaKOb3jBUawco4xQJct85Kx1qgK5kNB4ODrDWutM5w4T12l12Q9oju&#10;KYCmqhouloZvlNChQ3VCsoCRfN1YT2ep26oSPJxXlReByIJi0pBWFIG9ims2O2bTtWO2bnjfAntK&#10;C49mUqzRKHoHtWSBkY1r/oJSDXfGmyrscaOybpDECKbIB4+4uayZFWkWUO3tHen+/8Hy19sLR5qy&#10;oPv7lGimcOK/Pn/7+ePLzfWnm+9fCbbBUWv9FKmX9sL1nocZB95VTsV/jEJ2QBmPJpPRmJKrzs7z&#10;nmOxC4Qj4TA/mhwizpEwnAzGXTy7B7LOh5fCKBKNgraiXIs3OMcFk9JsQmKZbc98QCP47DY99qDN&#10;aSNlOlKpSVvQg/0xDpozyLSCPGAqi1G9XlPC5Br658ElRG9kU8avI45369VCOrJlUTXpF0lAtT/S&#10;Yukl83WXl0J9mtTIjpx1LEUr7Fa7nrqVKa9AujOdGr3lpw2gzpgPF8xBfugZFzScY6mkwRymtyip&#10;jfv4r/2YD1UgSkkLOWPIDxvmBCXylYZejvLRKOo/OaPxZAjHPYysHkb0Ri0MZs/xFFiezJgf5K1Z&#10;OaPe4x7PY1WEmOao3dHZO4vQXTO8BFzM5ykNmrcsnOlLyyN4d2bzTTBVk44zEtWx0/MH1Sfe+xsa&#10;r9VDP2Xdv0qz3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PEEAABbQ29udGVudF9UeXBlc10ueG1sUEsBAhQACgAAAAAAh07iQAAAAAAAAAAAAAAA&#10;AAYAAAAAAAAAAAAQAAAA0wMAAF9yZWxzL1BLAQIUABQAAAAIAIdO4kCKFGY80QAAAJQBAAALAAAA&#10;AAAAAAEAIAAAAPcDAABfcmVscy8ucmVsc1BLAQIUAAoAAAAAAIdO4kAAAAAAAAAAAAAAAAAEAAAA&#10;AAAAAAAAEAAAAAAAAABkcnMvUEsBAhQAFAAAAAgAh07iQFyAOVHYAAAACwEAAA8AAAAAAAAAAQAg&#10;AAAAIgAAAGRycy9kb3ducmV2LnhtbFBLAQIUABQAAAAIAIdO4kDZI4gWgAIAAN0EAAAOAAAAAAAA&#10;AAEAIAAAACcBAABkcnMvZTJvRG9jLnhtbFBLBQYAAAAABgAGAFkBAAAZBgAAAAA=&#10;" adj="6300,24300">
                <v:fill on="f" focussize="0,0"/>
                <v:stroke weight="0.5pt" color="#000000 [3213]" joinstyle="round"/>
                <v:imagedata o:title=""/>
                <o:lock v:ext="edit" aspectratio="f"/>
                <v:textbox>
                  <w:txbxContent>
                    <w:p w14:paraId="6B93F3AE">
                      <w:pPr>
                        <w:jc w:val="center"/>
                        <w:rPr>
                          <w:rFonts w:hint="eastAsia" w:eastAsia="宋体"/>
                          <w:b/>
                          <w:bCs/>
                          <w:color w:val="E46C0A" w:themeColor="accent6" w:themeShade="BF"/>
                          <w:sz w:val="18"/>
                          <w:szCs w:val="18"/>
                          <w:highlight w:val="none"/>
                          <w:lang w:eastAsia="zh-CN"/>
                        </w:rPr>
                      </w:pPr>
                      <w:r>
                        <w:rPr>
                          <w:rFonts w:hint="eastAsia"/>
                          <w:b/>
                          <w:bCs/>
                          <w:color w:val="E46C0A" w:themeColor="accent6" w:themeShade="BF"/>
                          <w:sz w:val="18"/>
                          <w:szCs w:val="18"/>
                          <w:highlight w:val="none"/>
                          <w:lang w:eastAsia="zh-CN"/>
                        </w:rPr>
                        <w:t>本项目位置</w:t>
                      </w:r>
                    </w:p>
                  </w:txbxContent>
                </v:textbox>
              </v:shape>
            </w:pict>
          </mc:Fallback>
        </mc:AlternateContent>
      </w:r>
    </w:p>
    <w:p w14:paraId="48BF6051">
      <w:pPr>
        <w:pStyle w:val="24"/>
        <w:ind w:left="0" w:leftChars="0"/>
        <w:jc w:val="both"/>
        <w:outlineLvl w:val="0"/>
        <w:rPr>
          <w:rFonts w:hint="default" w:ascii="Times New Roman" w:hAnsi="Times New Roman" w:eastAsia="宋体" w:cs="Times New Roman"/>
          <w:b/>
          <w:bCs/>
          <w:color w:val="auto"/>
          <w:sz w:val="24"/>
          <w:szCs w:val="24"/>
          <w:lang w:val="en-US" w:eastAsia="zh-CN"/>
        </w:rPr>
      </w:pPr>
      <w:bookmarkStart w:id="9" w:name="_Toc2754"/>
      <w:r>
        <w:rPr>
          <w:rFonts w:hint="eastAsia" w:cs="Times New Roman"/>
          <w:b/>
          <w:bCs/>
          <w:color w:val="auto"/>
          <w:sz w:val="24"/>
          <w:szCs w:val="24"/>
          <w:lang w:val="en-US" w:eastAsia="zh-CN"/>
        </w:rPr>
        <w:t>附图2 项目位置示意图</w:t>
      </w:r>
      <w:bookmarkEnd w:id="9"/>
    </w:p>
    <w:p w14:paraId="765E7C35">
      <w:pPr>
        <w:pStyle w:val="24"/>
        <w:ind w:left="0" w:leftChars="0"/>
        <w:jc w:val="center"/>
        <w:rPr>
          <w:rFonts w:hint="eastAsia" w:ascii="Times New Roman" w:hAnsi="Times New Roman" w:eastAsia="宋体" w:cs="Times New Roman"/>
          <w:color w:val="auto"/>
          <w:lang w:eastAsia="zh-CN"/>
        </w:rPr>
      </w:pPr>
      <w:r>
        <w:rPr>
          <w:b/>
        </w:rPr>
        <w:drawing>
          <wp:anchor distT="0" distB="0" distL="114300" distR="114300" simplePos="0" relativeHeight="251683840" behindDoc="0" locked="0" layoutInCell="1" allowOverlap="1">
            <wp:simplePos x="0" y="0"/>
            <wp:positionH relativeFrom="column">
              <wp:posOffset>7502525</wp:posOffset>
            </wp:positionH>
            <wp:positionV relativeFrom="paragraph">
              <wp:posOffset>132715</wp:posOffset>
            </wp:positionV>
            <wp:extent cx="734060" cy="680720"/>
            <wp:effectExtent l="0" t="0" r="8890" b="5080"/>
            <wp:wrapNone/>
            <wp:docPr id="1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42"/>
                    <pic:cNvPicPr>
                      <a:picLocks noChangeAspect="1"/>
                    </pic:cNvPicPr>
                  </pic:nvPicPr>
                  <pic:blipFill>
                    <a:blip r:embed="rId32"/>
                    <a:stretch>
                      <a:fillRect/>
                    </a:stretch>
                  </pic:blipFill>
                  <pic:spPr>
                    <a:xfrm>
                      <a:off x="0" y="0"/>
                      <a:ext cx="734060" cy="680720"/>
                    </a:xfrm>
                    <a:prstGeom prst="rect">
                      <a:avLst/>
                    </a:prstGeom>
                    <a:noFill/>
                    <a:ln>
                      <a:noFill/>
                    </a:ln>
                  </pic:spPr>
                </pic:pic>
              </a:graphicData>
            </a:graphic>
          </wp:anchor>
        </w:drawing>
      </w:r>
    </w:p>
    <w:p w14:paraId="613E0533">
      <w:pPr>
        <w:pStyle w:val="24"/>
        <w:ind w:left="0" w:leftChars="0"/>
        <w:jc w:val="left"/>
        <w:rPr>
          <w:rFonts w:hint="eastAsia"/>
          <w:b/>
          <w:bCs/>
          <w:color w:val="auto"/>
          <w:sz w:val="24"/>
          <w:szCs w:val="24"/>
          <w:lang w:eastAsia="zh-CN"/>
        </w:rPr>
      </w:pPr>
      <w:r>
        <w:rPr>
          <w:color w:val="auto"/>
          <w:sz w:val="24"/>
        </w:rPr>
        <mc:AlternateContent>
          <mc:Choice Requires="wps">
            <w:drawing>
              <wp:anchor distT="0" distB="0" distL="114300" distR="114300" simplePos="0" relativeHeight="251665408" behindDoc="0" locked="0" layoutInCell="1" allowOverlap="1">
                <wp:simplePos x="0" y="0"/>
                <wp:positionH relativeFrom="column">
                  <wp:posOffset>46355</wp:posOffset>
                </wp:positionH>
                <wp:positionV relativeFrom="paragraph">
                  <wp:posOffset>4601210</wp:posOffset>
                </wp:positionV>
                <wp:extent cx="907415" cy="517525"/>
                <wp:effectExtent l="5080" t="4445" r="20955" b="11430"/>
                <wp:wrapNone/>
                <wp:docPr id="50" name="文本框 50"/>
                <wp:cNvGraphicFramePr/>
                <a:graphic xmlns:a="http://schemas.openxmlformats.org/drawingml/2006/main">
                  <a:graphicData uri="http://schemas.microsoft.com/office/word/2010/wordprocessingShape">
                    <wps:wsp>
                      <wps:cNvSpPr txBox="1"/>
                      <wps:spPr>
                        <a:xfrm>
                          <a:off x="0" y="0"/>
                          <a:ext cx="907415" cy="51752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71AAC366">
                            <w:pPr>
                              <w:spacing w:line="360" w:lineRule="auto"/>
                              <w:ind w:firstLine="360" w:firstLineChars="200"/>
                              <w:rPr>
                                <w:rFonts w:hint="eastAsia"/>
                                <w:sz w:val="18"/>
                                <w:szCs w:val="18"/>
                                <w:lang w:eastAsia="zh-CN"/>
                              </w:rPr>
                            </w:pPr>
                            <w:r>
                              <w:rPr>
                                <w:rFonts w:hint="eastAsia"/>
                                <w:sz w:val="18"/>
                                <w:szCs w:val="18"/>
                                <w:lang w:eastAsia="zh-CN"/>
                              </w:rPr>
                              <w:t>图例</w:t>
                            </w:r>
                          </w:p>
                          <w:p w14:paraId="21E500A8">
                            <w:pPr>
                              <w:pStyle w:val="41"/>
                              <w:spacing w:line="360" w:lineRule="auto"/>
                              <w:rPr>
                                <w:rFonts w:hint="default"/>
                                <w:sz w:val="15"/>
                                <w:szCs w:val="15"/>
                                <w:lang w:val="en-US" w:eastAsia="zh-CN"/>
                              </w:rPr>
                            </w:pPr>
                            <w:r>
                              <w:rPr>
                                <w:rFonts w:hint="eastAsia"/>
                                <w:sz w:val="15"/>
                                <w:szCs w:val="15"/>
                                <w:lang w:val="en-US" w:eastAsia="zh-CN"/>
                              </w:rPr>
                              <w:drawing>
                                <wp:inline distT="0" distB="0" distL="114300" distR="114300">
                                  <wp:extent cx="96520" cy="134620"/>
                                  <wp:effectExtent l="0" t="0" r="17780" b="17780"/>
                                  <wp:docPr id="51" name="图片 51" descr="红色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红色点位"/>
                                          <pic:cNvPicPr>
                                            <a:picLocks noChangeAspect="1"/>
                                          </pic:cNvPicPr>
                                        </pic:nvPicPr>
                                        <pic:blipFill>
                                          <a:blip r:embed="rId33"/>
                                          <a:stretch>
                                            <a:fillRect/>
                                          </a:stretch>
                                        </pic:blipFill>
                                        <pic:spPr>
                                          <a:xfrm>
                                            <a:off x="0" y="0"/>
                                            <a:ext cx="96520" cy="134620"/>
                                          </a:xfrm>
                                          <a:prstGeom prst="rect">
                                            <a:avLst/>
                                          </a:prstGeom>
                                        </pic:spPr>
                                      </pic:pic>
                                    </a:graphicData>
                                  </a:graphic>
                                </wp:inline>
                              </w:drawing>
                            </w:r>
                            <w:r>
                              <w:rPr>
                                <w:rFonts w:hint="eastAsia"/>
                                <w:sz w:val="15"/>
                                <w:szCs w:val="15"/>
                                <w:lang w:val="en-US" w:eastAsia="zh-CN"/>
                              </w:rPr>
                              <w:t xml:space="preserve"> </w:t>
                            </w:r>
                            <w:r>
                              <w:rPr>
                                <w:rFonts w:hint="eastAsia"/>
                                <w:sz w:val="21"/>
                                <w:szCs w:val="21"/>
                                <w:lang w:val="en-US" w:eastAsia="zh-CN"/>
                              </w:rPr>
                              <w:t>项目位置</w:t>
                            </w:r>
                          </w:p>
                          <w:p w14:paraId="648BEE1F">
                            <w:pPr>
                              <w:pStyle w:val="41"/>
                              <w:spacing w:line="360" w:lineRule="auto"/>
                              <w:ind w:firstLine="360"/>
                              <w:rPr>
                                <w:rFonts w:hint="default"/>
                                <w:sz w:val="15"/>
                                <w:szCs w:val="15"/>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65pt;margin-top:362.3pt;height:40.75pt;width:71.45pt;z-index:251665408;mso-width-relative:page;mso-height-relative:page;" fillcolor="#FFFFFF [3201]" filled="t" stroked="t" coordsize="21600,21600" o:gfxdata="UEsDBAoAAAAAAIdO4kAAAAAAAAAAAAAAAAAEAAAAZHJzL1BLAwQUAAAACACHTuJAHgqkrdYAAAAJ&#10;AQAADwAAAGRycy9kb3ducmV2LnhtbE2PwWrDMBBE74X+g9hAbo1ku3WDaznQQiH01tSX3hRrY5tI&#10;KyMpcfL3UU7taVhmmHlbby7WsDP6MDqSkK0EMKTO6ZF6Ce3P59MaWIiKtDKOUMIVA2yax4daVdrN&#10;9I3nXexZKqFQKQlDjFPFeegGtCqs3ISUvIPzVsV0+p5rr+ZUbg3PhSi5VSOlhUFN+DFgd9ydrIRt&#10;+R5/sdVfusgLN7e88wcTpFwuMvEGLOIl/oXhjp/QoUlMe3ciHZiR8FqkYJL8uQR2919EDmwvYS3K&#10;DHhT8/8fNDdQSwMEFAAAAAgAh07iQI2SKkJWAgAAuAQAAA4AAABkcnMvZTJvRG9jLnhtbK1UzW4a&#10;MRC+V+o7WL6XBQqhQVkimoiqEmoipVXPxutlrdoe1zbs0gdo3qCnXnrvc+U5OvYuhIYecigHM398&#10;M/PNDBeXjVZkK5yXYHI66PUpEYZDIc06p58+Ll69ocQHZgqmwIic7oSnl7OXLy5qOxVDqEAVwhEE&#10;MX5a25xWIdhplnleCc18D6ww6CzBaRZQdeuscKxGdK2yYb9/ltXgCuuAC+/Ret06aYfongMIZSm5&#10;uAa+0cKEFtUJxQK25CtpPZ2lastS8HBTll4EonKKnYb0YhKUV/HNZhdsunbMVpJ3JbDnlPCkJ82k&#10;waQHqGsWGNk4eQKlJXfgoQw9DjprG0mMYBeD/hNu7ipmReoFqfb2QLr/f7D8w/bWEVnkdIyUGKZx&#10;4g8/7h9+/n749Z2gDQmqrZ9i3J3FyNC8hQbXZm/3aIx9N6XT8Rs7IuhHrN2BXtEEwtF43p+MBmNK&#10;OLrGg8l4OI4o2eOPrfPhnQBNopBTh9NLpLLt0oc2dB8Sc3lQslhIpZLi1qsr5ciW4aQX6dOh/xWm&#10;DKlzevYaOzuBiNgHiJVi/MspAlarDBYdOWl7j1JoVk1H1AqKHfLkoF01b/lCIu6S+XDLHO4WUoPX&#10;F27wKRVgMdBJlFTgvv3LHuNx5OilpMZdzan/umFOUKLeG1yG88FohLAhKaPxZIiKO/asjj1mo68A&#10;SRrgnVuexBgf1F4sHejPeKTzmBVdzHDMndOwF69Ce0F45FzM5ykI19mysDR3lkfoSK6B+SZAKdPo&#10;Ik0tNx17uNBp+N3xxYs51lPU4x/O7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eCqSt1gAAAAkB&#10;AAAPAAAAAAAAAAEAIAAAACIAAABkcnMvZG93bnJldi54bWxQSwECFAAUAAAACACHTuJAjZIqQlYC&#10;AAC4BAAADgAAAAAAAAABACAAAAAlAQAAZHJzL2Uyb0RvYy54bWxQSwUGAAAAAAYABgBZAQAA7QUA&#10;AAAA&#10;">
                <v:fill on="t" focussize="0,0"/>
                <v:stroke weight="0.5pt" color="#000000 [3204]" joinstyle="round"/>
                <v:imagedata o:title=""/>
                <o:lock v:ext="edit" aspectratio="f"/>
                <v:textbox>
                  <w:txbxContent>
                    <w:p w14:paraId="71AAC366">
                      <w:pPr>
                        <w:spacing w:line="360" w:lineRule="auto"/>
                        <w:ind w:firstLine="360" w:firstLineChars="200"/>
                        <w:rPr>
                          <w:rFonts w:hint="eastAsia"/>
                          <w:sz w:val="18"/>
                          <w:szCs w:val="18"/>
                          <w:lang w:eastAsia="zh-CN"/>
                        </w:rPr>
                      </w:pPr>
                      <w:r>
                        <w:rPr>
                          <w:rFonts w:hint="eastAsia"/>
                          <w:sz w:val="18"/>
                          <w:szCs w:val="18"/>
                          <w:lang w:eastAsia="zh-CN"/>
                        </w:rPr>
                        <w:t>图例</w:t>
                      </w:r>
                    </w:p>
                    <w:p w14:paraId="21E500A8">
                      <w:pPr>
                        <w:pStyle w:val="41"/>
                        <w:spacing w:line="360" w:lineRule="auto"/>
                        <w:rPr>
                          <w:rFonts w:hint="default"/>
                          <w:sz w:val="15"/>
                          <w:szCs w:val="15"/>
                          <w:lang w:val="en-US" w:eastAsia="zh-CN"/>
                        </w:rPr>
                      </w:pPr>
                      <w:r>
                        <w:rPr>
                          <w:rFonts w:hint="eastAsia"/>
                          <w:sz w:val="15"/>
                          <w:szCs w:val="15"/>
                          <w:lang w:val="en-US" w:eastAsia="zh-CN"/>
                        </w:rPr>
                        <w:drawing>
                          <wp:inline distT="0" distB="0" distL="114300" distR="114300">
                            <wp:extent cx="96520" cy="134620"/>
                            <wp:effectExtent l="0" t="0" r="17780" b="17780"/>
                            <wp:docPr id="51" name="图片 51" descr="红色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红色点位"/>
                                    <pic:cNvPicPr>
                                      <a:picLocks noChangeAspect="1"/>
                                    </pic:cNvPicPr>
                                  </pic:nvPicPr>
                                  <pic:blipFill>
                                    <a:blip r:embed="rId33"/>
                                    <a:stretch>
                                      <a:fillRect/>
                                    </a:stretch>
                                  </pic:blipFill>
                                  <pic:spPr>
                                    <a:xfrm>
                                      <a:off x="0" y="0"/>
                                      <a:ext cx="96520" cy="134620"/>
                                    </a:xfrm>
                                    <a:prstGeom prst="rect">
                                      <a:avLst/>
                                    </a:prstGeom>
                                  </pic:spPr>
                                </pic:pic>
                              </a:graphicData>
                            </a:graphic>
                          </wp:inline>
                        </w:drawing>
                      </w:r>
                      <w:r>
                        <w:rPr>
                          <w:rFonts w:hint="eastAsia"/>
                          <w:sz w:val="15"/>
                          <w:szCs w:val="15"/>
                          <w:lang w:val="en-US" w:eastAsia="zh-CN"/>
                        </w:rPr>
                        <w:t xml:space="preserve"> </w:t>
                      </w:r>
                      <w:r>
                        <w:rPr>
                          <w:rFonts w:hint="eastAsia"/>
                          <w:sz w:val="21"/>
                          <w:szCs w:val="21"/>
                          <w:lang w:val="en-US" w:eastAsia="zh-CN"/>
                        </w:rPr>
                        <w:t>项目位置</w:t>
                      </w:r>
                    </w:p>
                    <w:p w14:paraId="648BEE1F">
                      <w:pPr>
                        <w:pStyle w:val="41"/>
                        <w:spacing w:line="360" w:lineRule="auto"/>
                        <w:ind w:firstLine="360"/>
                        <w:rPr>
                          <w:rFonts w:hint="default"/>
                          <w:sz w:val="15"/>
                          <w:szCs w:val="15"/>
                          <w:lang w:val="en-US" w:eastAsia="zh-CN"/>
                        </w:rPr>
                      </w:pPr>
                    </w:p>
                  </w:txbxContent>
                </v:textbox>
              </v:shape>
            </w:pict>
          </mc:Fallback>
        </mc:AlternateContent>
      </w:r>
      <w:r>
        <w:rPr>
          <w:rFonts w:hint="eastAsia" w:ascii="Times New Roman" w:hAnsi="Times New Roman" w:eastAsia="宋体" w:cs="Times New Roman"/>
          <w:color w:val="auto"/>
          <w:sz w:val="24"/>
          <w:lang w:eastAsia="zh-CN"/>
        </w:rPr>
        <w:drawing>
          <wp:inline distT="0" distB="0" distL="114300" distR="114300">
            <wp:extent cx="8235315" cy="5109210"/>
            <wp:effectExtent l="0" t="0" r="13335" b="15240"/>
            <wp:docPr id="6" name="图片 6" descr="项目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项目位置图"/>
                    <pic:cNvPicPr>
                      <a:picLocks noChangeAspect="1"/>
                    </pic:cNvPicPr>
                  </pic:nvPicPr>
                  <pic:blipFill>
                    <a:blip r:embed="rId34"/>
                    <a:stretch>
                      <a:fillRect/>
                    </a:stretch>
                  </pic:blipFill>
                  <pic:spPr>
                    <a:xfrm>
                      <a:off x="0" y="0"/>
                      <a:ext cx="8235315" cy="5109210"/>
                    </a:xfrm>
                    <a:prstGeom prst="rect">
                      <a:avLst/>
                    </a:prstGeom>
                  </pic:spPr>
                </pic:pic>
              </a:graphicData>
            </a:graphic>
          </wp:inline>
        </w:drawing>
      </w:r>
      <w:bookmarkStart w:id="10" w:name="_Toc15431"/>
    </w:p>
    <w:p w14:paraId="4CD96C82">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outlineLvl w:val="0"/>
        <w:rPr>
          <w:rFonts w:hint="default"/>
          <w:color w:val="auto"/>
        </w:rPr>
      </w:pPr>
      <w:bookmarkStart w:id="11" w:name="_Toc12294"/>
      <w:bookmarkStart w:id="12" w:name="_Toc18626"/>
      <w:r>
        <w:rPr>
          <w:b/>
        </w:rPr>
        <w:drawing>
          <wp:anchor distT="0" distB="0" distL="114300" distR="114300" simplePos="0" relativeHeight="251684864" behindDoc="0" locked="0" layoutInCell="1" allowOverlap="1">
            <wp:simplePos x="0" y="0"/>
            <wp:positionH relativeFrom="column">
              <wp:posOffset>7264400</wp:posOffset>
            </wp:positionH>
            <wp:positionV relativeFrom="paragraph">
              <wp:posOffset>196850</wp:posOffset>
            </wp:positionV>
            <wp:extent cx="734060" cy="680720"/>
            <wp:effectExtent l="0" t="0" r="8890" b="5080"/>
            <wp:wrapNone/>
            <wp:docPr id="36"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42"/>
                    <pic:cNvPicPr>
                      <a:picLocks noChangeAspect="1"/>
                    </pic:cNvPicPr>
                  </pic:nvPicPr>
                  <pic:blipFill>
                    <a:blip r:embed="rId32"/>
                    <a:stretch>
                      <a:fillRect/>
                    </a:stretch>
                  </pic:blipFill>
                  <pic:spPr>
                    <a:xfrm>
                      <a:off x="0" y="0"/>
                      <a:ext cx="734060" cy="680720"/>
                    </a:xfrm>
                    <a:prstGeom prst="rect">
                      <a:avLst/>
                    </a:prstGeom>
                    <a:noFill/>
                    <a:ln>
                      <a:noFill/>
                    </a:ln>
                  </pic:spPr>
                </pic:pic>
              </a:graphicData>
            </a:graphic>
          </wp:anchor>
        </w:drawing>
      </w:r>
      <w:r>
        <w:rPr>
          <w:rFonts w:hint="eastAsia"/>
          <w:b/>
          <w:bCs/>
          <w:color w:val="auto"/>
          <w:sz w:val="24"/>
          <w:szCs w:val="24"/>
          <w:lang w:eastAsia="zh-CN"/>
        </w:rPr>
        <w:t>附图</w:t>
      </w:r>
      <w:r>
        <w:rPr>
          <w:rFonts w:hint="eastAsia"/>
          <w:b/>
          <w:bCs/>
          <w:color w:val="auto"/>
          <w:sz w:val="24"/>
          <w:szCs w:val="24"/>
          <w:lang w:val="en-US" w:eastAsia="zh-CN"/>
        </w:rPr>
        <w:t xml:space="preserve">3 </w:t>
      </w:r>
      <w:r>
        <w:rPr>
          <w:rFonts w:hint="eastAsia" w:ascii="Times New Roman" w:hAnsi="Times New Roman" w:eastAsia="宋体" w:cs="Times New Roman"/>
          <w:b/>
          <w:bCs/>
          <w:color w:val="auto"/>
          <w:sz w:val="24"/>
          <w:szCs w:val="24"/>
          <w:lang w:eastAsia="zh-CN"/>
        </w:rPr>
        <w:t>环境保护目标示意图</w:t>
      </w:r>
      <w:bookmarkEnd w:id="10"/>
      <w:bookmarkEnd w:id="11"/>
      <w:bookmarkEnd w:id="12"/>
    </w:p>
    <w:p w14:paraId="00A1A1F6">
      <w:pPr>
        <w:pStyle w:val="24"/>
        <w:ind w:left="0" w:leftChars="0" w:firstLine="0" w:firstLineChars="0"/>
        <w:jc w:val="both"/>
        <w:rPr>
          <w:rFonts w:hint="eastAsia" w:eastAsia="宋体"/>
          <w:color w:val="auto"/>
          <w:lang w:eastAsia="zh-CN"/>
        </w:rPr>
      </w:pPr>
      <w:r>
        <w:rPr>
          <w:color w:val="auto"/>
          <w:sz w:val="24"/>
        </w:rPr>
        <mc:AlternateContent>
          <mc:Choice Requires="wps">
            <w:drawing>
              <wp:anchor distT="0" distB="0" distL="114300" distR="114300" simplePos="0" relativeHeight="251668480" behindDoc="0" locked="0" layoutInCell="1" allowOverlap="1">
                <wp:simplePos x="0" y="0"/>
                <wp:positionH relativeFrom="column">
                  <wp:posOffset>220980</wp:posOffset>
                </wp:positionH>
                <wp:positionV relativeFrom="paragraph">
                  <wp:posOffset>4783455</wp:posOffset>
                </wp:positionV>
                <wp:extent cx="285750" cy="95250"/>
                <wp:effectExtent l="12700" t="12700" r="25400" b="25400"/>
                <wp:wrapNone/>
                <wp:docPr id="34" name="矩形 34"/>
                <wp:cNvGraphicFramePr/>
                <a:graphic xmlns:a="http://schemas.openxmlformats.org/drawingml/2006/main">
                  <a:graphicData uri="http://schemas.microsoft.com/office/word/2010/wordprocessingShape">
                    <wps:wsp>
                      <wps:cNvSpPr/>
                      <wps:spPr>
                        <a:xfrm>
                          <a:off x="0" y="0"/>
                          <a:ext cx="285750" cy="95250"/>
                        </a:xfrm>
                        <a:prstGeom prst="rect">
                          <a:avLst/>
                        </a:prstGeom>
                        <a:no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55D36B">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pt;margin-top:376.65pt;height:7.5pt;width:22.5pt;z-index:251668480;v-text-anchor:middle;mso-width-relative:page;mso-height-relative:page;" filled="f" stroked="t" coordsize="21600,21600" o:gfxdata="UEsDBAoAAAAAAIdO4kAAAAAAAAAAAAAAAAAEAAAAZHJzL1BLAwQUAAAACACHTuJAq5lhZdgAAAAJ&#10;AQAADwAAAGRycy9kb3ducmV2LnhtbE2PzU7DMBCE70i8g7VI3KhdEpoS4lSInwegBbVHN16SqPY6&#10;it02fXuWE5xWOzua+bZaTd6JE46xD6RhPlMgkJpge2o1fG7e75YgYjJkjQuEGi4YYVVfX1WmtOFM&#10;H3hap1ZwCMXSaOhSGkopY9OhN3EWBiS+fYfRm8Tr2Eo7mjOHeyfvlVpIb3rihs4M+NJhc1gfvQap&#10;Yv62bV/zYnN5/gqun9zuMGl9ezNXTyASTunPDL/4jA41M+3DkWwUTkOWM3nSUDxkGQg2FI8s7Hku&#10;lhnIupL/P6h/AFBLAwQUAAAACACHTuJAbxPXUWICAAC/BAAADgAAAGRycy9lMm9Eb2MueG1srVTN&#10;bhMxEL4j8Q6W73STkNA26qaKGhUhVbRSQZwdr5215D9sJ5vyMkjceAgeB/EafPZu01I49MDFO+MZ&#10;f+Pv88yene+NJjsRonK2puOjESXCctcou6npxw+Xr04oiYnZhmlnRU3vRKTni5cvzjo/FxPXOt2I&#10;QABi47zzNW1T8vOqirwVhsUj54VFULpgWIIbNlUTWAd0o6vJaPSm6lxofHBcxIjdVR+kA2J4DqCT&#10;UnGxcnxrhE09ahCaJVCKrfKRLsptpRQ8XUsZRSK6pmCayooisNd5rRZnbL4JzLeKD1dgz7nCE06G&#10;KYuiB6gVS4xsg/oLyigeXHQyHXFnqp5IUQQsxqMn2ty2zIvCBVJHfxA9/j9Y/n53E4hqavp6Soll&#10;Bi/+6+v3nz++EWxAnc7HOZJu/U0YvAgzU93LYPIXJMi+KHp3UFTsE+HYnJzMjmfQmiN0OpvABEj1&#10;cNaHmN4KZ0g2ahrwXkVGtruKqU+9T8mlrLtUWmOfzbUlHfBn01GGZ2hEiQaAaTzIRLuhhOkNOpyn&#10;UCCj06rJx/PpGDbrCx3IjqEvTier0eFmf6Tl2isW2z6vhAYC2oJH1qZXI1tpv94PEq1dcwdZg+v7&#10;LXp+qQB1xWK6YQENhjtjBNM1FqkdiLjBoqR14cu/9nM+3h1RSjo0LEh+3rIgKNHvLDridDydAjYV&#10;Zzo7nsAJjyPrxxG7NRcO3McYds+LmfOTvjdlcOYTJnWZqyLELEftXs7BuUj9IGHWuVguSxq62rN0&#10;ZW89z+D9oy23yUlV3jML1asz6Ie+Lh0xzGAenMd+yXr47yx+A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NMEAABbQ29udGVudF9UeXBlc10ueG1s&#10;UEsBAhQACgAAAAAAh07iQAAAAAAAAAAAAAAAAAYAAAAAAAAAAAAQAAAAtQMAAF9yZWxzL1BLAQIU&#10;ABQAAAAIAIdO4kCKFGY80QAAAJQBAAALAAAAAAAAAAEAIAAAANkDAABfcmVscy8ucmVsc1BLAQIU&#10;AAoAAAAAAIdO4kAAAAAAAAAAAAAAAAAEAAAAAAAAAAAAEAAAAAAAAABkcnMvUEsBAhQAFAAAAAgA&#10;h07iQKuZYWXYAAAACQEAAA8AAAAAAAAAAQAgAAAAIgAAAGRycy9kb3ducmV2LnhtbFBLAQIUABQA&#10;AAAIAIdO4kBvE9dRYgIAAL8EAAAOAAAAAAAAAAEAIAAAACcBAABkcnMvZTJvRG9jLnhtbFBLBQYA&#10;AAAABgAGAFkBAAD7BQAAAAA=&#10;">
                <v:fill on="f" focussize="0,0"/>
                <v:stroke weight="2pt" color="#92D050 [3204]" joinstyle="round"/>
                <v:imagedata o:title=""/>
                <o:lock v:ext="edit" aspectratio="f"/>
                <v:textbox>
                  <w:txbxContent>
                    <w:p w14:paraId="4B55D36B">
                      <w:pPr>
                        <w:jc w:val="center"/>
                      </w:pPr>
                    </w:p>
                  </w:txbxContent>
                </v:textbox>
              </v:rect>
            </w:pict>
          </mc:Fallback>
        </mc:AlternateContent>
      </w:r>
      <w:r>
        <w:rPr>
          <w:color w:val="auto"/>
          <w:sz w:val="24"/>
        </w:rPr>
        <mc:AlternateContent>
          <mc:Choice Requires="wps">
            <w:drawing>
              <wp:anchor distT="0" distB="0" distL="114300" distR="114300" simplePos="0" relativeHeight="251669504" behindDoc="0" locked="0" layoutInCell="1" allowOverlap="1">
                <wp:simplePos x="0" y="0"/>
                <wp:positionH relativeFrom="column">
                  <wp:posOffset>220980</wp:posOffset>
                </wp:positionH>
                <wp:positionV relativeFrom="paragraph">
                  <wp:posOffset>5020310</wp:posOffset>
                </wp:positionV>
                <wp:extent cx="285750" cy="95250"/>
                <wp:effectExtent l="12700" t="12700" r="25400" b="25400"/>
                <wp:wrapNone/>
                <wp:docPr id="37" name="矩形 37"/>
                <wp:cNvGraphicFramePr/>
                <a:graphic xmlns:a="http://schemas.openxmlformats.org/drawingml/2006/main">
                  <a:graphicData uri="http://schemas.microsoft.com/office/word/2010/wordprocessingShape">
                    <wps:wsp>
                      <wps:cNvSpPr/>
                      <wps:spPr>
                        <a:xfrm>
                          <a:off x="0" y="0"/>
                          <a:ext cx="285750" cy="95250"/>
                        </a:xfrm>
                        <a:prstGeom prst="rect">
                          <a:avLst/>
                        </a:prstGeom>
                        <a:noFill/>
                        <a:ln>
                          <a:solidFill>
                            <a:schemeClr val="accent5">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303AE1A">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7.4pt;margin-top:395.3pt;height:7.5pt;width:22.5pt;z-index:251669504;v-text-anchor:middle;mso-width-relative:page;mso-height-relative:page;" filled="f" stroked="t" coordsize="21600,21600" o:gfxdata="UEsDBAoAAAAAAIdO4kAAAAAAAAAAAAAAAAAEAAAAZHJzL1BLAwQUAAAACACHTuJApMYG59cAAAAJ&#10;AQAADwAAAGRycy9kb3ducmV2LnhtbE2PzU7DMBCE70i8g7VI3KhdSt06jVMJBELi1oI4u8k2McTr&#10;KHZ/eHuWUznu7Gjmm3J9Dr044ph8JAvTiQKBVMfGU2vh4/3lbgkiZUeN6yOhhR9MsK6ur0pXNPFE&#10;Gzxucys4hFLhLHQ5D4WUqe4wuDSJAxL/9nEMLvM5trIZ3YnDQy/vldIyOE/c0LkBnzqsv7eHYGHz&#10;+uX9Y3h+mxn9qXXSZi6Tsfb2ZqpWIDKe88UMf/iMDhUz7eKBmiR6C7MHJs8WFkZpEGxYGBZ2FpZq&#10;rkFWpfy/oPoFUEsDBBQAAAAIAIdO4kAFM+lLfgIAAPgEAAAOAAAAZHJzL2Uyb0RvYy54bWytVEtu&#10;2zAQ3RfoHQjuG9mOnY8ROTAspCiQNgHSomuaoiwB/JWkLaeXKdBdDtHjFL1GH0nl07SLLOqFPJwZ&#10;vuF7nOHZ+V5JshPOd0aXdHwwokRobupOb0r66ePFmxNKfGC6ZtJoUdJb4en54vWrs97OxcS0RtbC&#10;EYBoP+9tSdsQ7LwoPG+FYv7AWKERbIxTLGDpNkXtWA90JYvJaHRU9MbV1hkuvIe3ykE6ILqXAJqm&#10;6bioDN8qoUNGdUKyAEq+7ayni3TaphE8XDWNF4HIkoJpSF8Ugb2O32JxxuYbx2zb8eEI7CVHeMZJ&#10;sU6j6ANUxQIjW9f9BaU67ow3TTjgRhWZSFIELMajZ9rctMyKxAVSe/sguv9/sPzD7tqRri7p4TEl&#10;minc+K9vdz9/fCdwQJ3e+jmSbuy1G1YeZqS6b5yK/yBB9knR2wdFxT4QDufkZHY8g9YcodPZBCZA&#10;ise91vnwVhhFolFSh/tKMrLdpQ859T4lltLmopMSfjaXmvTAn01HEZ6hERs0AExlQcbrDSVMbtDh&#10;PLgE6Y3s6rg97vZus15JR3YMfXF6uKqqKiXJrXpv6uw+GuGXGwRutFF2o2B2g8YAkyj9gR8PXTHf&#10;5i0pNDCXGtlR1CxjtMJ+vR+0XZv6FvfhTG5Ub/lFB6hL5sM1c+hMkMXshit8GmmggBksSlrjvv7L&#10;H/PRMIhS0qPToc6XLXOCEvlOo5VOx9MpYENaTGfHEyzc08j6aURv1cpAtDFeCcuTGfODvDcbZ9Rn&#10;jPgyVkWIaY7a+R6GxSrkCcQjwcVymdIwDpaFS31jeQTPt73cBtN0qRGiUFmdQT8MRNJ9GN44cU/X&#10;KevxwVr8Bl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KTGBufXAAAACQEAAA8AAAAAAAAAAQAgAAAA&#10;IgAAAGRycy9kb3ducmV2LnhtbFBLAQIUABQAAAAIAIdO4kAFM+lLfgIAAPgEAAAOAAAAAAAAAAEA&#10;IAAAACYBAABkcnMvZTJvRG9jLnhtbFBLBQYAAAAABgAGAFkBAAAWBgAAAAA=&#10;">
                <v:fill on="f" focussize="0,0"/>
                <v:stroke weight="2pt" color="#93CDDD [1944]" joinstyle="round"/>
                <v:imagedata o:title=""/>
                <o:lock v:ext="edit" aspectratio="f"/>
                <v:textbox>
                  <w:txbxContent>
                    <w:p w14:paraId="3303AE1A">
                      <w:pPr>
                        <w:jc w:val="center"/>
                      </w:pPr>
                    </w:p>
                  </w:txbxContent>
                </v:textbox>
              </v:rect>
            </w:pict>
          </mc:Fallback>
        </mc:AlternateContent>
      </w:r>
      <w:r>
        <w:rPr>
          <w:color w:val="auto"/>
          <w:sz w:val="24"/>
        </w:rPr>
        <mc:AlternateContent>
          <mc:Choice Requires="wps">
            <w:drawing>
              <wp:anchor distT="0" distB="0" distL="114300" distR="114300" simplePos="0" relativeHeight="251667456" behindDoc="0" locked="0" layoutInCell="1" allowOverlap="1">
                <wp:simplePos x="0" y="0"/>
                <wp:positionH relativeFrom="column">
                  <wp:posOffset>212725</wp:posOffset>
                </wp:positionH>
                <wp:positionV relativeFrom="paragraph">
                  <wp:posOffset>4568825</wp:posOffset>
                </wp:positionV>
                <wp:extent cx="285750" cy="95250"/>
                <wp:effectExtent l="12700" t="12700" r="25400" b="25400"/>
                <wp:wrapNone/>
                <wp:docPr id="12" name="矩形 12"/>
                <wp:cNvGraphicFramePr/>
                <a:graphic xmlns:a="http://schemas.openxmlformats.org/drawingml/2006/main">
                  <a:graphicData uri="http://schemas.microsoft.com/office/word/2010/wordprocessingShape">
                    <wps:wsp>
                      <wps:cNvSpPr/>
                      <wps:spPr>
                        <a:xfrm>
                          <a:off x="0" y="0"/>
                          <a:ext cx="285750" cy="952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3DADF">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6.75pt;margin-top:359.75pt;height:7.5pt;width:22.5pt;z-index:251667456;v-text-anchor:middle;mso-width-relative:page;mso-height-relative:page;" filled="f" stroked="t" coordsize="21600,21600" o:gfxdata="UEsDBAoAAAAAAIdO4kAAAAAAAAAAAAAAAAAEAAAAZHJzL1BLAwQUAAAACACHTuJAlrXmF9gAAAAJ&#10;AQAADwAAAGRycy9kb3ducmV2LnhtbE2PMU/DMBCFdyT+g3VILIg6IbQNIU4lKtGBAYnSpZsTH0nU&#10;+BzZTlP+PccE07vTe3r3Xbm52EGc0YfekYJ0kYBAapzpqVVw+Hy9z0GEqMnowREq+MYAm+r6qtSF&#10;cTN94HkfW8ElFAqtoItxLKQMTYdWh4Ubkdj7ct7qyKtvpfF65nI7yIckWUmre+ILnR5x22Fz2k9W&#10;Qb07+m3+ku3idLfi6lP7hu+zUrc3afIMIuIl/oXhF5/RoWKm2k1kghgUZNmSkwrW6RMPHFjnrDVr&#10;9rgEWZXy/wfVD1BLAwQUAAAACACHTuJADJw+FWECAAC/BAAADgAAAGRycy9lMm9Eb2MueG1srVTN&#10;bhMxEL4j8Q6W72STKKFt1KSKEgUhVbRSQZwdr5215D9sJ5vyMkjceAgep+I1+Ozd/lA49EAOzoxn&#10;/I2/zzN7fnE0mhxEiMrZOR0NhpQIy12t7G5OP33cvDmlJCZma6adFXN6KyK9WLx+dd76mRi7xula&#10;BAIQG2etn9MmJT+rqsgbYVgcOC8sgtIFwxLcsKvqwFqgG12Nh8O3VetC7YPjIkbsrrsg7RHDSwCd&#10;lIqLteN7I2zqUIPQLIFSbJSPdFFuK6Xg6UrKKBLRcwqmqawoAnub12pxzma7wHyjeH8F9pIrPONk&#10;mLIo+gC1ZomRfVB/QRnFg4tOpgF3puqIFEXAYjR8ps1Nw7woXCB19A+ix/8Hyz8crgNRNTphTIll&#10;Bi/+69uPu5/fCTagTuvjDEk3/jr0XoSZqR5lMPkfJMixKHr7oKg4JsKxOT6dnkyhNUfobDqGCZDq&#10;8awPMb0TzpBszGnAexUZ2eEypi71PiWXsm6jtMY+m2lLWuBPJ8MMz9CIEg0A03iQiXZHCdM7dDhP&#10;oUBGp1Wdj+fTMey2Kx3IgaEvNpshfv3N/kjLtdcsNl1eCfVp2oJH1qZTI1vpuD32Em1dfQtZg+v6&#10;LXq+UYC6ZDFds4AGw50xgukKi9QORFxvUdK48PVf+zkf744oJS0aFiS/7FkQlOj3Fh1xNppMAJuK&#10;M5mejOGEp5Ht04jdm5UD9xGG3fNi5vyk700ZnPmMSV3mqggxy1G7k7N3VqkbJMw6F8tlSUNXe5Yu&#10;7Y3nGbx7tOU+OanKe2ahOnV6/dDXpSP6GcyD89QvWY/fncVv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lrXmF9gAAAAJAQAADwAAAAAAAAABACAAAAAiAAAAZHJzL2Rvd25yZXYueG1sUEsBAhQAFAAA&#10;AAgAh07iQAycPhVhAgAAvwQAAA4AAAAAAAAAAQAgAAAAJwEAAGRycy9lMm9Eb2MueG1sUEsFBgAA&#10;AAAGAAYAWQEAAPoFAAAAAA==&#10;">
                <v:fill on="f" focussize="0,0"/>
                <v:stroke weight="2pt" color="#FF0000 [3204]" joinstyle="round"/>
                <v:imagedata o:title=""/>
                <o:lock v:ext="edit" aspectratio="f"/>
                <v:textbox>
                  <w:txbxContent>
                    <w:p w14:paraId="3D43DADF">
                      <w:pPr>
                        <w:jc w:val="center"/>
                      </w:pPr>
                    </w:p>
                  </w:txbxContent>
                </v:textbox>
              </v:rect>
            </w:pict>
          </mc:Fallback>
        </mc:AlternateContent>
      </w:r>
      <w:r>
        <w:rPr>
          <w:color w:val="auto"/>
          <w:sz w:val="24"/>
        </w:rPr>
        <mc:AlternateContent>
          <mc:Choice Requires="wps">
            <w:drawing>
              <wp:anchor distT="0" distB="0" distL="114300" distR="114300" simplePos="0" relativeHeight="251666432" behindDoc="0" locked="0" layoutInCell="1" allowOverlap="1">
                <wp:simplePos x="0" y="0"/>
                <wp:positionH relativeFrom="column">
                  <wp:posOffset>20955</wp:posOffset>
                </wp:positionH>
                <wp:positionV relativeFrom="paragraph">
                  <wp:posOffset>4163060</wp:posOffset>
                </wp:positionV>
                <wp:extent cx="1370965" cy="1085850"/>
                <wp:effectExtent l="4445" t="4445" r="15240" b="14605"/>
                <wp:wrapNone/>
                <wp:docPr id="11" name="文本框 11"/>
                <wp:cNvGraphicFramePr/>
                <a:graphic xmlns:a="http://schemas.openxmlformats.org/drawingml/2006/main">
                  <a:graphicData uri="http://schemas.microsoft.com/office/word/2010/wordprocessingShape">
                    <wps:wsp>
                      <wps:cNvSpPr txBox="1"/>
                      <wps:spPr>
                        <a:xfrm>
                          <a:off x="0" y="0"/>
                          <a:ext cx="1370965" cy="10858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52B15ACE">
                            <w:pPr>
                              <w:jc w:val="center"/>
                              <w:rPr>
                                <w:rFonts w:hint="eastAsia"/>
                                <w:b/>
                                <w:bCs/>
                                <w:lang w:eastAsia="zh-CN"/>
                              </w:rPr>
                            </w:pPr>
                            <w:r>
                              <w:rPr>
                                <w:rFonts w:hint="eastAsia"/>
                                <w:b/>
                                <w:bCs/>
                                <w:lang w:eastAsia="zh-CN"/>
                              </w:rPr>
                              <w:t>图例</w:t>
                            </w:r>
                          </w:p>
                          <w:p w14:paraId="1E03BEBB">
                            <w:pPr>
                              <w:ind w:firstLine="422" w:firstLineChars="200"/>
                              <w:jc w:val="both"/>
                              <w:rPr>
                                <w:rFonts w:hint="eastAsia"/>
                                <w:b/>
                                <w:bCs/>
                                <w:lang w:val="en-US" w:eastAsia="zh-CN"/>
                              </w:rPr>
                            </w:pPr>
                            <w:r>
                              <w:rPr>
                                <w:rFonts w:hint="eastAsia"/>
                                <w:b/>
                                <w:bCs/>
                                <w:lang w:val="en-US" w:eastAsia="zh-CN"/>
                              </w:rPr>
                              <w:t xml:space="preserve"> </w:t>
                            </w:r>
                          </w:p>
                          <w:p w14:paraId="254D155D">
                            <w:pPr>
                              <w:spacing w:line="360" w:lineRule="auto"/>
                              <w:ind w:firstLine="720" w:firstLineChars="400"/>
                              <w:jc w:val="both"/>
                              <w:rPr>
                                <w:rFonts w:hint="eastAsia"/>
                                <w:b w:val="0"/>
                                <w:bCs/>
                                <w:sz w:val="18"/>
                                <w:szCs w:val="18"/>
                                <w:lang w:val="en-US" w:eastAsia="zh-CN"/>
                              </w:rPr>
                            </w:pPr>
                            <w:r>
                              <w:rPr>
                                <w:rFonts w:hint="eastAsia"/>
                                <w:b w:val="0"/>
                                <w:bCs/>
                                <w:sz w:val="18"/>
                                <w:szCs w:val="18"/>
                                <w:lang w:val="en-US" w:eastAsia="zh-CN"/>
                              </w:rPr>
                              <w:t>厂界范围</w:t>
                            </w:r>
                          </w:p>
                          <w:p w14:paraId="44892862">
                            <w:pPr>
                              <w:spacing w:line="360" w:lineRule="auto"/>
                              <w:ind w:firstLine="720" w:firstLineChars="400"/>
                              <w:jc w:val="both"/>
                              <w:rPr>
                                <w:rFonts w:hint="eastAsia"/>
                                <w:b w:val="0"/>
                                <w:bCs/>
                                <w:sz w:val="18"/>
                                <w:szCs w:val="18"/>
                                <w:lang w:val="en-US" w:eastAsia="zh-CN"/>
                              </w:rPr>
                            </w:pPr>
                            <w:r>
                              <w:rPr>
                                <w:rFonts w:hint="eastAsia"/>
                                <w:b w:val="0"/>
                                <w:bCs/>
                                <w:sz w:val="18"/>
                                <w:szCs w:val="18"/>
                                <w:lang w:val="en-US" w:eastAsia="zh-CN"/>
                              </w:rPr>
                              <w:t>噪声评价范围</w:t>
                            </w:r>
                          </w:p>
                          <w:p w14:paraId="3498F271">
                            <w:pPr>
                              <w:pStyle w:val="38"/>
                              <w:spacing w:line="360" w:lineRule="auto"/>
                              <w:rPr>
                                <w:rFonts w:hint="default"/>
                                <w:lang w:val="en-US" w:eastAsia="zh-CN"/>
                              </w:rPr>
                            </w:pPr>
                            <w:r>
                              <w:rPr>
                                <w:rFonts w:hint="eastAsia"/>
                                <w:b w:val="0"/>
                                <w:bCs/>
                                <w:sz w:val="18"/>
                                <w:szCs w:val="18"/>
                                <w:lang w:val="en-US" w:eastAsia="zh-CN"/>
                              </w:rPr>
                              <w:t xml:space="preserve">        大气评价范围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65pt;margin-top:327.8pt;height:85.5pt;width:107.95pt;z-index:251666432;mso-width-relative:page;mso-height-relative:page;" fillcolor="#FFFFFF [3201]" filled="t" stroked="t" coordsize="21600,21600" o:gfxdata="UEsDBAoAAAAAAIdO4kAAAAAAAAAAAAAAAAAEAAAAZHJzL1BLAwQUAAAACACHTuJAk1m5QtYAAAAJ&#10;AQAADwAAAGRycy9kb3ducmV2LnhtbE2PzU7DMBCE70i8g7VI3KgTR7VKyKYSSEiIG20uvbnxNonw&#10;T2S7TXl7zIkeRzOa+abZXq1hFwpx8g6hXBXAyPVeT25A6PbvTxtgMSmnlfGOEH4owra9v2tUrf3i&#10;vuiySwPLJS7WCmFMaa45j/1IVsWVn8ll7+SDVSnLMHAd1JLLreGiKCS3anJ5YVQzvY3Uf+/OFuFD&#10;vqYDdfpTV6LyS8f7cDIR8fGhLF6AJbqm/zD84Wd0aDPT0Z+djswgVFUOIsj1WgLLviifBbAjwkZI&#10;Cbxt+O2D9hdQSwMEFAAAAAgAh07iQIqt6wtaAgAAugQAAA4AAABkcnMvZTJvRG9jLnhtbK1UzU4b&#10;MRC+V+o7WL6XTYBAiNigFJSqEipItOrZ8XqzVv1X28kufYDyBj310nufi+foZ28SKPTAoTk4M57x&#10;NzPfzOzpWacVWQsfpDUlHe4NKBGG20qaZUk/fZy/GVMSIjMVU9aIkt6KQM+mr1+dtm4i9m1jVSU8&#10;AYgJk9aVtInRTYoi8EZoFvasEwbG2nrNIlS/LCrPWqBrVewPBkdFa33lvOUiBNxe9Ea6QfQvAbR1&#10;Lbm4sHylhYk9qheKRZQUGukCneZs61rweFXXQUSiSopKYz4RBPIincX0lE2WnrlG8k0K7CUpPKlJ&#10;M2kQdAd1wSIjKy+fQWnJvQ22jnvc6qIvJDOCKoaDJ9zcNMyJXAuoDm5Hevh/sPzD+toTWWEShpQY&#10;ptHx+x939z9/3//6TnAHgloXJvC7cfCM3VvbwXl7H3CZ6u5qr9M/KiKwg97bHb2ii4SnRwfHg5Oj&#10;ESUctuFgPBqPcgOKh+fOh/hOWE2SUFKP/mVa2foyRKQC161LihasktVcKpUVv1ycK0/WDL2e51/K&#10;Ek/+clOGtCU9OkDsZxAJewexUIx/eY4APGUAm1jpq09S7BbdhqqFrW7BlLf9sAXH5xK4lyzEa+Yx&#10;XSAH+xevcNTKIhm7kShprP/2r/vkj6bDSkmLaS1p+LpiXlCi3huMw8nw8DCNd1YOR8f7UPxjy+Kx&#10;xaz0uQVJ6Diyy2Lyj2or1t7qz1jTWYoKEzMcsUsat+J57HcIa87FbJadMNCOxUtz43iCTuQaO1tF&#10;W8vcukRTz82GPYx0bs9m/dLOPNaz18MnZ/oH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k1m5QtYA&#10;AAAJAQAADwAAAAAAAAABACAAAAAiAAAAZHJzL2Rvd25yZXYueG1sUEsBAhQAFAAAAAgAh07iQIqt&#10;6wtaAgAAugQAAA4AAAAAAAAAAQAgAAAAJQEAAGRycy9lMm9Eb2MueG1sUEsFBgAAAAAGAAYAWQEA&#10;APEFAAAAAA==&#10;">
                <v:fill on="t" focussize="0,0"/>
                <v:stroke weight="0.5pt" color="#000000 [3204]" joinstyle="round"/>
                <v:imagedata o:title=""/>
                <o:lock v:ext="edit" aspectratio="f"/>
                <v:textbox>
                  <w:txbxContent>
                    <w:p w14:paraId="52B15ACE">
                      <w:pPr>
                        <w:jc w:val="center"/>
                        <w:rPr>
                          <w:rFonts w:hint="eastAsia"/>
                          <w:b/>
                          <w:bCs/>
                          <w:lang w:eastAsia="zh-CN"/>
                        </w:rPr>
                      </w:pPr>
                      <w:r>
                        <w:rPr>
                          <w:rFonts w:hint="eastAsia"/>
                          <w:b/>
                          <w:bCs/>
                          <w:lang w:eastAsia="zh-CN"/>
                        </w:rPr>
                        <w:t>图例</w:t>
                      </w:r>
                    </w:p>
                    <w:p w14:paraId="1E03BEBB">
                      <w:pPr>
                        <w:ind w:firstLine="422" w:firstLineChars="200"/>
                        <w:jc w:val="both"/>
                        <w:rPr>
                          <w:rFonts w:hint="eastAsia"/>
                          <w:b/>
                          <w:bCs/>
                          <w:lang w:val="en-US" w:eastAsia="zh-CN"/>
                        </w:rPr>
                      </w:pPr>
                      <w:r>
                        <w:rPr>
                          <w:rFonts w:hint="eastAsia"/>
                          <w:b/>
                          <w:bCs/>
                          <w:lang w:val="en-US" w:eastAsia="zh-CN"/>
                        </w:rPr>
                        <w:t xml:space="preserve"> </w:t>
                      </w:r>
                    </w:p>
                    <w:p w14:paraId="254D155D">
                      <w:pPr>
                        <w:spacing w:line="360" w:lineRule="auto"/>
                        <w:ind w:firstLine="720" w:firstLineChars="400"/>
                        <w:jc w:val="both"/>
                        <w:rPr>
                          <w:rFonts w:hint="eastAsia"/>
                          <w:b w:val="0"/>
                          <w:bCs/>
                          <w:sz w:val="18"/>
                          <w:szCs w:val="18"/>
                          <w:lang w:val="en-US" w:eastAsia="zh-CN"/>
                        </w:rPr>
                      </w:pPr>
                      <w:r>
                        <w:rPr>
                          <w:rFonts w:hint="eastAsia"/>
                          <w:b w:val="0"/>
                          <w:bCs/>
                          <w:sz w:val="18"/>
                          <w:szCs w:val="18"/>
                          <w:lang w:val="en-US" w:eastAsia="zh-CN"/>
                        </w:rPr>
                        <w:t>厂界范围</w:t>
                      </w:r>
                    </w:p>
                    <w:p w14:paraId="44892862">
                      <w:pPr>
                        <w:spacing w:line="360" w:lineRule="auto"/>
                        <w:ind w:firstLine="720" w:firstLineChars="400"/>
                        <w:jc w:val="both"/>
                        <w:rPr>
                          <w:rFonts w:hint="eastAsia"/>
                          <w:b w:val="0"/>
                          <w:bCs/>
                          <w:sz w:val="18"/>
                          <w:szCs w:val="18"/>
                          <w:lang w:val="en-US" w:eastAsia="zh-CN"/>
                        </w:rPr>
                      </w:pPr>
                      <w:r>
                        <w:rPr>
                          <w:rFonts w:hint="eastAsia"/>
                          <w:b w:val="0"/>
                          <w:bCs/>
                          <w:sz w:val="18"/>
                          <w:szCs w:val="18"/>
                          <w:lang w:val="en-US" w:eastAsia="zh-CN"/>
                        </w:rPr>
                        <w:t>噪声评价范围</w:t>
                      </w:r>
                    </w:p>
                    <w:p w14:paraId="3498F271">
                      <w:pPr>
                        <w:pStyle w:val="38"/>
                        <w:spacing w:line="360" w:lineRule="auto"/>
                        <w:rPr>
                          <w:rFonts w:hint="default"/>
                          <w:lang w:val="en-US" w:eastAsia="zh-CN"/>
                        </w:rPr>
                      </w:pPr>
                      <w:r>
                        <w:rPr>
                          <w:rFonts w:hint="eastAsia"/>
                          <w:b w:val="0"/>
                          <w:bCs/>
                          <w:sz w:val="18"/>
                          <w:szCs w:val="18"/>
                          <w:lang w:val="en-US" w:eastAsia="zh-CN"/>
                        </w:rPr>
                        <w:t xml:space="preserve">        大气评价范围</w:t>
                      </w:r>
                    </w:p>
                  </w:txbxContent>
                </v:textbox>
              </v:shape>
            </w:pict>
          </mc:Fallback>
        </mc:AlternateContent>
      </w:r>
      <w:r>
        <w:rPr>
          <w:color w:val="auto"/>
          <w:sz w:val="24"/>
        </w:rPr>
        <w:drawing>
          <wp:inline distT="0" distB="0" distL="114300" distR="114300">
            <wp:extent cx="7978140" cy="5277485"/>
            <wp:effectExtent l="0" t="0" r="3810" b="18415"/>
            <wp:docPr id="49" name="图片 49" descr="环境保护目标示意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环境保护目标示意图"/>
                    <pic:cNvPicPr>
                      <a:picLocks noChangeAspect="1"/>
                    </pic:cNvPicPr>
                  </pic:nvPicPr>
                  <pic:blipFill>
                    <a:blip r:embed="rId35"/>
                    <a:stretch>
                      <a:fillRect/>
                    </a:stretch>
                  </pic:blipFill>
                  <pic:spPr>
                    <a:xfrm>
                      <a:off x="0" y="0"/>
                      <a:ext cx="7978140" cy="5277485"/>
                    </a:xfrm>
                    <a:prstGeom prst="rect">
                      <a:avLst/>
                    </a:prstGeom>
                  </pic:spPr>
                </pic:pic>
              </a:graphicData>
            </a:graphic>
          </wp:inline>
        </w:drawing>
      </w:r>
    </w:p>
    <w:p w14:paraId="496C2325">
      <w:pPr>
        <w:pStyle w:val="24"/>
        <w:ind w:left="0" w:leftChars="0" w:firstLine="0" w:firstLineChars="0"/>
        <w:jc w:val="both"/>
        <w:outlineLvl w:val="0"/>
        <w:rPr>
          <w:rFonts w:hint="eastAsia"/>
          <w:b/>
          <w:bCs/>
          <w:color w:val="auto"/>
          <w:sz w:val="24"/>
          <w:szCs w:val="24"/>
          <w:lang w:val="en-US" w:eastAsia="zh-CN"/>
        </w:rPr>
      </w:pPr>
      <w:bookmarkStart w:id="13" w:name="_Toc28564"/>
      <w:r>
        <w:rPr>
          <w:rFonts w:hint="eastAsia"/>
          <w:b/>
          <w:bCs/>
          <w:color w:val="auto"/>
          <w:sz w:val="24"/>
          <w:szCs w:val="24"/>
          <w:lang w:val="en-US" w:eastAsia="zh-CN"/>
        </w:rPr>
        <w:t>附图4 厂界四周照片</w:t>
      </w:r>
      <w:bookmarkEnd w:id="13"/>
    </w:p>
    <w:p w14:paraId="3D3FCB1C">
      <w:pPr>
        <w:rPr>
          <w:rFonts w:hint="eastAsia"/>
          <w:color w:val="auto"/>
          <w:lang w:val="en-US" w:eastAsia="zh-CN"/>
        </w:rPr>
      </w:pPr>
    </w:p>
    <w:tbl>
      <w:tblPr>
        <w:tblStyle w:val="31"/>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146"/>
        <w:gridCol w:w="4902"/>
      </w:tblGrid>
      <w:tr w14:paraId="3A3A1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6" w:type="dxa"/>
          </w:tcPr>
          <w:p w14:paraId="7765FF04">
            <w:pPr>
              <w:rPr>
                <w:rFonts w:hint="default"/>
                <w:color w:val="auto"/>
                <w:vertAlign w:val="baseline"/>
                <w:lang w:val="en-US" w:eastAsia="zh-CN"/>
              </w:rPr>
            </w:pPr>
            <w:r>
              <w:rPr>
                <w:rFonts w:hint="default"/>
                <w:color w:val="auto"/>
                <w:vertAlign w:val="baseline"/>
                <w:lang w:val="en-US" w:eastAsia="zh-CN"/>
              </w:rPr>
              <w:drawing>
                <wp:inline distT="0" distB="0" distL="114300" distR="114300">
                  <wp:extent cx="3124200" cy="2486025"/>
                  <wp:effectExtent l="0" t="0" r="0" b="9525"/>
                  <wp:docPr id="28" name="图片 28" descr="E:/姜雪/鸡西视频/铁城煤矿锅炉改建 东 耕地.jpg铁城煤矿锅炉改建 东 耕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E:/姜雪/鸡西视频/铁城煤矿锅炉改建 东 耕地.jpg铁城煤矿锅炉改建 东 耕地"/>
                          <pic:cNvPicPr>
                            <a:picLocks noChangeAspect="1"/>
                          </pic:cNvPicPr>
                        </pic:nvPicPr>
                        <pic:blipFill>
                          <a:blip r:embed="rId36"/>
                          <a:srcRect l="2886" r="2886"/>
                          <a:stretch>
                            <a:fillRect/>
                          </a:stretch>
                        </pic:blipFill>
                        <pic:spPr>
                          <a:xfrm>
                            <a:off x="0" y="0"/>
                            <a:ext cx="3124200" cy="2486025"/>
                          </a:xfrm>
                          <a:prstGeom prst="rect">
                            <a:avLst/>
                          </a:prstGeom>
                        </pic:spPr>
                      </pic:pic>
                    </a:graphicData>
                  </a:graphic>
                </wp:inline>
              </w:drawing>
            </w:r>
          </w:p>
        </w:tc>
        <w:tc>
          <w:tcPr>
            <w:tcW w:w="4902" w:type="dxa"/>
          </w:tcPr>
          <w:p w14:paraId="10F568D0">
            <w:pPr>
              <w:rPr>
                <w:rFonts w:hint="default"/>
                <w:color w:val="auto"/>
                <w:vertAlign w:val="baseline"/>
                <w:lang w:val="en-US" w:eastAsia="zh-CN"/>
              </w:rPr>
            </w:pPr>
            <w:r>
              <w:rPr>
                <w:rFonts w:hint="default"/>
                <w:color w:val="auto"/>
                <w:vertAlign w:val="baseline"/>
                <w:lang w:val="en-US" w:eastAsia="zh-CN"/>
              </w:rPr>
              <w:drawing>
                <wp:inline distT="0" distB="0" distL="114300" distR="114300">
                  <wp:extent cx="2974975" cy="2441575"/>
                  <wp:effectExtent l="0" t="0" r="15875" b="15875"/>
                  <wp:docPr id="20" name="图片 20" descr="E:/姜雪/鸡西视频/铁城煤矿锅炉改建 南 工业场地.jpg铁城煤矿锅炉改建 南 工业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E:/姜雪/鸡西视频/铁城煤矿锅炉改建 南 工业场地.jpg铁城煤矿锅炉改建 南 工业场地"/>
                          <pic:cNvPicPr>
                            <a:picLocks noChangeAspect="1"/>
                          </pic:cNvPicPr>
                        </pic:nvPicPr>
                        <pic:blipFill>
                          <a:blip r:embed="rId37"/>
                          <a:srcRect l="4317" r="4317"/>
                          <a:stretch>
                            <a:fillRect/>
                          </a:stretch>
                        </pic:blipFill>
                        <pic:spPr>
                          <a:xfrm>
                            <a:off x="0" y="0"/>
                            <a:ext cx="2974975" cy="2441575"/>
                          </a:xfrm>
                          <a:prstGeom prst="rect">
                            <a:avLst/>
                          </a:prstGeom>
                        </pic:spPr>
                      </pic:pic>
                    </a:graphicData>
                  </a:graphic>
                </wp:inline>
              </w:drawing>
            </w:r>
          </w:p>
        </w:tc>
      </w:tr>
      <w:tr w14:paraId="6CF819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6" w:type="dxa"/>
          </w:tcPr>
          <w:p w14:paraId="25D78286">
            <w:pPr>
              <w:jc w:val="center"/>
              <w:rPr>
                <w:rFonts w:hint="default"/>
                <w:color w:val="auto"/>
                <w:vertAlign w:val="baseline"/>
                <w:lang w:val="en-US" w:eastAsia="zh-CN"/>
              </w:rPr>
            </w:pPr>
            <w:r>
              <w:rPr>
                <w:rFonts w:hint="eastAsia"/>
                <w:color w:val="auto"/>
                <w:sz w:val="24"/>
                <w:szCs w:val="24"/>
                <w:lang w:eastAsia="zh-CN"/>
              </w:rPr>
              <w:t>东侧</w:t>
            </w:r>
          </w:p>
        </w:tc>
        <w:tc>
          <w:tcPr>
            <w:tcW w:w="4902" w:type="dxa"/>
          </w:tcPr>
          <w:p w14:paraId="6C638A9E">
            <w:pPr>
              <w:jc w:val="center"/>
              <w:rPr>
                <w:rFonts w:hint="default"/>
                <w:color w:val="auto"/>
                <w:vertAlign w:val="baseline"/>
                <w:lang w:val="en-US" w:eastAsia="zh-CN"/>
              </w:rPr>
            </w:pPr>
            <w:r>
              <w:rPr>
                <w:rFonts w:hint="eastAsia"/>
                <w:color w:val="auto"/>
                <w:sz w:val="24"/>
                <w:szCs w:val="24"/>
                <w:lang w:val="en-US" w:eastAsia="zh-CN"/>
              </w:rPr>
              <w:t>南侧</w:t>
            </w:r>
          </w:p>
        </w:tc>
      </w:tr>
      <w:tr w14:paraId="26445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146" w:type="dxa"/>
          </w:tcPr>
          <w:p w14:paraId="0BDF917C">
            <w:pPr>
              <w:rPr>
                <w:rFonts w:hint="default"/>
                <w:color w:val="auto"/>
                <w:vertAlign w:val="baseline"/>
                <w:lang w:val="en-US" w:eastAsia="zh-CN"/>
              </w:rPr>
            </w:pPr>
            <w:r>
              <w:rPr>
                <w:rFonts w:hint="default"/>
                <w:color w:val="auto"/>
                <w:vertAlign w:val="baseline"/>
                <w:lang w:val="en-US" w:eastAsia="zh-CN"/>
              </w:rPr>
              <w:drawing>
                <wp:inline distT="0" distB="0" distL="114300" distR="114300">
                  <wp:extent cx="3121025" cy="2245360"/>
                  <wp:effectExtent l="0" t="0" r="3175" b="2540"/>
                  <wp:docPr id="25" name="图片 25" descr="E:/姜雪/鸡西视频/铁城煤矿锅炉改建 西 工业场地.jpg铁城煤矿锅炉改建 西 工业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E:/姜雪/鸡西视频/铁城煤矿锅炉改建 西 工业场地.jpg铁城煤矿锅炉改建 西 工业场地"/>
                          <pic:cNvPicPr>
                            <a:picLocks noChangeAspect="1"/>
                          </pic:cNvPicPr>
                        </pic:nvPicPr>
                        <pic:blipFill>
                          <a:blip r:embed="rId38"/>
                          <a:srcRect t="2035" b="2035"/>
                          <a:stretch>
                            <a:fillRect/>
                          </a:stretch>
                        </pic:blipFill>
                        <pic:spPr>
                          <a:xfrm>
                            <a:off x="0" y="0"/>
                            <a:ext cx="3121025" cy="2245360"/>
                          </a:xfrm>
                          <a:prstGeom prst="rect">
                            <a:avLst/>
                          </a:prstGeom>
                        </pic:spPr>
                      </pic:pic>
                    </a:graphicData>
                  </a:graphic>
                </wp:inline>
              </w:drawing>
            </w:r>
          </w:p>
        </w:tc>
        <w:tc>
          <w:tcPr>
            <w:tcW w:w="4902" w:type="dxa"/>
          </w:tcPr>
          <w:p w14:paraId="27E3F329">
            <w:pPr>
              <w:rPr>
                <w:rFonts w:hint="default"/>
                <w:color w:val="auto"/>
                <w:vertAlign w:val="baseline"/>
                <w:lang w:val="en-US" w:eastAsia="zh-CN"/>
              </w:rPr>
            </w:pPr>
            <w:r>
              <w:rPr>
                <w:rFonts w:hint="default"/>
                <w:color w:val="auto"/>
                <w:vertAlign w:val="baseline"/>
                <w:lang w:val="en-US" w:eastAsia="zh-CN"/>
              </w:rPr>
              <w:drawing>
                <wp:inline distT="0" distB="0" distL="114300" distR="114300">
                  <wp:extent cx="2973705" cy="2231390"/>
                  <wp:effectExtent l="0" t="0" r="17145" b="16510"/>
                  <wp:docPr id="21" name="图片 21" descr="E:/姜雪/鸡西视频/铁城煤矿锅炉改建 北 工业场地.jpg铁城煤矿锅炉改建 北 工业场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E:/姜雪/鸡西视频/铁城煤矿锅炉改建 北 工业场地.jpg铁城煤矿锅炉改建 北 工业场地"/>
                          <pic:cNvPicPr>
                            <a:picLocks noChangeAspect="1"/>
                          </pic:cNvPicPr>
                        </pic:nvPicPr>
                        <pic:blipFill>
                          <a:blip r:embed="rId39"/>
                          <a:srcRect l="43" r="43"/>
                          <a:stretch>
                            <a:fillRect/>
                          </a:stretch>
                        </pic:blipFill>
                        <pic:spPr>
                          <a:xfrm>
                            <a:off x="0" y="0"/>
                            <a:ext cx="2973705" cy="2231390"/>
                          </a:xfrm>
                          <a:prstGeom prst="rect">
                            <a:avLst/>
                          </a:prstGeom>
                        </pic:spPr>
                      </pic:pic>
                    </a:graphicData>
                  </a:graphic>
                </wp:inline>
              </w:drawing>
            </w:r>
          </w:p>
        </w:tc>
      </w:tr>
      <w:tr w14:paraId="37C129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5146" w:type="dxa"/>
          </w:tcPr>
          <w:p w14:paraId="3ED5A59D">
            <w:pPr>
              <w:jc w:val="center"/>
              <w:rPr>
                <w:rFonts w:hint="default"/>
                <w:color w:val="auto"/>
                <w:vertAlign w:val="baseline"/>
                <w:lang w:val="en-US" w:eastAsia="zh-CN"/>
              </w:rPr>
            </w:pPr>
            <w:r>
              <w:rPr>
                <w:rFonts w:hint="eastAsia"/>
                <w:color w:val="auto"/>
                <w:sz w:val="24"/>
                <w:szCs w:val="24"/>
                <w:lang w:val="en-US" w:eastAsia="zh-CN"/>
              </w:rPr>
              <w:t>西侧</w:t>
            </w:r>
          </w:p>
        </w:tc>
        <w:tc>
          <w:tcPr>
            <w:tcW w:w="4902" w:type="dxa"/>
          </w:tcPr>
          <w:p w14:paraId="5C670C2B">
            <w:pPr>
              <w:jc w:val="center"/>
              <w:rPr>
                <w:rFonts w:hint="default"/>
                <w:color w:val="auto"/>
                <w:vertAlign w:val="baseline"/>
                <w:lang w:val="en-US" w:eastAsia="zh-CN"/>
              </w:rPr>
            </w:pPr>
            <w:r>
              <w:rPr>
                <w:rFonts w:hint="eastAsia"/>
                <w:color w:val="auto"/>
                <w:sz w:val="24"/>
                <w:szCs w:val="24"/>
                <w:lang w:val="en-US" w:eastAsia="zh-CN"/>
              </w:rPr>
              <w:t>北侧</w:t>
            </w:r>
          </w:p>
        </w:tc>
      </w:tr>
    </w:tbl>
    <w:p w14:paraId="60612FE8">
      <w:pPr>
        <w:rPr>
          <w:rFonts w:hint="default"/>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3E6504FD">
      <w:pPr>
        <w:pStyle w:val="12"/>
        <w:outlineLvl w:val="0"/>
        <w:rPr>
          <w:rFonts w:ascii="Times New Roman" w:hAnsi="Times New Roman" w:cs="Times New Roman"/>
          <w:b/>
          <w:bCs/>
          <w:color w:val="auto"/>
          <w:spacing w:val="0"/>
          <w:kern w:val="21"/>
          <w:sz w:val="24"/>
          <w:szCs w:val="24"/>
          <w:highlight w:val="none"/>
        </w:rPr>
      </w:pPr>
      <w:bookmarkStart w:id="14" w:name="_Toc18186"/>
      <w:r>
        <w:rPr>
          <w:rFonts w:hint="eastAsia" w:ascii="Times New Roman" w:hAnsi="Times New Roman" w:eastAsia="宋体" w:cs="Times New Roman"/>
          <w:b/>
          <w:bCs/>
          <w:color w:val="auto"/>
          <w:spacing w:val="0"/>
          <w:kern w:val="21"/>
          <w:sz w:val="24"/>
          <w:szCs w:val="24"/>
          <w:highlight w:val="none"/>
          <w:lang w:val="en-US" w:eastAsia="zh-CN"/>
        </w:rPr>
        <w:t>附图</w:t>
      </w:r>
      <w:r>
        <w:rPr>
          <w:rFonts w:hint="eastAsia" w:cs="Times New Roman"/>
          <w:b/>
          <w:bCs/>
          <w:color w:val="auto"/>
          <w:spacing w:val="0"/>
          <w:kern w:val="21"/>
          <w:sz w:val="24"/>
          <w:szCs w:val="24"/>
          <w:highlight w:val="none"/>
          <w:lang w:val="en-US" w:eastAsia="zh-CN"/>
        </w:rPr>
        <w:t>5</w:t>
      </w:r>
      <w:r>
        <w:rPr>
          <w:rFonts w:ascii="Times New Roman" w:hAnsi="Times New Roman" w:cs="Times New Roman"/>
          <w:b/>
          <w:bCs/>
          <w:color w:val="auto"/>
          <w:spacing w:val="0"/>
          <w:kern w:val="21"/>
          <w:sz w:val="24"/>
          <w:szCs w:val="24"/>
          <w:highlight w:val="none"/>
        </w:rPr>
        <w:t>昼间贡献值等值线图</w:t>
      </w:r>
      <w:bookmarkEnd w:id="14"/>
    </w:p>
    <w:p w14:paraId="1ACE5144">
      <w:pPr>
        <w:pStyle w:val="16"/>
        <w:widowControl w:val="0"/>
        <w:numPr>
          <w:ilvl w:val="0"/>
          <w:numId w:val="0"/>
        </w:numPr>
        <w:jc w:val="both"/>
        <w:rPr>
          <w:rFonts w:ascii="Times New Roman" w:hAnsi="Times New Roman" w:cs="Times New Roman"/>
          <w:color w:val="auto"/>
          <w:spacing w:val="0"/>
          <w:kern w:val="21"/>
          <w:sz w:val="24"/>
          <w:szCs w:val="24"/>
        </w:rPr>
      </w:pPr>
    </w:p>
    <w:p w14:paraId="246B166D">
      <w:pPr>
        <w:pStyle w:val="16"/>
        <w:widowControl w:val="0"/>
        <w:numPr>
          <w:ilvl w:val="0"/>
          <w:numId w:val="0"/>
        </w:numPr>
        <w:jc w:val="center"/>
        <w:rPr>
          <w:rFonts w:hint="eastAsia" w:ascii="Times New Roman" w:hAnsi="Times New Roman" w:eastAsia="宋体" w:cs="Times New Roman"/>
          <w:color w:val="auto"/>
          <w:spacing w:val="0"/>
          <w:kern w:val="21"/>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color w:val="auto"/>
          <w:spacing w:val="0"/>
          <w:kern w:val="21"/>
          <w:sz w:val="24"/>
          <w:szCs w:val="24"/>
          <w:lang w:val="en-US" w:eastAsia="zh-CN"/>
        </w:rPr>
        <w:drawing>
          <wp:inline distT="0" distB="0" distL="114300" distR="114300">
            <wp:extent cx="6524625" cy="4400550"/>
            <wp:effectExtent l="0" t="0" r="9525" b="0"/>
            <wp:docPr id="60" name="图片 60" descr="C:/Users/Administrator/Desktop/ScreenShot_2026-04-03_091332_654.pngScreenShot_2026-04-03_091332_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strator/Desktop/ScreenShot_2026-04-03_091332_654.pngScreenShot_2026-04-03_091332_654"/>
                    <pic:cNvPicPr>
                      <a:picLocks noChangeAspect="1"/>
                    </pic:cNvPicPr>
                  </pic:nvPicPr>
                  <pic:blipFill>
                    <a:blip r:embed="rId40"/>
                    <a:srcRect t="1387" b="1387"/>
                    <a:stretch>
                      <a:fillRect/>
                    </a:stretch>
                  </pic:blipFill>
                  <pic:spPr>
                    <a:xfrm>
                      <a:off x="0" y="0"/>
                      <a:ext cx="6524625" cy="4400550"/>
                    </a:xfrm>
                    <a:prstGeom prst="rect">
                      <a:avLst/>
                    </a:prstGeom>
                  </pic:spPr>
                </pic:pic>
              </a:graphicData>
            </a:graphic>
          </wp:inline>
        </w:drawing>
      </w:r>
    </w:p>
    <w:p w14:paraId="73BEE71B">
      <w:pPr>
        <w:pStyle w:val="16"/>
        <w:widowControl w:val="0"/>
        <w:numPr>
          <w:ilvl w:val="0"/>
          <w:numId w:val="0"/>
        </w:numPr>
        <w:jc w:val="both"/>
        <w:outlineLvl w:val="0"/>
        <w:rPr>
          <w:rFonts w:hint="eastAsia" w:ascii="Times New Roman" w:hAnsi="Times New Roman" w:cs="Times New Roman"/>
          <w:b/>
          <w:bCs/>
          <w:color w:val="auto"/>
          <w:spacing w:val="0"/>
          <w:kern w:val="21"/>
          <w:sz w:val="24"/>
          <w:szCs w:val="24"/>
          <w:highlight w:val="none"/>
          <w:lang w:val="en-US" w:eastAsia="zh-CN"/>
        </w:rPr>
      </w:pPr>
      <w:bookmarkStart w:id="15" w:name="_Toc20925"/>
      <w:r>
        <w:rPr>
          <w:rFonts w:hint="eastAsia" w:ascii="Times New Roman" w:hAnsi="Times New Roman" w:eastAsia="宋体" w:cs="Times New Roman"/>
          <w:b/>
          <w:bCs/>
          <w:color w:val="auto"/>
          <w:spacing w:val="0"/>
          <w:kern w:val="21"/>
          <w:sz w:val="24"/>
          <w:szCs w:val="24"/>
          <w:highlight w:val="none"/>
          <w:lang w:val="en-US" w:eastAsia="zh-CN"/>
        </w:rPr>
        <w:t>附图</w:t>
      </w:r>
      <w:r>
        <w:rPr>
          <w:rFonts w:hint="eastAsia" w:cs="Times New Roman"/>
          <w:b/>
          <w:bCs/>
          <w:color w:val="auto"/>
          <w:spacing w:val="0"/>
          <w:kern w:val="21"/>
          <w:sz w:val="24"/>
          <w:szCs w:val="24"/>
          <w:highlight w:val="none"/>
          <w:lang w:val="en-US" w:eastAsia="zh-CN"/>
        </w:rPr>
        <w:t>6</w:t>
      </w:r>
      <w:r>
        <w:rPr>
          <w:rFonts w:hint="eastAsia" w:ascii="Times New Roman" w:hAnsi="Times New Roman" w:cs="Times New Roman"/>
          <w:b/>
          <w:bCs/>
          <w:color w:val="auto"/>
          <w:spacing w:val="0"/>
          <w:kern w:val="21"/>
          <w:sz w:val="24"/>
          <w:szCs w:val="24"/>
          <w:highlight w:val="none"/>
          <w:lang w:val="en-US" w:eastAsia="zh-CN"/>
        </w:rPr>
        <w:t xml:space="preserve"> 平面布置图</w:t>
      </w:r>
      <w:bookmarkEnd w:id="15"/>
    </w:p>
    <w:p w14:paraId="5C6C459A">
      <w:pPr>
        <w:pStyle w:val="16"/>
        <w:widowControl w:val="0"/>
        <w:numPr>
          <w:ilvl w:val="0"/>
          <w:numId w:val="0"/>
        </w:numPr>
        <w:jc w:val="both"/>
        <w:rPr>
          <w:rFonts w:hint="eastAsia" w:ascii="Times New Roman" w:hAnsi="Times New Roman" w:cs="Times New Roman"/>
          <w:b/>
          <w:bCs/>
          <w:color w:val="auto"/>
          <w:spacing w:val="0"/>
          <w:kern w:val="21"/>
          <w:sz w:val="24"/>
          <w:szCs w:val="24"/>
          <w:highlight w:val="none"/>
          <w:lang w:val="en-US" w:eastAsia="zh-CN"/>
        </w:rPr>
      </w:pPr>
    </w:p>
    <w:p w14:paraId="515AFFDB">
      <w:pPr>
        <w:pStyle w:val="16"/>
        <w:widowControl w:val="0"/>
        <w:numPr>
          <w:ilvl w:val="0"/>
          <w:numId w:val="0"/>
        </w:numPr>
        <w:jc w:val="both"/>
        <w:rPr>
          <w:rFonts w:hint="eastAsia" w:ascii="Times New Roman" w:hAnsi="Times New Roman" w:cs="Times New Roman"/>
          <w:b/>
          <w:bCs/>
          <w:color w:val="auto"/>
          <w:spacing w:val="0"/>
          <w:kern w:val="21"/>
          <w:sz w:val="24"/>
          <w:szCs w:val="24"/>
          <w:highlight w:val="none"/>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682816" behindDoc="0" locked="0" layoutInCell="1" allowOverlap="1">
                <wp:simplePos x="0" y="0"/>
                <wp:positionH relativeFrom="column">
                  <wp:posOffset>3918585</wp:posOffset>
                </wp:positionH>
                <wp:positionV relativeFrom="paragraph">
                  <wp:posOffset>2713355</wp:posOffset>
                </wp:positionV>
                <wp:extent cx="1113790" cy="332740"/>
                <wp:effectExtent l="0" t="0" r="10160" b="10160"/>
                <wp:wrapNone/>
                <wp:docPr id="79" name="文本框 79"/>
                <wp:cNvGraphicFramePr/>
                <a:graphic xmlns:a="http://schemas.openxmlformats.org/drawingml/2006/main">
                  <a:graphicData uri="http://schemas.microsoft.com/office/word/2010/wordprocessingShape">
                    <wps:wsp>
                      <wps:cNvSpPr txBox="1"/>
                      <wps:spPr>
                        <a:xfrm>
                          <a:off x="5233670" y="4166235"/>
                          <a:ext cx="1113790" cy="3327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30A58EB">
                            <w:pPr>
                              <w:rPr>
                                <w:rFonts w:hint="eastAsia" w:eastAsia="宋体"/>
                                <w:sz w:val="20"/>
                                <w:szCs w:val="22"/>
                                <w:lang w:eastAsia="zh-CN"/>
                              </w:rPr>
                            </w:pPr>
                            <w:r>
                              <w:rPr>
                                <w:rFonts w:hint="eastAsia"/>
                                <w:sz w:val="20"/>
                                <w:szCs w:val="22"/>
                                <w:lang w:eastAsia="zh-CN"/>
                              </w:rPr>
                              <w:t>危险废物暂存间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8.55pt;margin-top:213.65pt;height:26.2pt;width:87.7pt;z-index:251682816;mso-width-relative:page;mso-height-relative:page;" filled="f" stroked="f" coordsize="21600,21600" o:gfxdata="UEsDBAoAAAAAAIdO4kAAAAAAAAAAAAAAAAAEAAAAZHJzL1BLAwQUAAAACACHTuJAcOKw0NwAAAAL&#10;AQAADwAAAGRycy9kb3ducmV2LnhtbE2Py07DMBBF90j8gzVI7KiTQOs2jVOhSBUSoouWbtg58TSJ&#10;6keI3Qd8PcMKljNzdOfcYnW1hp1xDL13EtJJAgxd43XvWgn79/XDHFiIymllvEMJXxhgVd7eFCrX&#10;/uK2eN7FllGIC7mS0MU45JyHpkOrwsQP6Oh28KNVkcax5XpUFwq3hmdJMuNW9Y4+dGrAqsPmuDtZ&#10;Ca/VeqO2dWbn36Z6eTs8D5/7j6mU93dpsgQW8Rr/YPjVJ3Uoyan2J6cDMxJmqUgJlfCUiUdgRIhF&#10;NgVW00YsBPCy4P87lD9QSwMEFAAAAAgAh07iQNxcmu1KAgAAdAQAAA4AAABkcnMvZTJvRG9jLnht&#10;bK1US27bMBDdF+gdCO4bWZY/jRE5cBOkKBA0AdKia5qiLAH8laQjpQdob5BVN933XDlHHyk7MdIu&#10;suiGGnKGb+a9GerktFeS3ArnW6NLmh+NKBGam6rVm5J+/nTx5i0lPjBdMWm0KOmd8PR0+frVSWcX&#10;YmwaIyvhCEC0X3S2pE0IdpFlnjdCMX9krNBw1sYpFrB1m6xyrAO6ktl4NJplnXGVdYYL73F6Pjjp&#10;DtG9BNDUdcvFueFbJXQYUJ2QLICSb1rr6TJVW9eCh6u69iIQWVIwDWlFEtjruGbLE7bYOGablu9K&#10;YC8p4RknxVqNpI9Q5ywwsnXtX1Cq5c54U4cjblQ2EEmKgEU+eqbNTcOsSFwgtbePovv/B8s/3l47&#10;0lYlnR9ToplCxx/ufzz8/P3w6zvBGQTqrF8g7sYiMvTvTI+x2Z97HEbefe1U/IIRgX86LorZHCLf&#10;lXSSz2bjYjpILfpAeATI82J+jACOiKIYzyepF9kTknU+vBdGkWiU1KGVSWF2e+kDqkLoPiQm1uai&#10;lTK1U2rSlXRWTEfpwqMHN6TGxchnqDtaoV/3O5JrU92BozPDmHjLL1okv2Q+XDOHuUC9eDnhCkst&#10;DZKYnUVJY9y3f53HeLQLXko6zFlJ/dctc4IS+UGjkcf5BNRJSJvJdD7Gxh161ocevVVnBqOc441a&#10;nswYH+TerJ1RX/DAVjErXExz5C5p2JtnYZh+PFAuVqsUhFG0LFzqG8sj9CDnahtM3Salo0yDNjv1&#10;MIypAbuHE6f9cJ+inn4Wy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w4rDQ3AAAAAsBAAAPAAAA&#10;AAAAAAEAIAAAACIAAABkcnMvZG93bnJldi54bWxQSwECFAAUAAAACACHTuJA3Fya7UoCAAB0BAAA&#10;DgAAAAAAAAABACAAAAArAQAAZHJzL2Uyb0RvYy54bWxQSwUGAAAAAAYABgBZAQAA5wUAAAAA&#10;">
                <v:fill on="f" focussize="0,0"/>
                <v:stroke on="f" weight="0.5pt"/>
                <v:imagedata o:title=""/>
                <o:lock v:ext="edit" aspectratio="f"/>
                <v:textbox>
                  <w:txbxContent>
                    <w:p w14:paraId="730A58EB">
                      <w:pPr>
                        <w:rPr>
                          <w:rFonts w:hint="eastAsia" w:eastAsia="宋体"/>
                          <w:sz w:val="20"/>
                          <w:szCs w:val="22"/>
                          <w:lang w:eastAsia="zh-CN"/>
                        </w:rPr>
                      </w:pPr>
                      <w:r>
                        <w:rPr>
                          <w:rFonts w:hint="eastAsia"/>
                          <w:sz w:val="20"/>
                          <w:szCs w:val="22"/>
                          <w:lang w:eastAsia="zh-CN"/>
                        </w:rPr>
                        <w:t>危险废物暂存间</w:t>
                      </w:r>
                    </w:p>
                  </w:txbxContent>
                </v:textbox>
              </v:shape>
            </w:pict>
          </mc:Fallback>
        </mc:AlternateContent>
      </w:r>
      <w:r>
        <w:rPr>
          <w:color w:val="auto"/>
          <w:sz w:val="24"/>
        </w:rPr>
        <mc:AlternateContent>
          <mc:Choice Requires="wps">
            <w:drawing>
              <wp:anchor distT="0" distB="0" distL="114300" distR="114300" simplePos="0" relativeHeight="251681792" behindDoc="0" locked="0" layoutInCell="1" allowOverlap="1">
                <wp:simplePos x="0" y="0"/>
                <wp:positionH relativeFrom="column">
                  <wp:posOffset>4051935</wp:posOffset>
                </wp:positionH>
                <wp:positionV relativeFrom="paragraph">
                  <wp:posOffset>2932430</wp:posOffset>
                </wp:positionV>
                <wp:extent cx="114300" cy="114300"/>
                <wp:effectExtent l="9525" t="9525" r="9525" b="9525"/>
                <wp:wrapNone/>
                <wp:docPr id="24" name="矩形 24"/>
                <wp:cNvGraphicFramePr/>
                <a:graphic xmlns:a="http://schemas.openxmlformats.org/drawingml/2006/main">
                  <a:graphicData uri="http://schemas.microsoft.com/office/word/2010/wordprocessingShape">
                    <wps:wsp>
                      <wps:cNvSpPr/>
                      <wps:spPr>
                        <a:xfrm>
                          <a:off x="5024120" y="4385310"/>
                          <a:ext cx="114300" cy="114300"/>
                        </a:xfrm>
                        <a:prstGeom prst="rect">
                          <a:avLst/>
                        </a:prstGeom>
                        <a:noFill/>
                        <a:ln w="190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19.05pt;margin-top:230.9pt;height:9pt;width:9pt;z-index:251681792;v-text-anchor:middle;mso-width-relative:page;mso-height-relative:page;" filled="f" stroked="t" coordsize="21600,21600" o:gfxdata="UEsDBAoAAAAAAIdO4kAAAAAAAAAAAAAAAAAEAAAAZHJzL1BLAwQUAAAACACHTuJA/+HaatkAAAAL&#10;AQAADwAAAGRycy9kb3ducmV2LnhtbE2Py07DMBBF90j8gzVI7KgTCiaEOBUPsUMVtN2wmyQmibDH&#10;Uey0Tb+eYQXLuXN0H8Xq6KzYmzH0njSkiwSEodo3PbUadtvXqwxEiEgNWk9Gw2wCrMrzswLzxh/o&#10;w+w3sRVsQiFHDV2MQy5lqDvjMCz8YIh/X350GPkcW9mMeGBzZ+V1kijpsCdO6HAwz52pvzeT0+Dw&#10;ZXl6r2aat9Xbzj59rtenx0nry4s0eQARzTH+wfBbn6tDyZ0qP1EThNWgllnKqIYblfIGJtStYqVi&#10;5e4+A1kW8v+G8gdQSwMEFAAAAAgAh07iQPkELm1lAgAAwQQAAA4AAABkcnMvZTJvRG9jLnhtbK1U&#10;zW4TMRC+I/EOlu90d5MNtFE3VdSoCKmilQLi7Hi92ZX8h+1kU14GiRsPweMgXoPP3m1TCoceyMEZ&#10;ez5/M/N5Zs8vDkqSvXC+M7qixUlOidDc1J3eVvTjh6tXp5T4wHTNpNGionfC04vFyxfnvZ2LiWmN&#10;rIUjINF+3tuKtiHYeZZ53grF/ImxQsPZGKdYwNZts9qxHuxKZpM8f531xtXWGS68x+lqcNKR0T2H&#10;0DRNx8XK8J0SOgysTkgWUJJvO+vpImXbNIKHm6bxIhBZUVQa0oogsDdxzRbnbL51zLYdH1Ngz0nh&#10;SU2KdRpBH6hWLDCyc91fVKrjznjThBNuVDYUkhRBFUX+RJt1y6xItUBqbx9E9/+Plr/f3zrS1RWd&#10;lJRopvDiv75+//njG8EB1OmtnwO0trdu3HmYsdRD41T8RxHkUNFZPimLCXS9q2g5PZ1Ni1FdcQiE&#10;A1AU5TSHnwMw2mDMjkTW+fBWGEWiUVGHx0uasv21DwP0HhLjanPVSYlzNpea9CA9y2eRn6ErG3QD&#10;TGVRmddbSpjcot15cInSG9nV8Xq87d12cykd2bPYJOkXK0dmf8Bi7BXz7YBLrhEmNdBRqEGaaG1M&#10;fQdhnRk6zlt+1eH+NfPhljm0GBLFEIYbLI00yN6MFiWtcV/+dR7xeHl4KenRsqjs8445QYl8p9ET&#10;Z0VZgjakTTl7Ex/DPfZsHnv0Tl0aFFxg3C1PZsQHeW82zqhPmNVljAoX0xyxBw3HzWUYRgnTzsVy&#10;mWDoa8vCtV5bHsmHl1rugmm69IhHdUbR0NlJ7HEK4+g83ifU8cuz+A1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DXBAAAW0NvbnRlbnRfVHlwZXNd&#10;LnhtbFBLAQIUAAoAAAAAAIdO4kAAAAAAAAAAAAAAAAAGAAAAAAAAAAAAEAAAALkDAABfcmVscy9Q&#10;SwECFAAUAAAACACHTuJAihRmPNEAAACUAQAACwAAAAAAAAABACAAAADdAwAAX3JlbHMvLnJlbHNQ&#10;SwECFAAKAAAAAACHTuJAAAAAAAAAAAAAAAAABAAAAAAAAAAAABAAAAAAAAAAZHJzL1BLAQIUABQA&#10;AAAIAIdO4kD/4dpq2QAAAAsBAAAPAAAAAAAAAAEAIAAAACIAAABkcnMvZG93bnJldi54bWxQSwEC&#10;FAAUAAAACACHTuJA+QQubWUCAADBBAAADgAAAAAAAAABACAAAAAoAQAAZHJzL2Uyb0RvYy54bWxQ&#10;SwUGAAAAAAYABgBZAQAA/wUAAAAA&#10;">
                <v:fill on="f" focussize="0,0"/>
                <v:stroke weight="1.5pt" color="#000000 [3213]" joinstyle="round"/>
                <v:imagedata o:title=""/>
                <o:lock v:ext="edit" aspectratio="f"/>
              </v:rect>
            </w:pict>
          </mc:Fallback>
        </mc:AlternateContent>
      </w:r>
      <w:r>
        <w:rPr>
          <w:color w:val="auto"/>
          <w:sz w:val="24"/>
        </w:rPr>
        <mc:AlternateContent>
          <mc:Choice Requires="wps">
            <w:drawing>
              <wp:anchor distT="0" distB="0" distL="114300" distR="114300" simplePos="0" relativeHeight="251679744" behindDoc="0" locked="0" layoutInCell="1" allowOverlap="1">
                <wp:simplePos x="0" y="0"/>
                <wp:positionH relativeFrom="column">
                  <wp:posOffset>3709670</wp:posOffset>
                </wp:positionH>
                <wp:positionV relativeFrom="paragraph">
                  <wp:posOffset>3118485</wp:posOffset>
                </wp:positionV>
                <wp:extent cx="76200" cy="76200"/>
                <wp:effectExtent l="6350" t="6350" r="12700" b="12700"/>
                <wp:wrapNone/>
                <wp:docPr id="69" name="同心圆 69"/>
                <wp:cNvGraphicFramePr/>
                <a:graphic xmlns:a="http://schemas.openxmlformats.org/drawingml/2006/main">
                  <a:graphicData uri="http://schemas.microsoft.com/office/word/2010/wordprocessingShape">
                    <wps:wsp>
                      <wps:cNvSpPr/>
                      <wps:spPr>
                        <a:xfrm>
                          <a:off x="4733925" y="4603115"/>
                          <a:ext cx="76200" cy="76200"/>
                        </a:xfrm>
                        <a:prstGeom prst="donut">
                          <a:avLst/>
                        </a:prstGeom>
                        <a:ln w="12700" cmpd="sng">
                          <a:solidFill>
                            <a:schemeClr val="tx1"/>
                          </a:solidFill>
                          <a:prstDash val="solid"/>
                        </a:ln>
                      </wps:spPr>
                      <wps:style>
                        <a:lnRef idx="2">
                          <a:prstClr val="black"/>
                        </a:lnRef>
                        <a:fillRef idx="0">
                          <a:srgbClr val="FFFFFF"/>
                        </a:fillRef>
                        <a:effectRef idx="0">
                          <a:srgbClr val="FFFFFF"/>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3" type="#_x0000_t23" style="position:absolute;left:0pt;margin-left:292.1pt;margin-top:245.55pt;height:6pt;width:6pt;z-index:251679744;v-text-anchor:middle;mso-width-relative:page;mso-height-relative:page;" filled="f" stroked="t" coordsize="21600,21600" o:gfxdata="UEsDBAoAAAAAAIdO4kAAAAAAAAAAAAAAAAAEAAAAZHJzL1BLAwQUAAAACACHTuJAbLbv9dgAAAAL&#10;AQAADwAAAGRycy9kb3ducmV2LnhtbE2Py07DMBBF90j8gzVI7Kid0kZNiFOhiiKxbOEDnHhwIvyI&#10;YrcN+XqGVbubx9GdM9V2cpadcYx98BKyhQCGvg2690bC1+f+aQMsJuW1ssGjhF+MsK3v7ypV6nDx&#10;Bzwfk2EU4mOpJHQpDSXnse3QqbgIA3rafYfRqUTtaLge1YXCneVLIXLuVO/pQqcG3HXY/hxPTsLr&#10;ZN4OqAr78T7nO9PMdm7NXsrHh0y8AEs4pSsM//qkDjU5NeHkdWRWwnqzWhIqYVVkGTAi1kVOk4YK&#10;8ZwBryt++0P9B1BLAwQUAAAACACHTuJAypltPWsCAADDBAAADgAAAGRycy9lMm9Eb2MueG1srVTN&#10;bhMxEL4j8Q6W73STNE1o1E0VNSpCqmikgjg7Xju7kv+wnWzKFYkThz4A78LT9D347N22oXDogRyc&#10;Gc/4G8/nb/bsfK8V2QkfGmtKOjwaUCIMt1VjNiX99PHyzVtKQmSmYsoaUdJbEej5/PWrs9bNxMjW&#10;VlXCE4CYMGtdSesY3awoAq+FZuHIOmEQlNZrFuH6TVF51gJdq2I0GEyK1vrKectFCNhddkHaI/qX&#10;AFopGy6Wlm+1MLFD9UKxiJZC3bhA5/m2Ugoer6UMIhJVUnQa84oisNdpLeZnbLbxzNUN76/AXnKF&#10;Zz1p1hgUfYRassjI1jd/QemGexusjEfc6qJrJDOCLoaDZ9zc1MyJ3AuoDu6R9PD/YPmH3cqTpirp&#10;5JQSwzRe/P7ux/2vb/c/vxPsgaDWhRnybtzK916AmbrdS6/TP/og+5KOp8fHp6MTSm5hTwbHw+FJ&#10;R7DYR8KRMJ1AAZRwxDsTeMUTjPMhvhNWk2SUtLJmGzOrbHcVYpf7kJPKGnvZKIV9NlOGtFDzaJrx&#10;GXQpoQeU0g69BbOhhKkNBM+jz5DBqqZKx9Pp4DfrC+XJjiWZ5F+6OK72R1qqvWSh7vJyqE9TBtmJ&#10;p46ZZK1tdQtqve00Fxy/bHD+ioW4Yh4iAxEYw3iNRSqL29veoqS2/uu/9lM+3h5RSlqIFp192TIv&#10;KFHvDVRxOhyPk8qzMz6ZjuD4w8j6MGK2+sKi4SEG3vFspvyoHkzprf6MaV2kqggxw1G747B3LmI3&#10;TJh3LhaLnAZlOxavzI3jCbx7qcU2WtnkR3xipycN2s5k93OYhufQz1lP3575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NwEAABbQ29udGVudF9U&#10;eXBlc10ueG1sUEsBAhQACgAAAAAAh07iQAAAAAAAAAAAAAAAAAYAAAAAAAAAAAAQAAAAvgMAAF9y&#10;ZWxzL1BLAQIUABQAAAAIAIdO4kCKFGY80QAAAJQBAAALAAAAAAAAAAEAIAAAAOIDAABfcmVscy8u&#10;cmVsc1BLAQIUAAoAAAAAAIdO4kAAAAAAAAAAAAAAAAAEAAAAAAAAAAAAEAAAAAAAAABkcnMvUEsB&#10;AhQAFAAAAAgAh07iQGy27/XYAAAACwEAAA8AAAAAAAAAAQAgAAAAIgAAAGRycy9kb3ducmV2Lnht&#10;bFBLAQIUABQAAAAIAIdO4kDKmW09awIAAMMEAAAOAAAAAAAAAAEAIAAAACcBAABkcnMvZTJvRG9j&#10;LnhtbFBLBQYAAAAABgAGAFkBAAAEBgAAAAA=&#10;" adj="5400">
                <v:fill on="f" focussize="0,0"/>
                <v:stroke weight="1pt" color="#000000 [3213]" joinstyle="round"/>
                <v:imagedata o:title=""/>
                <o:lock v:ext="edit" aspectratio="f"/>
              </v:shape>
            </w:pict>
          </mc:Fallback>
        </mc:AlternateContent>
      </w:r>
      <w:r>
        <w:rPr>
          <w:color w:val="auto"/>
          <w:sz w:val="24"/>
        </w:rPr>
        <mc:AlternateContent>
          <mc:Choice Requires="wps">
            <w:drawing>
              <wp:anchor distT="0" distB="0" distL="114300" distR="114300" simplePos="0" relativeHeight="251678720" behindDoc="0" locked="0" layoutInCell="1" allowOverlap="1">
                <wp:simplePos x="0" y="0"/>
                <wp:positionH relativeFrom="column">
                  <wp:posOffset>3523615</wp:posOffset>
                </wp:positionH>
                <wp:positionV relativeFrom="paragraph">
                  <wp:posOffset>3215005</wp:posOffset>
                </wp:positionV>
                <wp:extent cx="316230" cy="107950"/>
                <wp:effectExtent l="6350" t="6350" r="20320" b="19050"/>
                <wp:wrapNone/>
                <wp:docPr id="53" name="任意多边形 53"/>
                <wp:cNvGraphicFramePr/>
                <a:graphic xmlns:a="http://schemas.openxmlformats.org/drawingml/2006/main">
                  <a:graphicData uri="http://schemas.microsoft.com/office/word/2010/wordprocessingShape">
                    <wps:wsp>
                      <wps:cNvSpPr/>
                      <wps:spPr>
                        <a:xfrm>
                          <a:off x="4495800" y="4654550"/>
                          <a:ext cx="316230" cy="107950"/>
                        </a:xfrm>
                        <a:custGeom>
                          <a:avLst/>
                          <a:gdLst>
                            <a:gd name="connisteX0" fmla="*/ 0 w 316230"/>
                            <a:gd name="connsiteY0" fmla="*/ 47625 h 121285"/>
                            <a:gd name="connisteX1" fmla="*/ 13335 w 316230"/>
                            <a:gd name="connsiteY1" fmla="*/ 121285 h 121285"/>
                            <a:gd name="connisteX2" fmla="*/ 220980 w 316230"/>
                            <a:gd name="connsiteY2" fmla="*/ 82550 h 121285"/>
                            <a:gd name="connisteX3" fmla="*/ 316230 w 316230"/>
                            <a:gd name="connsiteY3" fmla="*/ 56515 h 121285"/>
                            <a:gd name="connisteX4" fmla="*/ 285750 w 316230"/>
                            <a:gd name="connsiteY4" fmla="*/ 0 h 121285"/>
                            <a:gd name="connisteX5" fmla="*/ 203835 w 316230"/>
                            <a:gd name="connsiteY5" fmla="*/ 29845 h 121285"/>
                            <a:gd name="connisteX6" fmla="*/ 186055 w 316230"/>
                            <a:gd name="connsiteY6" fmla="*/ 0 h 121285"/>
                            <a:gd name="connisteX7" fmla="*/ 0 w 316230"/>
                            <a:gd name="connsiteY7" fmla="*/ 47625 h 12128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Lst>
                          <a:rect l="l" t="t" r="r" b="b"/>
                          <a:pathLst>
                            <a:path w="316230" h="121285">
                              <a:moveTo>
                                <a:pt x="0" y="47625"/>
                              </a:moveTo>
                              <a:lnTo>
                                <a:pt x="13335" y="121285"/>
                              </a:lnTo>
                              <a:lnTo>
                                <a:pt x="220980" y="82550"/>
                              </a:lnTo>
                              <a:lnTo>
                                <a:pt x="316230" y="56515"/>
                              </a:lnTo>
                              <a:lnTo>
                                <a:pt x="285750" y="0"/>
                              </a:lnTo>
                              <a:lnTo>
                                <a:pt x="203835" y="29845"/>
                              </a:lnTo>
                              <a:lnTo>
                                <a:pt x="186055" y="0"/>
                              </a:lnTo>
                              <a:lnTo>
                                <a:pt x="0" y="47625"/>
                              </a:lnTo>
                              <a:close/>
                            </a:path>
                          </a:pathLst>
                        </a:custGeom>
                        <a:ln w="12700"/>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shape id="_x0000_s1026" o:spid="_x0000_s1026" o:spt="100" style="position:absolute;left:0pt;margin-left:277.45pt;margin-top:253.15pt;height:8.5pt;width:24.9pt;z-index:251678720;mso-width-relative:page;mso-height-relative:page;" filled="f" stroked="t" coordsize="316230,121285" o:gfxdata="UEsDBAoAAAAAAIdO4kAAAAAAAAAAAAAAAAAEAAAAZHJzL1BLAwQUAAAACACHTuJAFPOL3toAAAAL&#10;AQAADwAAAGRycy9kb3ducmV2LnhtbE2PPU/DMBCGdyT+g3VIbNRu0gYIcTogPoTEAC0DbE58JKHx&#10;OYqdtPx7jgm2+3j03nPF5uh6MeMYOk8algsFAqn2tqNGw9vu/uIKRIiGrOk9oYZvDLApT08Kk1t/&#10;oFect7ERHEIhNxraGIdcylC36ExY+AGJd59+dCZyOzbSjubA4a6XiVKZdKYjvtCaAW9brPfbyWl4&#10;+nrBSr0/7z728/hoH+6mmCBqfX62VDcgIh7jHwy/+qwOJTtVfiIbRK9hvV5dM8qFylIQTGRqdQmi&#10;4kmSpiDLQv7/ofwBUEsDBBQAAAAIAIdO4kDTg7jEawMAAJMKAAAOAAAAZHJzL2Uyb0RvYy54bWyt&#10;Vk1v0zAYviPxH6wckVg+2rRptXYHqnFBgLQhwdF1nCbCsSPba7s7d+4cEX8CTfBrGOJn8NpxWm8V&#10;SydxSZz4fd7vr9Ozbc3QmkpVCT4L4pMoQJQTkVd8NQveXZ4/zwKkNOY5ZoLTWXBNVXA2f/rkdNNM&#10;aSJKwXIqETDharppZkGpdTMNQ0VKWmN1IhrK4bIQssYaPuUqzCXeAPeahUkUjcKNkHkjBaFKwd9F&#10;exk4jvIYhqIoKkIXglzVlOuWq6QMazBJlVWjgrnVtigo0W+KQlGN2CwAS7V9ghA4L80znJ/i6Uri&#10;pqyIUwEfo8I9m2pccRC6Y7XAGqMrWR2wqisihRKFPiGiDltDrEfAiji655uLEjfU2gKuVs3O6er/&#10;sSWv128lqvJZkA4CxHENEf91c/P70+fbb1/+/Px+++Mrghtw06ZRU6C+aN5K96XgaGzeFrI2b7AG&#10;bWfBcDhJswgcfA3nUTpMU+dmutWIAMEgHiUDuCdAEEfjSXsf7hmRK6VfUmGZ4vUrpdso5XCyPs6d&#10;okRwXilN3wOzomYQuGchitAGOQkO5lGrStMPPvVwPEpSVKI4iZMsdelwwD/2+MeDwSDtlXEHYXn3&#10;Ckk8IUkSTbJ+S3xIloCje4VAkHeear3Ua4oPSUdp3O+uoScEvDoGvfpi4kP6rUh9AdEgOyIgdyCT&#10;bNhvxcgTEmejKO2Pug/pt2LsCej3kE99mLVQPauuPnDZlQzZclczcELYdPjItqlGKFOqfgFBMZpP&#10;VyFQOsASUKbgesCQ6z44NlV0NBhS2AcnjwJDavpg26eOlgwp54OHj5IM6eSDbec4WjKkiQ8ePUoy&#10;5IEPHvvgVgMXcgnDz4w9ZseeDhCMPWnH3tJg8LTB2mRKd0SbfWsuoTO3HdHc1mJNL4Wl0yZtXG83&#10;rdNJ31Mw7lPaZmkV3jdYULIj6t6NZds2PUttm5nj3RF175a4GyLgC9uUHiRum5DlbGfRv1WwzcQS&#10;JqZJPMi1bQpHcD30V2cLYULRtlxMNGzd7MJioulNQi7OK8Zs5Bg3wYqTsRmzBMMWVsD2A8e6gUmu&#10;+CpAmK1gvSNa2npXglW5gdsgSqVfMInWGLJjyTD56Mw8oFpgVbZk9mrnDdDTrAPtAmBOS5Ff273A&#10;/oddxVri9iqzDPnfFr3fJed/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N4FAABbQ29udGVudF9UeXBlc10ueG1sUEsBAhQACgAAAAAAh07iQAAA&#10;AAAAAAAAAAAAAAYAAAAAAAAAAAAQAAAAwAQAAF9yZWxzL1BLAQIUABQAAAAIAIdO4kCKFGY80QAA&#10;AJQBAAALAAAAAAAAAAEAIAAAAOQEAABfcmVscy8ucmVsc1BLAQIUAAoAAAAAAIdO4kAAAAAAAAAA&#10;AAAAAAAEAAAAAAAAAAAAEAAAAAAAAABkcnMvUEsBAhQAFAAAAAgAh07iQBTzi97aAAAACwEAAA8A&#10;AAAAAAAAAQAgAAAAIgAAAGRycy9kb3ducmV2LnhtbFBLAQIUABQAAAAIAIdO4kDTg7jEawMAAJMK&#10;AAAOAAAAAAAAAAEAIAAAACkBAABkcnMvZTJvRG9jLnhtbFBLBQYAAAAABgAGAFkBAAAGBwAAAAA=&#10;" path="m0,47625l13335,121285,220980,82550,316230,56515,285750,0,203835,29845,186055,0,0,47625xe">
                <v:path o:connectlocs="0,42388;13335,107950;220980,73473;316230,50301;285750,0;203835,26563;186055,0;0,42388" o:connectangles="0,0,0,0,0,0,0,0"/>
                <v:fill on="f" focussize="0,0"/>
                <v:stroke weight="1pt" color="#000000" joinstyle="round"/>
                <v:imagedata o:title=""/>
                <o:lock v:ext="edit" aspectratio="f"/>
              </v:shape>
            </w:pict>
          </mc:Fallback>
        </mc:AlternateContent>
      </w:r>
      <w:r>
        <w:rPr>
          <w:rFonts w:hint="eastAsia" w:ascii="Times New Roman" w:hAnsi="Times New Roman" w:cs="Times New Roman"/>
          <w:b/>
          <w:bCs/>
          <w:color w:val="auto"/>
          <w:spacing w:val="0"/>
          <w:kern w:val="21"/>
          <w:sz w:val="24"/>
          <w:szCs w:val="24"/>
          <w:highlight w:val="none"/>
          <w:lang w:val="en-US" w:eastAsia="zh-CN"/>
        </w:rPr>
        <w:drawing>
          <wp:inline distT="0" distB="0" distL="114300" distR="114300">
            <wp:extent cx="5615305" cy="6086475"/>
            <wp:effectExtent l="0" t="0" r="4445" b="9525"/>
            <wp:docPr id="46" name="图片 46" descr="C:/Users/Administrator/Desktop/铁城工业广场500图2025.jpg铁城工业广场500图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Desktop/铁城工业广场500图2025.jpg铁城工业广场500图2025"/>
                    <pic:cNvPicPr>
                      <a:picLocks noChangeAspect="1"/>
                    </pic:cNvPicPr>
                  </pic:nvPicPr>
                  <pic:blipFill>
                    <a:blip r:embed="rId41"/>
                    <a:srcRect t="356" b="356"/>
                    <a:stretch>
                      <a:fillRect/>
                    </a:stretch>
                  </pic:blipFill>
                  <pic:spPr>
                    <a:xfrm>
                      <a:off x="0" y="0"/>
                      <a:ext cx="5615305" cy="6086475"/>
                    </a:xfrm>
                    <a:prstGeom prst="rect">
                      <a:avLst/>
                    </a:prstGeom>
                  </pic:spPr>
                </pic:pic>
              </a:graphicData>
            </a:graphic>
          </wp:inline>
        </w:drawing>
      </w:r>
      <w:r>
        <w:rPr>
          <w:color w:val="auto"/>
          <w:sz w:val="24"/>
        </w:rPr>
        <mc:AlternateContent>
          <mc:Choice Requires="wps">
            <w:drawing>
              <wp:anchor distT="0" distB="0" distL="114300" distR="114300" simplePos="0" relativeHeight="251677696" behindDoc="0" locked="0" layoutInCell="1" allowOverlap="1">
                <wp:simplePos x="0" y="0"/>
                <wp:positionH relativeFrom="column">
                  <wp:posOffset>3907790</wp:posOffset>
                </wp:positionH>
                <wp:positionV relativeFrom="paragraph">
                  <wp:posOffset>2472055</wp:posOffset>
                </wp:positionV>
                <wp:extent cx="181610" cy="241935"/>
                <wp:effectExtent l="6350" t="6350" r="21590" b="18415"/>
                <wp:wrapNone/>
                <wp:docPr id="47" name="任意多边形 47"/>
                <wp:cNvGraphicFramePr/>
                <a:graphic xmlns:a="http://schemas.openxmlformats.org/drawingml/2006/main">
                  <a:graphicData uri="http://schemas.microsoft.com/office/word/2010/wordprocessingShape">
                    <wps:wsp>
                      <wps:cNvSpPr/>
                      <wps:spPr>
                        <a:xfrm>
                          <a:off x="4879975" y="3924935"/>
                          <a:ext cx="181610" cy="241935"/>
                        </a:xfrm>
                        <a:custGeom>
                          <a:avLst/>
                          <a:gdLst>
                            <a:gd name="connisteX0" fmla="*/ 112395 w 181610"/>
                            <a:gd name="connsiteY0" fmla="*/ 0 h 241935"/>
                            <a:gd name="connisteX1" fmla="*/ 0 w 181610"/>
                            <a:gd name="connsiteY1" fmla="*/ 34925 h 241935"/>
                            <a:gd name="connisteX2" fmla="*/ 69215 w 181610"/>
                            <a:gd name="connsiteY2" fmla="*/ 241935 h 241935"/>
                            <a:gd name="connisteX3" fmla="*/ 69215 w 181610"/>
                            <a:gd name="connsiteY3" fmla="*/ 241935 h 241935"/>
                            <a:gd name="connisteX4" fmla="*/ 181610 w 181610"/>
                            <a:gd name="connsiteY4" fmla="*/ 208280 h 241935"/>
                            <a:gd name="connisteX5" fmla="*/ 112395 w 181610"/>
                            <a:gd name="connsiteY5" fmla="*/ 0 h 241935"/>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181610" h="241935">
                              <a:moveTo>
                                <a:pt x="112395" y="0"/>
                              </a:moveTo>
                              <a:lnTo>
                                <a:pt x="0" y="34925"/>
                              </a:lnTo>
                              <a:lnTo>
                                <a:pt x="69215" y="241935"/>
                              </a:lnTo>
                              <a:lnTo>
                                <a:pt x="181610" y="208280"/>
                              </a:lnTo>
                              <a:lnTo>
                                <a:pt x="112395" y="0"/>
                              </a:lnTo>
                              <a:close/>
                            </a:path>
                          </a:pathLst>
                        </a:custGeom>
                        <a:ln w="12700"/>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shape id="_x0000_s1026" o:spid="_x0000_s1026" o:spt="100" style="position:absolute;left:0pt;margin-left:307.7pt;margin-top:194.65pt;height:19.05pt;width:14.3pt;z-index:251677696;mso-width-relative:page;mso-height-relative:page;" filled="f" stroked="t" coordsize="181610,241935" o:gfxdata="UEsDBAoAAAAAAIdO4kAAAAAAAAAAAAAAAAAEAAAAZHJzL1BLAwQUAAAACACHTuJAE23cYNoAAAAL&#10;AQAADwAAAGRycy9kb3ducmV2LnhtbE2PQU7DMBBF90jcwRokNhW105rQhjhdgIqQuqL0AE5skqj2&#10;OMRu096eYQXL0Tz9/365uXjHznaMfUAF2VwAs9gE02Or4PC5fVgBi0mj0S6gVXC1ETbV7U2pCxMm&#10;/LDnfWoZhWAstIIupaHgPDad9TrOw2CRfl9h9DrRObbcjHqicO/4Qoice90jNXR6sC+dbY77k6cS&#10;sZ2tr0dTz17d9HaImL5370ap+7tMPANL9pL+YPjVJ3WoyKkOJzSROQV59igJVbBcrZfAiMilpHW1&#10;Arl4ksCrkv/fUP0AUEsDBBQAAAAIAIdO4kBkLpQTGAMAANQIAAAOAAAAZHJzL2Uyb0RvYy54bWyt&#10;VstuEzEU3SPxD5aXSHQeSZqHmnRBVDYIkFokWDoeT2aEx7ZsN0n37NmzRPwEquBrKOIzuLZnEtMi&#10;kkhsZuzxPec+fe+cnW8ajlZMm1qKKc5OUoyYoLKoxXKK31xdPB1hZCwRBeFSsCm+YQafzx4/Olur&#10;CctlJXnBNAISYSZrNcWVtWqSJIZWrCHmRCom4LCUuiEWtnqZFJqsgb3hSZ6mp8la6kJpSZkx8HUe&#10;DnHLqA8hlGVZUzaX9LphwgZWzTix4JKpamXwzFtblozaV2VpmEV8isFT65+gBNYL90xmZ2Sy1ERV&#10;NW1NIIeYcM+nhtQClG6p5sQSdK3rB1RNTbU0srQnVDZJcMRHBLzI0nuxuayIYt4XCLVR26Cb/0dL&#10;X65ea1QXU9wfYiRIAxn/cXv788PHuy+ffn3/evftM4ITCNNamQlIX6rXut0ZWDqfN6Vu3Bu8QRsg&#10;Gg3H4+EAo5sp7o3z/rg3CGFmG4soCGSj7DSDBFAQyPtZe57siOi1sc+Z9KRk9cLYkKUCVj7GRWso&#10;lULUxrK3QFY2HBL3JEFZlvfGA7RGrZoWG0FMbdm7GJKiCu0MgSQ+UJBFCtK93LF0rz/OB3v584j/&#10;dJxn++2PEcH2vUp6RyuJEQcq6UdKQgb2hiuG5OkoH+3PB1TXsQmPIX8qgMpbdrVFqq7c6Ea09QYr&#10;RFx3TP0VV9K4Mo+LDwrZbdvCgooDSkC5Yt0DhlKJwZm7KQeDoQZicH4UGHIbg3tHgSFlMbh/FDi0&#10;hm3AfHfofA7vNvAa2rdr3Nw3bosRNG7tG/fCKSQTRazLV7dE611zqba9xZ02csWupJezLnmhSXgn&#10;/AwAtTsRLmJRaBTgqr/GrZfdefdWntJfWy+7ayVA2wl17yDctUBgDhX/T+q/WNvRUS4NCzXjguGL&#10;ZxsVF8yolQp5UXPuA8eFj1U+TF0fJjDGSxifsGwUjAIjlhgRvoT/A2q1L3ojeV04uI+hNvYZ12hF&#10;IDkLTuj71vwHUnNiqiDmj7Zegp1unoQJ4lYLWdz4weK/w7DznrSD2U3TeO/Ru5+R2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CLBQAAW0NvbnRl&#10;bnRfVHlwZXNdLnhtbFBLAQIUAAoAAAAAAIdO4kAAAAAAAAAAAAAAAAAGAAAAAAAAAAAAEAAAAG0E&#10;AABfcmVscy9QSwECFAAUAAAACACHTuJAihRmPNEAAACUAQAACwAAAAAAAAABACAAAACRBAAAX3Jl&#10;bHMvLnJlbHNQSwECFAAKAAAAAACHTuJAAAAAAAAAAAAAAAAABAAAAAAAAAAAABAAAAAAAAAAZHJz&#10;L1BLAQIUABQAAAAIAIdO4kATbdxg2gAAAAsBAAAPAAAAAAAAAAEAIAAAACIAAABkcnMvZG93bnJl&#10;di54bWxQSwECFAAUAAAACACHTuJAZC6UExgDAADUCAAADgAAAAAAAAABACAAAAApAQAAZHJzL2Uy&#10;b0RvYy54bWxQSwUGAAAAAAYABgBZAQAAswYAAAAA&#10;" path="m112395,0l0,34925,69215,241935,181610,208280,112395,0xe">
                <v:path o:connectlocs="112395,0;0,34925;69215,241935;69215,241935;181610,208280;112395,0" o:connectangles="0,0,0,0,0,0"/>
                <v:fill on="f" focussize="0,0"/>
                <v:stroke weight="1pt" color="#000000" joinstyle="round"/>
                <v:imagedata o:title=""/>
                <o:lock v:ext="edit" aspectratio="f"/>
              </v:shape>
            </w:pict>
          </mc:Fallback>
        </mc:AlternateContent>
      </w:r>
    </w:p>
    <w:p w14:paraId="155FFE3E">
      <w:pPr>
        <w:outlineLvl w:val="0"/>
        <w:rPr>
          <w:rFonts w:hint="eastAsia"/>
          <w:b/>
          <w:bCs/>
          <w:color w:val="auto"/>
          <w:sz w:val="24"/>
          <w:szCs w:val="24"/>
          <w:highlight w:val="none"/>
          <w:lang w:val="en-US" w:eastAsia="zh-CN"/>
        </w:rPr>
      </w:pPr>
      <w:bookmarkStart w:id="16" w:name="_Toc17426"/>
      <w:r>
        <w:rPr>
          <w:rFonts w:hint="eastAsia"/>
          <w:b/>
          <w:bCs/>
          <w:color w:val="auto"/>
          <w:sz w:val="24"/>
          <w:szCs w:val="24"/>
          <w:highlight w:val="none"/>
          <w:lang w:val="en-US" w:eastAsia="zh-CN"/>
        </w:rPr>
        <w:t>附图7监测点位示意图</w:t>
      </w:r>
      <w:bookmarkEnd w:id="16"/>
    </w:p>
    <w:p w14:paraId="00E3BE38">
      <w:pPr>
        <w:outlineLvl w:val="9"/>
        <w:rPr>
          <w:rFonts w:hint="eastAsia"/>
          <w:b/>
          <w:bCs/>
          <w:color w:val="auto"/>
          <w:sz w:val="24"/>
          <w:szCs w:val="24"/>
          <w:highlight w:val="red"/>
          <w:lang w:val="en-US" w:eastAsia="zh-CN"/>
        </w:rPr>
      </w:pPr>
      <w:r>
        <w:rPr>
          <w:b/>
        </w:rPr>
        <w:drawing>
          <wp:anchor distT="0" distB="0" distL="114300" distR="114300" simplePos="0" relativeHeight="251685888" behindDoc="0" locked="0" layoutInCell="1" allowOverlap="1">
            <wp:simplePos x="0" y="0"/>
            <wp:positionH relativeFrom="column">
              <wp:posOffset>6883400</wp:posOffset>
            </wp:positionH>
            <wp:positionV relativeFrom="paragraph">
              <wp:posOffset>161290</wp:posOffset>
            </wp:positionV>
            <wp:extent cx="734060" cy="680720"/>
            <wp:effectExtent l="0" t="0" r="8890" b="5080"/>
            <wp:wrapNone/>
            <wp:docPr id="38"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42"/>
                    <pic:cNvPicPr>
                      <a:picLocks noChangeAspect="1"/>
                    </pic:cNvPicPr>
                  </pic:nvPicPr>
                  <pic:blipFill>
                    <a:blip r:embed="rId32"/>
                    <a:stretch>
                      <a:fillRect/>
                    </a:stretch>
                  </pic:blipFill>
                  <pic:spPr>
                    <a:xfrm>
                      <a:off x="0" y="0"/>
                      <a:ext cx="734060" cy="680720"/>
                    </a:xfrm>
                    <a:prstGeom prst="rect">
                      <a:avLst/>
                    </a:prstGeom>
                    <a:noFill/>
                    <a:ln>
                      <a:noFill/>
                    </a:ln>
                  </pic:spPr>
                </pic:pic>
              </a:graphicData>
            </a:graphic>
          </wp:anchor>
        </w:drawing>
      </w:r>
    </w:p>
    <w:p w14:paraId="1DEE55A4">
      <w:pPr>
        <w:pStyle w:val="41"/>
        <w:rPr>
          <w:rFonts w:hint="eastAsia" w:eastAsia="宋体"/>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color w:val="auto"/>
          <w:sz w:val="24"/>
        </w:rPr>
        <mc:AlternateContent>
          <mc:Choice Requires="wps">
            <w:drawing>
              <wp:anchor distT="0" distB="0" distL="114300" distR="114300" simplePos="0" relativeHeight="251664384" behindDoc="0" locked="0" layoutInCell="1" allowOverlap="1">
                <wp:simplePos x="0" y="0"/>
                <wp:positionH relativeFrom="column">
                  <wp:posOffset>87630</wp:posOffset>
                </wp:positionH>
                <wp:positionV relativeFrom="paragraph">
                  <wp:posOffset>4346575</wp:posOffset>
                </wp:positionV>
                <wp:extent cx="161925" cy="85725"/>
                <wp:effectExtent l="4445" t="4445" r="5080" b="5080"/>
                <wp:wrapNone/>
                <wp:docPr id="40" name="文本框 40"/>
                <wp:cNvGraphicFramePr/>
                <a:graphic xmlns:a="http://schemas.openxmlformats.org/drawingml/2006/main">
                  <a:graphicData uri="http://schemas.microsoft.com/office/word/2010/wordprocessingShape">
                    <wps:wsp>
                      <wps:cNvSpPr txBox="1"/>
                      <wps:spPr>
                        <a:xfrm>
                          <a:off x="1158875" y="5647055"/>
                          <a:ext cx="161925" cy="85725"/>
                        </a:xfrm>
                        <a:prstGeom prst="rect">
                          <a:avLst/>
                        </a:prstGeom>
                        <a:solidFill>
                          <a:schemeClr val="lt1"/>
                        </a:solidFill>
                        <a:ln w="6350">
                          <a:gradFill>
                            <a:gsLst>
                              <a:gs pos="0">
                                <a:srgbClr val="FE4444"/>
                              </a:gs>
                              <a:gs pos="100000">
                                <a:srgbClr val="832B2B"/>
                              </a:gs>
                            </a:gsLst>
                          </a:gradFill>
                        </a:ln>
                      </wps:spPr>
                      <wps:style>
                        <a:lnRef idx="0">
                          <a:schemeClr val="accent1"/>
                        </a:lnRef>
                        <a:fillRef idx="0">
                          <a:schemeClr val="accent1"/>
                        </a:fillRef>
                        <a:effectRef idx="0">
                          <a:schemeClr val="accent1"/>
                        </a:effectRef>
                        <a:fontRef idx="minor">
                          <a:schemeClr val="dk1"/>
                        </a:fontRef>
                      </wps:style>
                      <wps:txbx>
                        <w:txbxContent>
                          <w:p w14:paraId="26597823"/>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9pt;margin-top:342.25pt;height:6.75pt;width:12.75pt;z-index:251664384;mso-width-relative:page;mso-height-relative:page;" fillcolor="#FFFFFF [3201]" filled="t" stroked="t" coordsize="21600,21600" o:gfxdata="UEsDBAoAAAAAAIdO4kAAAAAAAAAAAAAAAAAEAAAAZHJzL1BLAwQUAAAACACHTuJAX5UHAdUAAAAJ&#10;AQAADwAAAGRycy9kb3ducmV2LnhtbE2PwU7DMBBE70j8g7VI3KjdGqI0xKkEEhLiRsmFmxtvk4h4&#10;HdluU/6e5QTH2RnNvK13Fz+JM8Y0BjKwXikQSF1wI/UG2o+XuxJEypacnQKhgW9MsGuur2pbubDQ&#10;O573uRdcQqmyBoac50rK1A3obVqFGYm9Y4jeZpaxly7ahcv9JDdKFdLbkXhhsDM+D9h97U/ewGvx&#10;lD+xdW9Ob3RYWtnF45SMub1Zq0cQGS/5Lwy/+IwODTMdwolcEhNrzeTZQFHeP4DggN5qEAc+bEsF&#10;sqnl/w+aH1BLAwQUAAAACACHTuJA68td4YgCAAAdBQAADgAAAGRycy9lMm9Eb2MueG1srVRLbtsw&#10;EN0X6B0I7htJjuU4huXASeqiQNAESIuuaYr6ABSHJWlL6QHaG3TVTfc9V87RISU7dtpFFtVCGnKe&#10;3nDezHB+0TWSbIWxNaiMJicxJUJxyGtVZvTTx9WbKSXWMZUzCUpk9EFYerF4/Wre6pkYQQUyF4Yg&#10;ibKzVme0ck7PosjySjTMnoAWCp0FmIY5XJoyyg1rkb2R0SiOJ1ELJtcGuLAWd697Jx0YzUsIoShq&#10;Lq6BbxqhXM9qhGQOU7JVrS1dhNMWheDutiiscERmFDN14Y1B0F77d7SYs1lpmK5qPhyBveQIz3Jq&#10;WK0w6J7qmjlGNqb+i6qpuQELhTvh0ER9IkERzCKJn2lzXzEtQi4otdV70e3/o+UftneG1HlGxyiJ&#10;Yg1W/PHH98efvx9/fSO4hwK12s4Qd68R6bpL6LBtdvsWN33eXWEa/8WMiPcn6XR6llLykNF0Mj6L&#10;07SXWnSOcA+YJOcj9HMETNMzNDFQ9MSjjXXvBDTEGxk1WMigL9veWNdDdxAf1oKs81UtZViYcn0l&#10;DdkyLPoqPAP7EUwq0mZ0cprGu8rtGUqLUTxVaYkGlLuH2CPit2N8BuLSHqKT2D+B9eiX6enocnR5&#10;8AsmPITylmHDAXAhFcrhhe8F9pbr1t1QjTXkD1gMA30/W81XNep0w6y7YwYbGGuJI+5u8VVIwDRh&#10;sCipwHz9177HY1+hl5IWByKj9suGGUGJfK9QgvNk7FvEhcUYS4YLc+hZH3rUprkClD/By0TzYHq8&#10;kzuzMNB8xptg6aOiiymOsTPqduaV68cUbxIulssAwpnRzN2oe809tddcwXLjoKhDU3iZem0G9XBq&#10;QlsNE+7H8nAdUE+32u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9gQAAFtDb250ZW50X1R5cGVzXS54bWxQSwECFAAKAAAAAACHTuJAAAAAAAAA&#10;AAAAAAAABgAAAAAAAAAAABAAAADYAwAAX3JlbHMvUEsBAhQAFAAAAAgAh07iQIoUZjzRAAAAlAEA&#10;AAsAAAAAAAAAAQAgAAAA/AMAAF9yZWxzLy5yZWxzUEsBAhQACgAAAAAAh07iQAAAAAAAAAAAAAAA&#10;AAQAAAAAAAAAAAAQAAAAAAAAAGRycy9QSwECFAAUAAAACACHTuJAX5UHAdUAAAAJAQAADwAAAAAA&#10;AAABACAAAAAiAAAAZHJzL2Rvd25yZXYueG1sUEsBAhQAFAAAAAgAh07iQOvLXeGIAgAAHQUAAA4A&#10;AAAAAAAAAQAgAAAAJAEAAGRycy9lMm9Eb2MueG1sUEsFBgAAAAAGAAYAWQEAAB4GAAAAAA==&#10;">
                <v:fill on="t" focussize="0,0"/>
                <v:stroke weight="0.5pt" color="#000000" joinstyle="round"/>
                <v:imagedata o:title=""/>
                <o:lock v:ext="edit" aspectratio="f"/>
                <v:textbox>
                  <w:txbxContent>
                    <w:p w14:paraId="26597823"/>
                  </w:txbxContent>
                </v:textbox>
              </v:shape>
            </w:pict>
          </mc:Fallback>
        </mc:AlternateContent>
      </w:r>
      <w:r>
        <w:rPr>
          <w:color w:val="auto"/>
          <w:sz w:val="24"/>
        </w:rPr>
        <mc:AlternateContent>
          <mc:Choice Requires="wps">
            <w:drawing>
              <wp:anchor distT="0" distB="0" distL="114300" distR="114300" simplePos="0" relativeHeight="251663360" behindDoc="0" locked="0" layoutInCell="1" allowOverlap="1">
                <wp:simplePos x="0" y="0"/>
                <wp:positionH relativeFrom="column">
                  <wp:posOffset>15875</wp:posOffset>
                </wp:positionH>
                <wp:positionV relativeFrom="paragraph">
                  <wp:posOffset>4060190</wp:posOffset>
                </wp:positionV>
                <wp:extent cx="1081405" cy="971550"/>
                <wp:effectExtent l="4445" t="4445" r="19050" b="14605"/>
                <wp:wrapNone/>
                <wp:docPr id="39" name="文本框 39"/>
                <wp:cNvGraphicFramePr/>
                <a:graphic xmlns:a="http://schemas.openxmlformats.org/drawingml/2006/main">
                  <a:graphicData uri="http://schemas.microsoft.com/office/word/2010/wordprocessingShape">
                    <wps:wsp>
                      <wps:cNvSpPr txBox="1"/>
                      <wps:spPr>
                        <a:xfrm>
                          <a:off x="1085850" y="5530215"/>
                          <a:ext cx="1081405" cy="97155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A8154AA">
                            <w:pPr>
                              <w:spacing w:line="360" w:lineRule="auto"/>
                              <w:ind w:firstLine="360" w:firstLineChars="200"/>
                              <w:rPr>
                                <w:rFonts w:hint="eastAsia"/>
                                <w:sz w:val="18"/>
                                <w:szCs w:val="18"/>
                                <w:lang w:eastAsia="zh-CN"/>
                              </w:rPr>
                            </w:pPr>
                            <w:r>
                              <w:rPr>
                                <w:rFonts w:hint="eastAsia"/>
                                <w:sz w:val="18"/>
                                <w:szCs w:val="18"/>
                                <w:lang w:eastAsia="zh-CN"/>
                              </w:rPr>
                              <w:t>图例</w:t>
                            </w:r>
                          </w:p>
                          <w:p w14:paraId="0078C891">
                            <w:pPr>
                              <w:pStyle w:val="41"/>
                              <w:spacing w:line="240" w:lineRule="auto"/>
                              <w:ind w:firstLine="360"/>
                              <w:rPr>
                                <w:rFonts w:hint="eastAsia"/>
                                <w:sz w:val="15"/>
                                <w:szCs w:val="15"/>
                                <w:lang w:val="en-US" w:eastAsia="zh-CN"/>
                              </w:rPr>
                            </w:pPr>
                            <w:r>
                              <w:rPr>
                                <w:rFonts w:hint="eastAsia"/>
                                <w:sz w:val="15"/>
                                <w:szCs w:val="15"/>
                                <w:lang w:val="en-US" w:eastAsia="zh-CN"/>
                              </w:rPr>
                              <w:t>厂界四周</w:t>
                            </w:r>
                          </w:p>
                          <w:p w14:paraId="0D45394D">
                            <w:pPr>
                              <w:pStyle w:val="41"/>
                              <w:spacing w:line="240" w:lineRule="auto"/>
                              <w:rPr>
                                <w:rFonts w:hint="eastAsia"/>
                                <w:sz w:val="15"/>
                                <w:szCs w:val="15"/>
                                <w:lang w:val="en-US" w:eastAsia="zh-CN"/>
                              </w:rPr>
                            </w:pPr>
                            <w:r>
                              <w:rPr>
                                <w:rFonts w:hint="eastAsia"/>
                                <w:sz w:val="15"/>
                                <w:szCs w:val="15"/>
                                <w:lang w:val="en-US" w:eastAsia="zh-CN"/>
                              </w:rPr>
                              <w:drawing>
                                <wp:inline distT="0" distB="0" distL="114300" distR="114300">
                                  <wp:extent cx="96520" cy="134620"/>
                                  <wp:effectExtent l="0" t="0" r="17780" b="17780"/>
                                  <wp:docPr id="42" name="图片 42" descr="红色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红色点位"/>
                                          <pic:cNvPicPr>
                                            <a:picLocks noChangeAspect="1"/>
                                          </pic:cNvPicPr>
                                        </pic:nvPicPr>
                                        <pic:blipFill>
                                          <a:blip r:embed="rId33"/>
                                          <a:stretch>
                                            <a:fillRect/>
                                          </a:stretch>
                                        </pic:blipFill>
                                        <pic:spPr>
                                          <a:xfrm>
                                            <a:off x="0" y="0"/>
                                            <a:ext cx="96520" cy="134620"/>
                                          </a:xfrm>
                                          <a:prstGeom prst="rect">
                                            <a:avLst/>
                                          </a:prstGeom>
                                        </pic:spPr>
                                      </pic:pic>
                                    </a:graphicData>
                                  </a:graphic>
                                </wp:inline>
                              </w:drawing>
                            </w:r>
                            <w:r>
                              <w:rPr>
                                <w:rFonts w:hint="eastAsia"/>
                                <w:sz w:val="15"/>
                                <w:szCs w:val="15"/>
                                <w:lang w:val="en-US" w:eastAsia="zh-CN"/>
                              </w:rPr>
                              <w:t xml:space="preserve">  噪声监测点位</w:t>
                            </w:r>
                          </w:p>
                          <w:p w14:paraId="5CB2C586">
                            <w:pPr>
                              <w:pStyle w:val="41"/>
                              <w:spacing w:line="240" w:lineRule="auto"/>
                              <w:rPr>
                                <w:rFonts w:hint="default"/>
                                <w:sz w:val="15"/>
                                <w:szCs w:val="15"/>
                                <w:lang w:val="en-US" w:eastAsia="zh-CN"/>
                              </w:rPr>
                            </w:pPr>
                            <w:r>
                              <w:rPr>
                                <w:rFonts w:hint="eastAsia" w:ascii="宋体" w:hAnsi="宋体" w:eastAsia="宋体" w:cs="宋体"/>
                                <w:sz w:val="28"/>
                                <w:szCs w:val="28"/>
                                <w:lang w:val="en-US" w:eastAsia="zh-CN"/>
                              </w:rPr>
                              <w:drawing>
                                <wp:inline distT="0" distB="0" distL="114300" distR="114300">
                                  <wp:extent cx="90805" cy="134620"/>
                                  <wp:effectExtent l="0" t="0" r="4445" b="17780"/>
                                  <wp:docPr id="32" name="图片 32" descr="39e6434950160d078d0b9c9f080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39e6434950160d078d0b9c9f0807045"/>
                                          <pic:cNvPicPr>
                                            <a:picLocks noChangeAspect="1"/>
                                          </pic:cNvPicPr>
                                        </pic:nvPicPr>
                                        <pic:blipFill>
                                          <a:blip r:embed="rId42">
                                            <a:clrChange>
                                              <a:clrFrom>
                                                <a:srgbClr val="4E76F4">
                                                  <a:alpha val="100000"/>
                                                </a:srgbClr>
                                              </a:clrFrom>
                                              <a:clrTo>
                                                <a:srgbClr val="4E76F4">
                                                  <a:alpha val="100000"/>
                                                  <a:alpha val="0"/>
                                                </a:srgbClr>
                                              </a:clrTo>
                                            </a:clrChange>
                                          </a:blip>
                                          <a:stretch>
                                            <a:fillRect/>
                                          </a:stretch>
                                        </pic:blipFill>
                                        <pic:spPr>
                                          <a:xfrm>
                                            <a:off x="0" y="0"/>
                                            <a:ext cx="90805" cy="134620"/>
                                          </a:xfrm>
                                          <a:prstGeom prst="rect">
                                            <a:avLst/>
                                          </a:prstGeom>
                                        </pic:spPr>
                                      </pic:pic>
                                    </a:graphicData>
                                  </a:graphic>
                                </wp:inline>
                              </w:drawing>
                            </w:r>
                            <w:r>
                              <w:rPr>
                                <w:rFonts w:hint="eastAsia" w:ascii="宋体" w:hAnsi="宋体" w:eastAsia="宋体" w:cs="宋体"/>
                                <w:sz w:val="28"/>
                                <w:szCs w:val="28"/>
                                <w:lang w:val="en-US" w:eastAsia="zh-CN"/>
                              </w:rPr>
                              <w:t xml:space="preserve"> </w:t>
                            </w:r>
                            <w:r>
                              <w:rPr>
                                <w:rFonts w:hint="eastAsia" w:ascii="Times New Roman" w:hAnsi="Times New Roman" w:eastAsia="宋体" w:cs="Times New Roman"/>
                                <w:sz w:val="15"/>
                                <w:szCs w:val="15"/>
                                <w:lang w:val="en-US" w:eastAsia="zh-CN"/>
                              </w:rPr>
                              <w:t>大气监测点位</w:t>
                            </w:r>
                          </w:p>
                          <w:p w14:paraId="5957444B">
                            <w:pPr>
                              <w:pStyle w:val="41"/>
                              <w:spacing w:line="360" w:lineRule="auto"/>
                              <w:ind w:firstLine="360"/>
                              <w:rPr>
                                <w:rFonts w:hint="default"/>
                                <w:sz w:val="15"/>
                                <w:szCs w:val="15"/>
                                <w:lang w:val="en-US" w:eastAsia="zh-CN"/>
                              </w:rP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5pt;margin-top:319.7pt;height:76.5pt;width:85.15pt;z-index:251663360;mso-width-relative:page;mso-height-relative:page;" fillcolor="#FFFFFF [3201]" filled="t" stroked="t" coordsize="21600,21600" o:gfxdata="UEsDBAoAAAAAAIdO4kAAAAAAAAAAAAAAAAAEAAAAZHJzL1BLAwQUAAAACACHTuJA6qxWndYAAAAJ&#10;AQAADwAAAGRycy9kb3ducmV2LnhtbE2PwU7DMBBE70j8g7VI3KjTpKQ0ZFMJJCTEjTYXbm68TSLs&#10;dWS7Tfl73BMcRzOaeVNvL9aIM/kwOkZYLjIQxJ3TI/cI7f7t4QlEiIq1Mo4J4YcCbJvbm1pV2s38&#10;Sedd7EUq4VAphCHGqZIydANZFRZuIk7e0XmrYpK+l9qrOZVbI/MsK6VVI6eFQU30OlD3vTtZhPfy&#10;JX5Rqz90kRdubmXnjyYg3t8ts2cQkS7xLwxX/IQOTWI6uBPrIAxC/piCCGWxWYG4+us8XTkgrDf5&#10;CmRTy/8Pml9QSwMEFAAAAAgAh07iQENLA2NiAgAAxQQAAA4AAABkcnMvZTJvRG9jLnhtbK1UzW7b&#10;MAy+D9g7CLqvttO4P0GdImuRYUCxFuiGnRVZjoVJoiYpsbsHWN9gp11233P1OUbJTtu1O/SwHBRK&#10;/PCR/Ej65LTXimyF8xJMRYu9nBJhONTSrCv66ePyzRElPjBTMwVGVPRGeHo6f/3qpLMzMYEWVC0c&#10;QRLjZ52taBuCnWWZ563QzO+BFQadDTjNAl7dOqsd65Bdq2yS5wdZB662DrjwHl/PBycdGd1LCKFp&#10;JBfnwDdamDCwOqFYwJJ8K62n85Rt0wgeLpvGi0BURbHSkE4MgvYqntn8hM3WjtlW8jEF9pIUntSk&#10;mTQY9J7qnAVGNk4+o9KSO/DQhD0OOhsKSYpgFUX+RJvrllmRakGpvb0X3f8/Wv5he+WIrCu6f0yJ&#10;YRo7fvfj9u7n77tf3wm+oUCd9TPEXVtEhv4t9Dg2u3ePj7HuvnE6/mNFJPrzo/KoRJFvKlqW+/mk&#10;KAepRR8IHwDFNC8p4Yg4PixKBGOo7IHJOh/eCdAkGhV12MqkMNte+DBAd5AY2IOS9VIqlS5uvTpT&#10;jmwZtn2ZfiP7XzBlSFfRg32M/Ywict9TrBTjX54zYLbKYNJRoEGIaIV+1Y+qraC+QdEcDHPnLV9K&#10;5L1gPlwxh4OGCuEqhks8GgWYDIwWJS24b/96j3jsP3op6XBwK+q/bpgTlKj3BifjuJhO46Sny7Q8&#10;nODFPfasHnvMRp8BilTg0luezIgPamc2DvRn3NhFjIouZjjGrmjYmWdhWCfceC4WiwTC2bYsXJhr&#10;yyN1FNfAYhOgkal1UaZBm1E9nO7U/HET4/o8vifUw9dn/gd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qrFad1gAAAAkBAAAPAAAAAAAAAAEAIAAAACIAAABkcnMvZG93bnJldi54bWxQSwECFAAUAAAA&#10;CACHTuJAQ0sDY2ICAADFBAAADgAAAAAAAAABACAAAAAlAQAAZHJzL2Uyb0RvYy54bWxQSwUGAAAA&#10;AAYABgBZAQAA+QUAAAAA&#10;">
                <v:fill on="t" focussize="0,0"/>
                <v:stroke weight="0.5pt" color="#000000 [3204]" joinstyle="round"/>
                <v:imagedata o:title=""/>
                <o:lock v:ext="edit" aspectratio="f"/>
                <v:textbox>
                  <w:txbxContent>
                    <w:p w14:paraId="3A8154AA">
                      <w:pPr>
                        <w:spacing w:line="360" w:lineRule="auto"/>
                        <w:ind w:firstLine="360" w:firstLineChars="200"/>
                        <w:rPr>
                          <w:rFonts w:hint="eastAsia"/>
                          <w:sz w:val="18"/>
                          <w:szCs w:val="18"/>
                          <w:lang w:eastAsia="zh-CN"/>
                        </w:rPr>
                      </w:pPr>
                      <w:r>
                        <w:rPr>
                          <w:rFonts w:hint="eastAsia"/>
                          <w:sz w:val="18"/>
                          <w:szCs w:val="18"/>
                          <w:lang w:eastAsia="zh-CN"/>
                        </w:rPr>
                        <w:t>图例</w:t>
                      </w:r>
                    </w:p>
                    <w:p w14:paraId="0078C891">
                      <w:pPr>
                        <w:pStyle w:val="41"/>
                        <w:spacing w:line="240" w:lineRule="auto"/>
                        <w:ind w:firstLine="360"/>
                        <w:rPr>
                          <w:rFonts w:hint="eastAsia"/>
                          <w:sz w:val="15"/>
                          <w:szCs w:val="15"/>
                          <w:lang w:val="en-US" w:eastAsia="zh-CN"/>
                        </w:rPr>
                      </w:pPr>
                      <w:r>
                        <w:rPr>
                          <w:rFonts w:hint="eastAsia"/>
                          <w:sz w:val="15"/>
                          <w:szCs w:val="15"/>
                          <w:lang w:val="en-US" w:eastAsia="zh-CN"/>
                        </w:rPr>
                        <w:t>厂界四周</w:t>
                      </w:r>
                    </w:p>
                    <w:p w14:paraId="0D45394D">
                      <w:pPr>
                        <w:pStyle w:val="41"/>
                        <w:spacing w:line="240" w:lineRule="auto"/>
                        <w:rPr>
                          <w:rFonts w:hint="eastAsia"/>
                          <w:sz w:val="15"/>
                          <w:szCs w:val="15"/>
                          <w:lang w:val="en-US" w:eastAsia="zh-CN"/>
                        </w:rPr>
                      </w:pPr>
                      <w:r>
                        <w:rPr>
                          <w:rFonts w:hint="eastAsia"/>
                          <w:sz w:val="15"/>
                          <w:szCs w:val="15"/>
                          <w:lang w:val="en-US" w:eastAsia="zh-CN"/>
                        </w:rPr>
                        <w:drawing>
                          <wp:inline distT="0" distB="0" distL="114300" distR="114300">
                            <wp:extent cx="96520" cy="134620"/>
                            <wp:effectExtent l="0" t="0" r="17780" b="17780"/>
                            <wp:docPr id="42" name="图片 42" descr="红色点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红色点位"/>
                                    <pic:cNvPicPr>
                                      <a:picLocks noChangeAspect="1"/>
                                    </pic:cNvPicPr>
                                  </pic:nvPicPr>
                                  <pic:blipFill>
                                    <a:blip r:embed="rId33"/>
                                    <a:stretch>
                                      <a:fillRect/>
                                    </a:stretch>
                                  </pic:blipFill>
                                  <pic:spPr>
                                    <a:xfrm>
                                      <a:off x="0" y="0"/>
                                      <a:ext cx="96520" cy="134620"/>
                                    </a:xfrm>
                                    <a:prstGeom prst="rect">
                                      <a:avLst/>
                                    </a:prstGeom>
                                  </pic:spPr>
                                </pic:pic>
                              </a:graphicData>
                            </a:graphic>
                          </wp:inline>
                        </w:drawing>
                      </w:r>
                      <w:r>
                        <w:rPr>
                          <w:rFonts w:hint="eastAsia"/>
                          <w:sz w:val="15"/>
                          <w:szCs w:val="15"/>
                          <w:lang w:val="en-US" w:eastAsia="zh-CN"/>
                        </w:rPr>
                        <w:t xml:space="preserve">  噪声监测点位</w:t>
                      </w:r>
                    </w:p>
                    <w:p w14:paraId="5CB2C586">
                      <w:pPr>
                        <w:pStyle w:val="41"/>
                        <w:spacing w:line="240" w:lineRule="auto"/>
                        <w:rPr>
                          <w:rFonts w:hint="default"/>
                          <w:sz w:val="15"/>
                          <w:szCs w:val="15"/>
                          <w:lang w:val="en-US" w:eastAsia="zh-CN"/>
                        </w:rPr>
                      </w:pPr>
                      <w:r>
                        <w:rPr>
                          <w:rFonts w:hint="eastAsia" w:ascii="宋体" w:hAnsi="宋体" w:eastAsia="宋体" w:cs="宋体"/>
                          <w:sz w:val="28"/>
                          <w:szCs w:val="28"/>
                          <w:lang w:val="en-US" w:eastAsia="zh-CN"/>
                        </w:rPr>
                        <w:drawing>
                          <wp:inline distT="0" distB="0" distL="114300" distR="114300">
                            <wp:extent cx="90805" cy="134620"/>
                            <wp:effectExtent l="0" t="0" r="4445" b="17780"/>
                            <wp:docPr id="32" name="图片 32" descr="39e6434950160d078d0b9c9f0807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39e6434950160d078d0b9c9f0807045"/>
                                    <pic:cNvPicPr>
                                      <a:picLocks noChangeAspect="1"/>
                                    </pic:cNvPicPr>
                                  </pic:nvPicPr>
                                  <pic:blipFill>
                                    <a:blip r:embed="rId42">
                                      <a:clrChange>
                                        <a:clrFrom>
                                          <a:srgbClr val="4E76F4">
                                            <a:alpha val="100000"/>
                                          </a:srgbClr>
                                        </a:clrFrom>
                                        <a:clrTo>
                                          <a:srgbClr val="4E76F4">
                                            <a:alpha val="100000"/>
                                            <a:alpha val="0"/>
                                          </a:srgbClr>
                                        </a:clrTo>
                                      </a:clrChange>
                                    </a:blip>
                                    <a:stretch>
                                      <a:fillRect/>
                                    </a:stretch>
                                  </pic:blipFill>
                                  <pic:spPr>
                                    <a:xfrm>
                                      <a:off x="0" y="0"/>
                                      <a:ext cx="90805" cy="134620"/>
                                    </a:xfrm>
                                    <a:prstGeom prst="rect">
                                      <a:avLst/>
                                    </a:prstGeom>
                                  </pic:spPr>
                                </pic:pic>
                              </a:graphicData>
                            </a:graphic>
                          </wp:inline>
                        </w:drawing>
                      </w:r>
                      <w:r>
                        <w:rPr>
                          <w:rFonts w:hint="eastAsia" w:ascii="宋体" w:hAnsi="宋体" w:eastAsia="宋体" w:cs="宋体"/>
                          <w:sz w:val="28"/>
                          <w:szCs w:val="28"/>
                          <w:lang w:val="en-US" w:eastAsia="zh-CN"/>
                        </w:rPr>
                        <w:t xml:space="preserve"> </w:t>
                      </w:r>
                      <w:r>
                        <w:rPr>
                          <w:rFonts w:hint="eastAsia" w:ascii="Times New Roman" w:hAnsi="Times New Roman" w:eastAsia="宋体" w:cs="Times New Roman"/>
                          <w:sz w:val="15"/>
                          <w:szCs w:val="15"/>
                          <w:lang w:val="en-US" w:eastAsia="zh-CN"/>
                        </w:rPr>
                        <w:t>大气监测点位</w:t>
                      </w:r>
                    </w:p>
                    <w:p w14:paraId="5957444B">
                      <w:pPr>
                        <w:pStyle w:val="41"/>
                        <w:spacing w:line="360" w:lineRule="auto"/>
                        <w:ind w:firstLine="360"/>
                        <w:rPr>
                          <w:rFonts w:hint="default"/>
                          <w:sz w:val="15"/>
                          <w:szCs w:val="15"/>
                          <w:lang w:val="en-US" w:eastAsia="zh-CN"/>
                        </w:rPr>
                      </w:pPr>
                    </w:p>
                  </w:txbxContent>
                </v:textbox>
              </v:shape>
            </w:pict>
          </mc:Fallback>
        </mc:AlternateContent>
      </w:r>
      <w:r>
        <w:rPr>
          <w:color w:val="auto"/>
          <w:sz w:val="24"/>
        </w:rPr>
        <mc:AlternateContent>
          <mc:Choice Requires="wps">
            <w:drawing>
              <wp:anchor distT="0" distB="0" distL="114300" distR="114300" simplePos="0" relativeHeight="251676672" behindDoc="0" locked="0" layoutInCell="1" allowOverlap="1">
                <wp:simplePos x="0" y="0"/>
                <wp:positionH relativeFrom="column">
                  <wp:posOffset>4313555</wp:posOffset>
                </wp:positionH>
                <wp:positionV relativeFrom="paragraph">
                  <wp:posOffset>3028315</wp:posOffset>
                </wp:positionV>
                <wp:extent cx="536575" cy="253365"/>
                <wp:effectExtent l="0" t="0" r="0" b="0"/>
                <wp:wrapNone/>
                <wp:docPr id="65" name="文本框 65"/>
                <wp:cNvGraphicFramePr/>
                <a:graphic xmlns:a="http://schemas.openxmlformats.org/drawingml/2006/main">
                  <a:graphicData uri="http://schemas.microsoft.com/office/word/2010/wordprocessingShape">
                    <wps:wsp>
                      <wps:cNvSpPr txBox="1"/>
                      <wps:spPr>
                        <a:xfrm>
                          <a:off x="4986655" y="4477385"/>
                          <a:ext cx="536575" cy="2533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9F89AF">
                            <w:pPr>
                              <w:rPr>
                                <w:rFonts w:hint="eastAsia" w:eastAsia="宋体"/>
                                <w:sz w:val="16"/>
                                <w:szCs w:val="20"/>
                                <w:lang w:eastAsia="zh-CN"/>
                              </w:rPr>
                            </w:pPr>
                            <w:r>
                              <w:rPr>
                                <w:rFonts w:hint="eastAsia"/>
                                <w:sz w:val="16"/>
                                <w:szCs w:val="20"/>
                                <w:lang w:eastAsia="zh-CN"/>
                              </w:rPr>
                              <w:t>锅炉房</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9.65pt;margin-top:238.45pt;height:19.95pt;width:42.25pt;z-index:251676672;mso-width-relative:page;mso-height-relative:page;" filled="f" stroked="f" coordsize="21600,21600" o:gfxdata="UEsDBAoAAAAAAIdO4kAAAAAAAAAAAAAAAAAEAAAAZHJzL1BLAwQUAAAACACHTuJA8YYi7dwAAAAL&#10;AQAADwAAAGRycy9kb3ducmV2LnhtbE2Py07DMBBF90j8gzVI7KiTljppyKRCkSokBIuWbtg5sZtE&#10;+BFi9wFfz7CC5WiO7j23XF+sYSc9hcE7hHSWANOu9WpwHcL+bXOXAwtROiWNdxrhSwdYV9dXpSyU&#10;P7utPu1ixyjEhUIi9DGOBeeh7bWVYeZH7eh38JOVkc6p42qSZwq3hs+TRHArB0cNvRx13ev2Y3e0&#10;CM/15lVum7nNv0399HJ4HD/370vE25s0eQAW9SX+wfCrT+pQkVPjj04FZhBEtloQinCfiRUwIjKx&#10;oDENwjIVOfCq5P83VD9QSwMEFAAAAAgAh07iQJBaculGAgAAcwQAAA4AAABkcnMvZTJvRG9jLnht&#10;bK1Uy24TMRTdI/EPlvd08pokjTqpQqsipIpWCoi14/F0RvIL2+lM+QD4A1Zs2PNd+Q6OPUlaFRZd&#10;sHGufW/O9Tn3eM7OOyXJvXC+Mbqgw5MBJUJzUzb6rqCfPl69mVPiA9Mlk0aLgj4IT8+Xr1+dtXYh&#10;RqY2shSOAET7RWsLWodgF1nmeS0U8yfGCo1kZZxiAVt3l5WOtUBXMhsNBtOsNa60znDhPU4v+yTd&#10;I7qXAJqqari4NHyrhA49qhOSBVDydWM9XabbVpXg4aaqvAhEFhRMQ1rRBPEmrtnyjC3uHLN1w/dX&#10;YC+5wjNOijUaTY9QlywwsnXNX1Cq4c54U4UTblTWE0mKgMVw8Eybdc2sSFwgtbdH0f3/g+Uf7m8d&#10;acqCTnNKNFOY+O7H993P37tf3wjOIFBr/QJ1a4vK0L01HWxzOPc4jLy7yqn4C0YE+cnpfDrNgfiA&#10;eDKbjecJiS1EFwhHQT6e5jPkOQpG+Ri7iJg9AlnnwzthFIlBQR0mmQRm99c+9KWHkthXm6tGyjRN&#10;qUkLOuN8kP5wzABcavSIdPprxyh0m27PcWPKB1B0pneJt/yqQfNr5sMtc7AFTIOHE26wVNKgidlH&#10;lNTGff3XeazHtJClpIXNCuq/bJkTlMj3GnM8HU4m0ZdpM8lnI2zc08zmaUZv1YWBk4d4opanMNYH&#10;eQgrZ9RnvK9V7IoU0xy9CxoO4UXozY/3ycVqlYrgRMvCtV5bHqF7OVfbYKomKR1l6rXZqwcvplnt&#10;3000+9N9qnr8Vi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GGIu3cAAAACwEAAA8AAAAAAAAA&#10;AQAgAAAAIgAAAGRycy9kb3ducmV2LnhtbFBLAQIUABQAAAAIAIdO4kCQWnLpRgIAAHMEAAAOAAAA&#10;AAAAAAEAIAAAACsBAABkcnMvZTJvRG9jLnhtbFBLBQYAAAAABgAGAFkBAADjBQAAAAA=&#10;">
                <v:fill on="f" focussize="0,0"/>
                <v:stroke on="f" weight="0.5pt"/>
                <v:imagedata o:title=""/>
                <o:lock v:ext="edit" aspectratio="f"/>
                <v:textbox>
                  <w:txbxContent>
                    <w:p w14:paraId="0C9F89AF">
                      <w:pPr>
                        <w:rPr>
                          <w:rFonts w:hint="eastAsia" w:eastAsia="宋体"/>
                          <w:sz w:val="16"/>
                          <w:szCs w:val="20"/>
                          <w:lang w:eastAsia="zh-CN"/>
                        </w:rPr>
                      </w:pPr>
                      <w:r>
                        <w:rPr>
                          <w:rFonts w:hint="eastAsia"/>
                          <w:sz w:val="16"/>
                          <w:szCs w:val="20"/>
                          <w:lang w:eastAsia="zh-CN"/>
                        </w:rPr>
                        <w:t>锅炉房</w:t>
                      </w:r>
                    </w:p>
                  </w:txbxContent>
                </v:textbox>
              </v:shape>
            </w:pict>
          </mc:Fallback>
        </mc:AlternateContent>
      </w:r>
      <w:r>
        <w:rPr>
          <w:color w:val="auto"/>
          <w:sz w:val="24"/>
        </w:rPr>
        <mc:AlternateContent>
          <mc:Choice Requires="wps">
            <w:drawing>
              <wp:anchor distT="0" distB="0" distL="114300" distR="114300" simplePos="0" relativeHeight="251675648" behindDoc="0" locked="0" layoutInCell="1" allowOverlap="1">
                <wp:simplePos x="0" y="0"/>
                <wp:positionH relativeFrom="column">
                  <wp:posOffset>1031875</wp:posOffset>
                </wp:positionH>
                <wp:positionV relativeFrom="paragraph">
                  <wp:posOffset>3105785</wp:posOffset>
                </wp:positionV>
                <wp:extent cx="520700" cy="311785"/>
                <wp:effectExtent l="0" t="0" r="0" b="0"/>
                <wp:wrapNone/>
                <wp:docPr id="63" name="文本框 63"/>
                <wp:cNvGraphicFramePr/>
                <a:graphic xmlns:a="http://schemas.openxmlformats.org/drawingml/2006/main">
                  <a:graphicData uri="http://schemas.microsoft.com/office/word/2010/wordprocessingShape">
                    <wps:wsp>
                      <wps:cNvSpPr txBox="1"/>
                      <wps:spPr>
                        <a:xfrm>
                          <a:off x="2190115" y="4953635"/>
                          <a:ext cx="520700" cy="31178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8A0160">
                            <w:pPr>
                              <w:rPr>
                                <w:rFonts w:hint="eastAsia" w:eastAsia="宋体"/>
                                <w:lang w:eastAsia="zh-CN"/>
                              </w:rPr>
                            </w:pPr>
                            <w:r>
                              <w:rPr>
                                <w:rFonts w:hint="eastAsia"/>
                                <w:lang w:eastAsia="zh-CN"/>
                              </w:rPr>
                              <w:t>风向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1.25pt;margin-top:244.55pt;height:24.55pt;width:41pt;z-index:251675648;mso-width-relative:page;mso-height-relative:page;" filled="f" stroked="f" coordsize="21600,21600" o:gfxdata="UEsDBAoAAAAAAIdO4kAAAAAAAAAAAAAAAAAEAAAAZHJzL1BLAwQUAAAACACHTuJAfkMtNNsAAAAL&#10;AQAADwAAAGRycy9kb3ducmV2LnhtbE2Py07DMBBF90j8gzVI7KgTk1QhxKlQpAoJwaKlG3aT2E0i&#10;/Aix+4CvZ1iV5Z05unOmWp2tYUc9h9E7CekiAaZd59Xoegm79/VdASxEdAqNd1rCtw6wqq+vKiyV&#10;P7mNPm5jz6jEhRIlDDFOJeehG7TFsPCTdrTb+9lipDj3XM14onJruEiSJbc4Orow4KSbQXef24OV&#10;8NKs33DTClv8mOb5df80fe0+cilvb9LkEVjU53iB4U+f1KEmp9YfnArMUF6KnFAJWfGQAiNCZBlN&#10;Wgn5fSGA1xX//0P9C1BLAwQUAAAACACHTuJAcy/pz0kCAABzBAAADgAAAGRycy9lMm9Eb2MueG1s&#10;rVTNbtswDL4P2DsIui+289sGdYqsQYYBwVqgG3ZWZKk2IImapMTOHmB7g5122X3P1ecYJSdt0e3Q&#10;wy4yRVIkv4+kLy47rcheON+AKWkxyCkRhkPVmLuSfvq4fnNGiQ/MVEyBESU9CE8vF69fXbR2LoZQ&#10;g6qEIxjE+HlrS1qHYOdZ5nktNPMDsMKgUYLTLODV3WWVYy1G1yob5vk0a8FV1gEX3qN21RvpMaJ7&#10;SUCQsuFiBXynhQl9VCcUCwjJ1431dJGqlVLwcC2lF4GokiLSkE5MgvI2ntnigs3vHLN1w48lsJeU&#10;8AyTZo3BpA+hViwwsnPNX6F0wx14kGHAQWc9kMQIoijyZ9zc1syKhAWp9vaBdP//wvIP+xtHmqqk&#10;0xElhmns+P2P7/c/f9//+kZQhwS11s/R79aiZ+jeQodjc9J7VEbcnXQ6fhERQfuwOM+LYkLJoaTj&#10;88loOpr0VIsuEI4Ok2E+y7EJHB1GRTE7S/bsMZB1PrwToEkUSuqwk4lgtt/4gEWh68kl5jWwbpRK&#10;3VSGtBHOJE8PHiz4Qhl8GOH0ZUcpdNvuiHEL1QEhOuinxFu+bjD5hvlwwxyOBdaLixOu8ZAKMAkc&#10;JUpqcF//pY/+2C20UtLimJXUf9kxJyhR7w328bwYj+Ncpst4MhvixT21bJ9azE5fAU5ygStqeRKj&#10;f1AnUTrQn3G/ljErmpjhmLuk4SRehX74cT+5WC6TE06iZWFjbi2PoXs6l7sAsklMR5p6bo7s4Sym&#10;Bhz3Jg7703vyevxXLP4A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fkMtNNsAAAALAQAADwAAAAAA&#10;AAABACAAAAAiAAAAZHJzL2Rvd25yZXYueG1sUEsBAhQAFAAAAAgAh07iQHMv6c9JAgAAcwQAAA4A&#10;AAAAAAAAAQAgAAAAKgEAAGRycy9lMm9Eb2MueG1sUEsFBgAAAAAGAAYAWQEAAOUFAAAAAA==&#10;">
                <v:fill on="f" focussize="0,0"/>
                <v:stroke on="f" weight="0.5pt"/>
                <v:imagedata o:title=""/>
                <o:lock v:ext="edit" aspectratio="f"/>
                <v:textbox>
                  <w:txbxContent>
                    <w:p w14:paraId="118A0160">
                      <w:pPr>
                        <w:rPr>
                          <w:rFonts w:hint="eastAsia" w:eastAsia="宋体"/>
                          <w:lang w:eastAsia="zh-CN"/>
                        </w:rPr>
                      </w:pPr>
                      <w:r>
                        <w:rPr>
                          <w:rFonts w:hint="eastAsia"/>
                          <w:lang w:eastAsia="zh-CN"/>
                        </w:rPr>
                        <w:t>风向</w:t>
                      </w:r>
                    </w:p>
                  </w:txbxContent>
                </v:textbox>
              </v:shape>
            </w:pict>
          </mc:Fallback>
        </mc:AlternateContent>
      </w:r>
      <w:r>
        <w:rPr>
          <w:color w:val="auto"/>
          <w:sz w:val="24"/>
        </w:rPr>
        <mc:AlternateContent>
          <mc:Choice Requires="wps">
            <w:drawing>
              <wp:anchor distT="0" distB="0" distL="114300" distR="114300" simplePos="0" relativeHeight="251674624" behindDoc="0" locked="0" layoutInCell="1" allowOverlap="1">
                <wp:simplePos x="0" y="0"/>
                <wp:positionH relativeFrom="column">
                  <wp:posOffset>901700</wp:posOffset>
                </wp:positionH>
                <wp:positionV relativeFrom="paragraph">
                  <wp:posOffset>3366770</wp:posOffset>
                </wp:positionV>
                <wp:extent cx="883285" cy="86360"/>
                <wp:effectExtent l="1270" t="46990" r="10795" b="19050"/>
                <wp:wrapNone/>
                <wp:docPr id="62" name="直接箭头连接符 62"/>
                <wp:cNvGraphicFramePr/>
                <a:graphic xmlns:a="http://schemas.openxmlformats.org/drawingml/2006/main">
                  <a:graphicData uri="http://schemas.microsoft.com/office/word/2010/wordprocessingShape">
                    <wps:wsp>
                      <wps:cNvCnPr/>
                      <wps:spPr>
                        <a:xfrm flipV="1">
                          <a:off x="1981835" y="4711700"/>
                          <a:ext cx="883285" cy="86360"/>
                        </a:xfrm>
                        <a:prstGeom prst="straightConnector1">
                          <a:avLst/>
                        </a:prstGeom>
                        <a:ln>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71pt;margin-top:265.1pt;height:6.8pt;width:69.55pt;z-index:251674624;mso-width-relative:page;mso-height-relative:page;" filled="f" stroked="t" coordsize="21600,21600" o:gfxdata="UEsDBAoAAAAAAIdO4kAAAAAAAAAAAAAAAAAEAAAAZHJzL1BLAwQUAAAACACHTuJAWYxtwtsAAAAL&#10;AQAADwAAAGRycy9kb3ducmV2LnhtbE2PzU7DMBCE70i8g7VIXFBrJw0oCnF6QOoBIRVaKlXcnHhJ&#10;osbrELs/vD3LCY4zO5r9plxe3CBOOIXek4ZkrkAgNd721GrYva9mOYgQDVkzeEIN3xhgWV1flaaw&#10;/kwbPG1jK7iEQmE0dDGOhZSh6dCZMPcjEt8+/eRMZDm10k7mzOVukKlSD9KZnvhDZ0Z86rA5bI9O&#10;Q/qWyXr8elm9rlv3fNh93OEe11rf3iTqEUTES/wLwy8+o0PFTLU/kg1iYJ2lvCVquF+oFAQn0jxJ&#10;QNTsZIscZFXK/xuqH1BLAwQUAAAACACHTuJAWCflChUCAADjAwAADgAAAGRycy9lMm9Eb2MueG1s&#10;rVPNjtMwEL4j8Q6W7zRN2+2GqulKtJQLgkr83F3HSSz5T2Nv074EL4DECTgBp73zNLA8BmMnLLBc&#10;9sDFGntmvpnvm/Hy4qgVOQjw0pqS5qMxJcJwW0nTlPTVy+2DghIfmKmYskaU9CQ8vVjdv7fs3EJM&#10;bGtVJYAgiPGLzpW0DcEtsszzVmjmR9YJg87agmYBr9BkFbAO0bXKJuPxPOssVA4sF97j66Z30gER&#10;7gJo61pysbH8UgsTelQQigWk5FvpPF2lbuta8PC8rr0IRJUUmYZ0YhG09/HMVku2aIC5VvKhBXaX&#10;Fm5x0kwaLHoDtWGBkUuQ/0BpycF6W4cRtzrriSRFkEU+vqXNi5Y5kbig1N7diO7/Hyx/dtgBkVVJ&#10;5xNKDNM48eu3V9/ffLj+8vnb+6sfX99F+9NHgn4Uq3N+gTlrs4Ph5t0OIvNjDZrUSrrXuFVJC2RH&#10;jnh5WOTF9IySU0ln53l+Ph5kF8dAOAYUxXRSoJ9jQDGfzpM76xEjsgMfngirSTRK6gMw2bRhbY3B&#10;+Vroq7HDUx+wJ0z8lRCTjd1KpdKYlSFdSSdnM2yAcIa7W+POoKkd8vemoYSpBj8FD5AIeKtkFdMj&#10;kIdmv1ZADgxXabYt8kebKAiW+yss1t4w3/ZxydUvWWBSPTYVCSeHGjMA2w35yiBMFLaXMlp7W52S&#10;wukdZ58KDXsal+vPe8r+/TdXP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ZjG3C2wAAAAsBAAAP&#10;AAAAAAAAAAEAIAAAACIAAABkcnMvZG93bnJldi54bWxQSwECFAAUAAAACACHTuJAWCflChUCAADj&#10;AwAADgAAAAAAAAABACAAAAAqAQAAZHJzL2Uyb0RvYy54bWxQSwUGAAAAAAYABgBZAQAAsQUAAAAA&#10;">
                <v:fill on="f" focussize="0,0"/>
                <v:stroke weight="2pt" color="#4F81BD [3204]" joinstyle="round" endarrow="open"/>
                <v:imagedata o:title=""/>
                <o:lock v:ext="edit" aspectratio="f"/>
              </v:shape>
            </w:pict>
          </mc:Fallback>
        </mc:AlternateContent>
      </w:r>
      <w:r>
        <w:rPr>
          <w:rFonts w:hint="eastAsia" w:eastAsia="宋体"/>
          <w:b/>
          <w:bCs/>
          <w:color w:val="auto"/>
          <w:sz w:val="24"/>
          <w:szCs w:val="24"/>
          <w:lang w:val="en-US" w:eastAsia="zh-CN"/>
        </w:rPr>
        <w:drawing>
          <wp:inline distT="0" distB="0" distL="114300" distR="114300">
            <wp:extent cx="7649210" cy="5049520"/>
            <wp:effectExtent l="0" t="0" r="8890" b="17780"/>
            <wp:docPr id="61" name="图片 61" descr="监测点位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监测点位图"/>
                    <pic:cNvPicPr>
                      <a:picLocks noChangeAspect="1"/>
                    </pic:cNvPicPr>
                  </pic:nvPicPr>
                  <pic:blipFill>
                    <a:blip r:embed="rId43"/>
                    <a:stretch>
                      <a:fillRect/>
                    </a:stretch>
                  </pic:blipFill>
                  <pic:spPr>
                    <a:xfrm>
                      <a:off x="0" y="0"/>
                      <a:ext cx="7649210" cy="5049520"/>
                    </a:xfrm>
                    <a:prstGeom prst="rect">
                      <a:avLst/>
                    </a:prstGeom>
                  </pic:spPr>
                </pic:pic>
              </a:graphicData>
            </a:graphic>
          </wp:inline>
        </w:drawing>
      </w:r>
    </w:p>
    <w:p w14:paraId="273AA597">
      <w:pPr>
        <w:outlineLvl w:val="0"/>
        <w:rPr>
          <w:rFonts w:hint="eastAsia"/>
          <w:color w:val="auto"/>
          <w:lang w:val="en-US" w:eastAsia="zh-CN"/>
        </w:rPr>
      </w:pPr>
      <w:bookmarkStart w:id="17" w:name="_Toc9399"/>
      <w:bookmarkStart w:id="18" w:name="_Toc29255"/>
      <w:r>
        <w:rPr>
          <w:rFonts w:hint="eastAsia"/>
          <w:b/>
          <w:bCs/>
          <w:color w:val="auto"/>
          <w:sz w:val="24"/>
          <w:szCs w:val="24"/>
          <w:highlight w:val="none"/>
          <w:lang w:val="en-US" w:eastAsia="zh-CN"/>
        </w:rPr>
        <w:t>附件1 营业执照</w:t>
      </w:r>
      <w:bookmarkEnd w:id="17"/>
      <w:bookmarkEnd w:id="18"/>
    </w:p>
    <w:p w14:paraId="6E1918E9">
      <w:pPr>
        <w:pStyle w:val="16"/>
        <w:widowControl w:val="0"/>
        <w:numPr>
          <w:ilvl w:val="0"/>
          <w:numId w:val="0"/>
        </w:numPr>
        <w:jc w:val="both"/>
        <w:rPr>
          <w:rFonts w:hint="eastAsia"/>
          <w:color w:val="auto"/>
          <w:lang w:val="en-US" w:eastAsia="zh-CN"/>
        </w:rPr>
      </w:pPr>
    </w:p>
    <w:p w14:paraId="3DC4E74B">
      <w:pPr>
        <w:pStyle w:val="16"/>
        <w:widowControl w:val="0"/>
        <w:numPr>
          <w:ilvl w:val="0"/>
          <w:numId w:val="0"/>
        </w:numPr>
        <w:jc w:val="center"/>
        <w:rPr>
          <w:rFonts w:hint="eastAsia"/>
          <w:color w:val="auto"/>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color w:val="auto"/>
          <w:lang w:val="en-US" w:eastAsia="zh-CN"/>
        </w:rPr>
        <w:drawing>
          <wp:inline distT="0" distB="0" distL="114300" distR="114300">
            <wp:extent cx="5121275" cy="8013065"/>
            <wp:effectExtent l="0" t="0" r="6985" b="3175"/>
            <wp:docPr id="26" name="图片 26" descr="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营业执照"/>
                    <pic:cNvPicPr>
                      <a:picLocks noChangeAspect="1"/>
                    </pic:cNvPicPr>
                  </pic:nvPicPr>
                  <pic:blipFill>
                    <a:blip r:embed="rId44"/>
                    <a:stretch>
                      <a:fillRect/>
                    </a:stretch>
                  </pic:blipFill>
                  <pic:spPr>
                    <a:xfrm rot="16200000">
                      <a:off x="0" y="0"/>
                      <a:ext cx="5121275" cy="8013065"/>
                    </a:xfrm>
                    <a:prstGeom prst="rect">
                      <a:avLst/>
                    </a:prstGeom>
                  </pic:spPr>
                </pic:pic>
              </a:graphicData>
            </a:graphic>
          </wp:inline>
        </w:drawing>
      </w:r>
    </w:p>
    <w:p w14:paraId="62404D8A">
      <w:pPr>
        <w:pStyle w:val="12"/>
        <w:jc w:val="left"/>
        <w:outlineLvl w:val="0"/>
        <w:rPr>
          <w:rFonts w:hint="default"/>
          <w:color w:val="auto"/>
          <w:highlight w:val="none"/>
          <w:lang w:val="en-US" w:eastAsia="zh-CN"/>
        </w:rPr>
      </w:pPr>
      <w:bookmarkStart w:id="19" w:name="_Toc20238"/>
      <w:r>
        <w:rPr>
          <w:rFonts w:hint="eastAsia"/>
          <w:b/>
          <w:bCs/>
          <w:color w:val="auto"/>
          <w:sz w:val="24"/>
          <w:szCs w:val="24"/>
          <w:highlight w:val="none"/>
          <w:lang w:val="en-US" w:eastAsia="zh-CN"/>
        </w:rPr>
        <w:t>附件2 检测报告</w:t>
      </w:r>
      <w:bookmarkEnd w:id="19"/>
    </w:p>
    <w:p w14:paraId="744E41C4">
      <w:pPr>
        <w:pStyle w:val="16"/>
        <w:widowControl w:val="0"/>
        <w:numPr>
          <w:ilvl w:val="0"/>
          <w:numId w:val="0"/>
        </w:numPr>
        <w:jc w:val="both"/>
        <w:rPr>
          <w:rFonts w:hint="default"/>
          <w:color w:val="auto"/>
          <w:lang w:val="en-US" w:eastAsia="zh-CN"/>
        </w:rPr>
      </w:pPr>
    </w:p>
    <w:p w14:paraId="6FB19EE0">
      <w:pPr>
        <w:pStyle w:val="16"/>
        <w:widowControl w:val="0"/>
        <w:numPr>
          <w:ilvl w:val="0"/>
          <w:numId w:val="0"/>
        </w:numPr>
        <w:jc w:val="both"/>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5614035" cy="7932420"/>
            <wp:effectExtent l="0" t="0" r="5715" b="11430"/>
            <wp:docPr id="83" name="图片 83" descr="检测报告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检测报告1"/>
                    <pic:cNvPicPr>
                      <a:picLocks noChangeAspect="1"/>
                    </pic:cNvPicPr>
                  </pic:nvPicPr>
                  <pic:blipFill>
                    <a:blip r:embed="rId45"/>
                    <a:stretch>
                      <a:fillRect/>
                    </a:stretch>
                  </pic:blipFill>
                  <pic:spPr>
                    <a:xfrm>
                      <a:off x="0" y="0"/>
                      <a:ext cx="5614035" cy="7932420"/>
                    </a:xfrm>
                    <a:prstGeom prst="rect">
                      <a:avLst/>
                    </a:prstGeom>
                  </pic:spPr>
                </pic:pic>
              </a:graphicData>
            </a:graphic>
          </wp:inline>
        </w:drawing>
      </w:r>
      <w:r>
        <w:rPr>
          <w:rFonts w:hint="default"/>
          <w:color w:val="auto"/>
          <w:lang w:val="en-US" w:eastAsia="zh-CN"/>
        </w:rPr>
        <w:drawing>
          <wp:inline distT="0" distB="0" distL="114300" distR="114300">
            <wp:extent cx="5614035" cy="7932420"/>
            <wp:effectExtent l="0" t="0" r="5715" b="11430"/>
            <wp:docPr id="78" name="图片 78" descr="检测报告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检测报告2"/>
                    <pic:cNvPicPr>
                      <a:picLocks noChangeAspect="1"/>
                    </pic:cNvPicPr>
                  </pic:nvPicPr>
                  <pic:blipFill>
                    <a:blip r:embed="rId46"/>
                    <a:stretch>
                      <a:fillRect/>
                    </a:stretch>
                  </pic:blipFill>
                  <pic:spPr>
                    <a:xfrm>
                      <a:off x="0" y="0"/>
                      <a:ext cx="5614035" cy="7932420"/>
                    </a:xfrm>
                    <a:prstGeom prst="rect">
                      <a:avLst/>
                    </a:prstGeom>
                  </pic:spPr>
                </pic:pic>
              </a:graphicData>
            </a:graphic>
          </wp:inline>
        </w:drawing>
      </w:r>
      <w:r>
        <w:rPr>
          <w:rFonts w:hint="default"/>
          <w:color w:val="auto"/>
          <w:lang w:val="en-US" w:eastAsia="zh-CN"/>
        </w:rPr>
        <w:drawing>
          <wp:inline distT="0" distB="0" distL="114300" distR="114300">
            <wp:extent cx="5614035" cy="7932420"/>
            <wp:effectExtent l="0" t="0" r="5715" b="11430"/>
            <wp:docPr id="73" name="图片 73" descr="检测报告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检测报告3"/>
                    <pic:cNvPicPr>
                      <a:picLocks noChangeAspect="1"/>
                    </pic:cNvPicPr>
                  </pic:nvPicPr>
                  <pic:blipFill>
                    <a:blip r:embed="rId47"/>
                    <a:stretch>
                      <a:fillRect/>
                    </a:stretch>
                  </pic:blipFill>
                  <pic:spPr>
                    <a:xfrm>
                      <a:off x="0" y="0"/>
                      <a:ext cx="5614035" cy="7932420"/>
                    </a:xfrm>
                    <a:prstGeom prst="rect">
                      <a:avLst/>
                    </a:prstGeom>
                  </pic:spPr>
                </pic:pic>
              </a:graphicData>
            </a:graphic>
          </wp:inline>
        </w:drawing>
      </w:r>
      <w:r>
        <w:rPr>
          <w:rFonts w:hint="default"/>
          <w:color w:val="auto"/>
          <w:lang w:val="en-US" w:eastAsia="zh-CN"/>
        </w:rPr>
        <w:drawing>
          <wp:inline distT="0" distB="0" distL="114300" distR="114300">
            <wp:extent cx="5614035" cy="7932420"/>
            <wp:effectExtent l="0" t="0" r="5715" b="11430"/>
            <wp:docPr id="71" name="图片 71" descr="检测报告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检测报告4"/>
                    <pic:cNvPicPr>
                      <a:picLocks noChangeAspect="1"/>
                    </pic:cNvPicPr>
                  </pic:nvPicPr>
                  <pic:blipFill>
                    <a:blip r:embed="rId48"/>
                    <a:stretch>
                      <a:fillRect/>
                    </a:stretch>
                  </pic:blipFill>
                  <pic:spPr>
                    <a:xfrm>
                      <a:off x="0" y="0"/>
                      <a:ext cx="5614035" cy="7932420"/>
                    </a:xfrm>
                    <a:prstGeom prst="rect">
                      <a:avLst/>
                    </a:prstGeom>
                  </pic:spPr>
                </pic:pic>
              </a:graphicData>
            </a:graphic>
          </wp:inline>
        </w:drawing>
      </w:r>
    </w:p>
    <w:p w14:paraId="62B8254B">
      <w:pPr>
        <w:pStyle w:val="16"/>
        <w:widowControl w:val="0"/>
        <w:numPr>
          <w:ilvl w:val="0"/>
          <w:numId w:val="0"/>
        </w:numPr>
        <w:jc w:val="both"/>
        <w:outlineLvl w:val="0"/>
        <w:rPr>
          <w:rFonts w:hint="eastAsia"/>
          <w:b/>
          <w:bCs/>
          <w:color w:val="auto"/>
          <w:sz w:val="24"/>
          <w:szCs w:val="24"/>
          <w:highlight w:val="none"/>
          <w:lang w:val="en-US" w:eastAsia="zh-CN"/>
        </w:rPr>
      </w:pPr>
      <w:bookmarkStart w:id="20" w:name="_Toc20900"/>
      <w:bookmarkStart w:id="21" w:name="_Toc24060"/>
      <w:r>
        <w:rPr>
          <w:rFonts w:hint="eastAsia"/>
          <w:b/>
          <w:bCs/>
          <w:color w:val="auto"/>
          <w:sz w:val="24"/>
          <w:szCs w:val="24"/>
          <w:highlight w:val="none"/>
          <w:lang w:val="en-US" w:eastAsia="zh-CN"/>
        </w:rPr>
        <w:t>附件3 生物质化验报告单</w:t>
      </w:r>
      <w:bookmarkEnd w:id="20"/>
      <w:bookmarkEnd w:id="21"/>
    </w:p>
    <w:p w14:paraId="4467D58C">
      <w:pPr>
        <w:pStyle w:val="16"/>
        <w:widowControl w:val="0"/>
        <w:numPr>
          <w:ilvl w:val="0"/>
          <w:numId w:val="0"/>
        </w:numPr>
        <w:jc w:val="center"/>
        <w:rPr>
          <w:rFonts w:hint="eastAsia" w:eastAsia="宋体"/>
          <w:color w:val="auto"/>
          <w:lang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eastAsia="宋体"/>
          <w:color w:val="auto"/>
          <w:lang w:eastAsia="zh-CN"/>
        </w:rPr>
        <w:drawing>
          <wp:inline distT="0" distB="0" distL="114300" distR="114300">
            <wp:extent cx="5723890" cy="7769225"/>
            <wp:effectExtent l="0" t="0" r="10160" b="3175"/>
            <wp:docPr id="22" name="图片 22" descr="C:/Users/Administrator/Desktop/生物质燃料报告.png生物质燃料报告"/>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Desktop/生物质燃料报告.png生物质燃料报告"/>
                    <pic:cNvPicPr>
                      <a:picLocks noChangeAspect="1"/>
                    </pic:cNvPicPr>
                  </pic:nvPicPr>
                  <pic:blipFill>
                    <a:blip r:embed="rId49"/>
                    <a:srcRect t="-53" b="-22"/>
                    <a:stretch>
                      <a:fillRect/>
                    </a:stretch>
                  </pic:blipFill>
                  <pic:spPr>
                    <a:xfrm>
                      <a:off x="0" y="0"/>
                      <a:ext cx="5723890" cy="7769225"/>
                    </a:xfrm>
                    <a:prstGeom prst="rect">
                      <a:avLst/>
                    </a:prstGeom>
                  </pic:spPr>
                </pic:pic>
              </a:graphicData>
            </a:graphic>
          </wp:inline>
        </w:drawing>
      </w:r>
    </w:p>
    <w:p w14:paraId="4EB22851">
      <w:pPr>
        <w:pStyle w:val="16"/>
        <w:widowControl w:val="0"/>
        <w:numPr>
          <w:ilvl w:val="0"/>
          <w:numId w:val="0"/>
        </w:numPr>
        <w:jc w:val="both"/>
        <w:outlineLvl w:val="0"/>
        <w:rPr>
          <w:rFonts w:hint="eastAsia" w:ascii="Times New Roman" w:hAnsi="Times New Roman" w:eastAsia="宋体" w:cs="Times New Roman"/>
          <w:b/>
          <w:bCs/>
          <w:color w:val="auto"/>
          <w:sz w:val="24"/>
          <w:szCs w:val="24"/>
          <w:highlight w:val="none"/>
          <w:lang w:val="en-US" w:eastAsia="zh-CN"/>
        </w:rPr>
      </w:pPr>
      <w:bookmarkStart w:id="22" w:name="_Toc20927"/>
      <w:r>
        <w:rPr>
          <w:rFonts w:hint="eastAsia" w:ascii="Times New Roman" w:hAnsi="Times New Roman" w:eastAsia="宋体" w:cs="Times New Roman"/>
          <w:b/>
          <w:bCs/>
          <w:color w:val="auto"/>
          <w:sz w:val="24"/>
          <w:szCs w:val="24"/>
          <w:highlight w:val="none"/>
          <w:lang w:val="en-US" w:eastAsia="zh-CN"/>
        </w:rPr>
        <w:t>附件4 原环评批复</w:t>
      </w:r>
      <w:bookmarkEnd w:id="22"/>
    </w:p>
    <w:p w14:paraId="03B9777E">
      <w:pPr>
        <w:pStyle w:val="16"/>
        <w:widowControl w:val="0"/>
        <w:numPr>
          <w:ilvl w:val="0"/>
          <w:numId w:val="0"/>
        </w:numPr>
        <w:jc w:val="both"/>
        <w:rPr>
          <w:rFonts w:hint="eastAsia"/>
          <w:color w:val="auto"/>
          <w:lang w:val="en-US" w:eastAsia="zh-CN"/>
        </w:rPr>
      </w:pPr>
    </w:p>
    <w:p w14:paraId="21445AE6">
      <w:pPr>
        <w:pStyle w:val="16"/>
        <w:widowControl w:val="0"/>
        <w:numPr>
          <w:ilvl w:val="0"/>
          <w:numId w:val="0"/>
        </w:numPr>
        <w:jc w:val="both"/>
        <w:rPr>
          <w:rFonts w:hint="default"/>
          <w:color w:val="auto"/>
          <w:lang w:val="en-US" w:eastAsia="zh-CN"/>
        </w:rPr>
      </w:pPr>
    </w:p>
    <w:p w14:paraId="1EAC7780">
      <w:pPr>
        <w:pStyle w:val="16"/>
        <w:widowControl w:val="0"/>
        <w:numPr>
          <w:ilvl w:val="0"/>
          <w:numId w:val="0"/>
        </w:numPr>
        <w:jc w:val="both"/>
        <w:rPr>
          <w:rFonts w:hint="default"/>
          <w:color w:val="auto"/>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olor w:val="auto"/>
          <w:lang w:val="en-US" w:eastAsia="zh-CN"/>
        </w:rPr>
        <w:drawing>
          <wp:inline distT="0" distB="0" distL="114300" distR="114300">
            <wp:extent cx="5565140" cy="7555230"/>
            <wp:effectExtent l="0" t="0" r="0" b="0"/>
            <wp:docPr id="29" name="图片 29" descr="环境影响报告书的批复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环境影响报告书的批复_01"/>
                    <pic:cNvPicPr>
                      <a:picLocks noChangeAspect="1"/>
                    </pic:cNvPicPr>
                  </pic:nvPicPr>
                  <pic:blipFill>
                    <a:blip r:embed="rId50"/>
                    <a:srcRect b="4002"/>
                    <a:stretch>
                      <a:fillRect/>
                    </a:stretch>
                  </pic:blipFill>
                  <pic:spPr>
                    <a:xfrm>
                      <a:off x="0" y="0"/>
                      <a:ext cx="5565140" cy="7555230"/>
                    </a:xfrm>
                    <a:prstGeom prst="rect">
                      <a:avLst/>
                    </a:prstGeom>
                  </pic:spPr>
                </pic:pic>
              </a:graphicData>
            </a:graphic>
          </wp:inline>
        </w:drawing>
      </w:r>
      <w:r>
        <w:rPr>
          <w:rFonts w:hint="default"/>
          <w:color w:val="auto"/>
          <w:lang w:val="en-US" w:eastAsia="zh-CN"/>
        </w:rPr>
        <w:drawing>
          <wp:inline distT="0" distB="0" distL="114300" distR="114300">
            <wp:extent cx="5565140" cy="7870190"/>
            <wp:effectExtent l="0" t="0" r="16510" b="16510"/>
            <wp:docPr id="27" name="图片 27" descr="环境影响报告书的批复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环境影响报告书的批复_02"/>
                    <pic:cNvPicPr>
                      <a:picLocks noChangeAspect="1"/>
                    </pic:cNvPicPr>
                  </pic:nvPicPr>
                  <pic:blipFill>
                    <a:blip r:embed="rId51"/>
                    <a:stretch>
                      <a:fillRect/>
                    </a:stretch>
                  </pic:blipFill>
                  <pic:spPr>
                    <a:xfrm>
                      <a:off x="0" y="0"/>
                      <a:ext cx="5565140" cy="7870190"/>
                    </a:xfrm>
                    <a:prstGeom prst="rect">
                      <a:avLst/>
                    </a:prstGeom>
                  </pic:spPr>
                </pic:pic>
              </a:graphicData>
            </a:graphic>
          </wp:inline>
        </w:drawing>
      </w:r>
      <w:r>
        <w:rPr>
          <w:rFonts w:hint="default"/>
          <w:color w:val="auto"/>
          <w:lang w:val="en-US" w:eastAsia="zh-CN"/>
        </w:rPr>
        <w:drawing>
          <wp:inline distT="0" distB="0" distL="114300" distR="114300">
            <wp:extent cx="5565140" cy="7870190"/>
            <wp:effectExtent l="0" t="0" r="16510" b="16510"/>
            <wp:docPr id="1" name="图片 1" descr="环境影响报告书的批复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环境影响报告书的批复_03"/>
                    <pic:cNvPicPr>
                      <a:picLocks noChangeAspect="1"/>
                    </pic:cNvPicPr>
                  </pic:nvPicPr>
                  <pic:blipFill>
                    <a:blip r:embed="rId52"/>
                    <a:stretch>
                      <a:fillRect/>
                    </a:stretch>
                  </pic:blipFill>
                  <pic:spPr>
                    <a:xfrm>
                      <a:off x="0" y="0"/>
                      <a:ext cx="5565140" cy="7870190"/>
                    </a:xfrm>
                    <a:prstGeom prst="rect">
                      <a:avLst/>
                    </a:prstGeom>
                  </pic:spPr>
                </pic:pic>
              </a:graphicData>
            </a:graphic>
          </wp:inline>
        </w:drawing>
      </w:r>
    </w:p>
    <w:p w14:paraId="3AF6ABDA">
      <w:pPr>
        <w:pStyle w:val="16"/>
        <w:widowControl w:val="0"/>
        <w:numPr>
          <w:ilvl w:val="0"/>
          <w:numId w:val="0"/>
        </w:numPr>
        <w:jc w:val="both"/>
        <w:outlineLvl w:val="0"/>
        <w:rPr>
          <w:rFonts w:hint="eastAsia" w:cs="Times New Roman"/>
          <w:b/>
          <w:bCs/>
          <w:color w:val="auto"/>
          <w:sz w:val="24"/>
          <w:szCs w:val="24"/>
          <w:highlight w:val="none"/>
          <w:lang w:val="en-US" w:eastAsia="zh-CN"/>
        </w:rPr>
      </w:pPr>
      <w:bookmarkStart w:id="23" w:name="_Toc14554"/>
      <w:r>
        <w:rPr>
          <w:rFonts w:hint="eastAsia" w:ascii="Times New Roman" w:hAnsi="Times New Roman" w:eastAsia="宋体" w:cs="Times New Roman"/>
          <w:b/>
          <w:bCs/>
          <w:color w:val="auto"/>
          <w:sz w:val="24"/>
          <w:szCs w:val="24"/>
          <w:highlight w:val="none"/>
          <w:lang w:val="en-US" w:eastAsia="zh-CN"/>
        </w:rPr>
        <w:t>附件</w:t>
      </w:r>
      <w:r>
        <w:rPr>
          <w:rFonts w:hint="eastAsia" w:cs="Times New Roman"/>
          <w:b/>
          <w:bCs/>
          <w:color w:val="auto"/>
          <w:sz w:val="24"/>
          <w:szCs w:val="24"/>
          <w:highlight w:val="none"/>
          <w:lang w:val="en-US" w:eastAsia="zh-CN"/>
        </w:rPr>
        <w:t>5</w:t>
      </w:r>
      <w:r>
        <w:rPr>
          <w:rFonts w:hint="eastAsia" w:ascii="Times New Roman" w:hAnsi="Times New Roman" w:eastAsia="宋体" w:cs="Times New Roman"/>
          <w:b/>
          <w:bCs/>
          <w:color w:val="auto"/>
          <w:sz w:val="24"/>
          <w:szCs w:val="24"/>
          <w:highlight w:val="none"/>
          <w:lang w:val="en-US" w:eastAsia="zh-CN"/>
        </w:rPr>
        <w:t xml:space="preserve"> </w:t>
      </w:r>
      <w:bookmarkEnd w:id="23"/>
      <w:r>
        <w:rPr>
          <w:rFonts w:hint="eastAsia" w:cs="Times New Roman"/>
          <w:b/>
          <w:bCs/>
          <w:color w:val="auto"/>
          <w:sz w:val="24"/>
          <w:szCs w:val="24"/>
          <w:highlight w:val="none"/>
          <w:lang w:val="en-US" w:eastAsia="zh-CN"/>
        </w:rPr>
        <w:t>应急预案备案申请表</w:t>
      </w:r>
    </w:p>
    <w:p w14:paraId="7A1CF179">
      <w:pPr>
        <w:pStyle w:val="16"/>
        <w:widowControl w:val="0"/>
        <w:numPr>
          <w:ilvl w:val="0"/>
          <w:numId w:val="0"/>
        </w:numPr>
        <w:jc w:val="center"/>
        <w:outlineLvl w:val="9"/>
        <w:rPr>
          <w:rFonts w:hint="eastAsia" w:cs="Times New Roman"/>
          <w:b/>
          <w:bCs/>
          <w:color w:val="auto"/>
          <w:sz w:val="24"/>
          <w:szCs w:val="24"/>
          <w:highlight w:val="none"/>
          <w:lang w:val="en-US" w:eastAsia="zh-CN"/>
        </w:rPr>
      </w:pPr>
      <w:r>
        <w:rPr>
          <w:rFonts w:hint="eastAsia"/>
          <w:color w:val="auto"/>
          <w:lang w:val="en-US" w:eastAsia="zh-CN"/>
        </w:rPr>
        <w:drawing>
          <wp:inline distT="0" distB="0" distL="114300" distR="114300">
            <wp:extent cx="5269865" cy="7247255"/>
            <wp:effectExtent l="0" t="0" r="6985" b="10795"/>
            <wp:docPr id="76" name="图片 76" descr="图像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图像 (380)"/>
                    <pic:cNvPicPr>
                      <a:picLocks noChangeAspect="1"/>
                    </pic:cNvPicPr>
                  </pic:nvPicPr>
                  <pic:blipFill>
                    <a:blip r:embed="rId53"/>
                    <a:stretch>
                      <a:fillRect/>
                    </a:stretch>
                  </pic:blipFill>
                  <pic:spPr>
                    <a:xfrm rot="10800000">
                      <a:off x="0" y="0"/>
                      <a:ext cx="5269865" cy="7247255"/>
                    </a:xfrm>
                    <a:prstGeom prst="rect">
                      <a:avLst/>
                    </a:prstGeom>
                  </pic:spPr>
                </pic:pic>
              </a:graphicData>
            </a:graphic>
          </wp:inline>
        </w:drawing>
      </w:r>
    </w:p>
    <w:p w14:paraId="5FC3CAD0">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7836DB18">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59F7EBE0">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611A4DDC">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1F072C5E">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2E088A6C">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7EF8D1EF">
      <w:pPr>
        <w:pStyle w:val="16"/>
        <w:widowControl w:val="0"/>
        <w:numPr>
          <w:ilvl w:val="0"/>
          <w:numId w:val="0"/>
        </w:numPr>
        <w:jc w:val="both"/>
        <w:outlineLvl w:val="0"/>
        <w:rPr>
          <w:rFonts w:hint="eastAsia"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附件</w:t>
      </w:r>
      <w:r>
        <w:rPr>
          <w:rFonts w:hint="eastAsia" w:cs="Times New Roman"/>
          <w:b/>
          <w:bCs/>
          <w:color w:val="auto"/>
          <w:sz w:val="24"/>
          <w:szCs w:val="24"/>
          <w:highlight w:val="none"/>
          <w:lang w:val="en-US" w:eastAsia="zh-CN"/>
        </w:rPr>
        <w:t>6</w:t>
      </w:r>
      <w:r>
        <w:rPr>
          <w:rFonts w:hint="eastAsia" w:ascii="Times New Roman" w:hAnsi="Times New Roman" w:eastAsia="宋体" w:cs="Times New Roman"/>
          <w:b/>
          <w:bCs/>
          <w:color w:val="auto"/>
          <w:sz w:val="24"/>
          <w:szCs w:val="24"/>
          <w:highlight w:val="none"/>
          <w:lang w:val="en-US" w:eastAsia="zh-CN"/>
        </w:rPr>
        <w:t xml:space="preserve"> 竣工验收报告专家意见</w:t>
      </w:r>
    </w:p>
    <w:p w14:paraId="69F0255D">
      <w:pPr>
        <w:pStyle w:val="16"/>
        <w:widowControl w:val="0"/>
        <w:numPr>
          <w:ilvl w:val="0"/>
          <w:numId w:val="0"/>
        </w:numPr>
        <w:jc w:val="both"/>
        <w:outlineLvl w:val="9"/>
        <w:rPr>
          <w:rFonts w:hint="eastAsia" w:ascii="Times New Roman" w:hAnsi="Times New Roman" w:eastAsia="宋体" w:cs="Times New Roman"/>
          <w:b/>
          <w:bCs/>
          <w:color w:val="auto"/>
          <w:sz w:val="24"/>
          <w:szCs w:val="24"/>
          <w:highlight w:val="none"/>
          <w:lang w:val="en-US" w:eastAsia="zh-CN"/>
        </w:rPr>
      </w:pPr>
    </w:p>
    <w:p w14:paraId="2F48CC0D">
      <w:pPr>
        <w:pStyle w:val="16"/>
        <w:widowControl w:val="0"/>
        <w:numPr>
          <w:ilvl w:val="0"/>
          <w:numId w:val="0"/>
        </w:numPr>
        <w:jc w:val="both"/>
        <w:outlineLvl w:val="9"/>
        <w:rPr>
          <w:rFonts w:hint="eastAsia" w:ascii="Times New Roman" w:hAnsi="Times New Roman" w:eastAsia="宋体" w:cs="Times New Roman"/>
          <w:b/>
          <w:bCs/>
          <w:color w:val="auto"/>
          <w:sz w:val="24"/>
          <w:szCs w:val="24"/>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eastAsia" w:ascii="Times New Roman" w:hAnsi="Times New Roman" w:eastAsia="宋体" w:cs="Times New Roman"/>
          <w:b/>
          <w:bCs/>
          <w:color w:val="auto"/>
          <w:sz w:val="24"/>
          <w:szCs w:val="24"/>
          <w:lang w:val="en-US" w:eastAsia="zh-CN"/>
        </w:rPr>
        <w:drawing>
          <wp:inline distT="0" distB="0" distL="114300" distR="114300">
            <wp:extent cx="5401310" cy="8001635"/>
            <wp:effectExtent l="0" t="0" r="8890" b="18415"/>
            <wp:docPr id="68" name="图片 68" descr="验收意见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验收意见1"/>
                    <pic:cNvPicPr>
                      <a:picLocks noChangeAspect="1"/>
                    </pic:cNvPicPr>
                  </pic:nvPicPr>
                  <pic:blipFill>
                    <a:blip r:embed="rId54"/>
                    <a:stretch>
                      <a:fillRect/>
                    </a:stretch>
                  </pic:blipFill>
                  <pic:spPr>
                    <a:xfrm>
                      <a:off x="0" y="0"/>
                      <a:ext cx="5401310" cy="8001635"/>
                    </a:xfrm>
                    <a:prstGeom prst="rect">
                      <a:avLst/>
                    </a:prstGeom>
                  </pic:spPr>
                </pic:pic>
              </a:graphicData>
            </a:graphic>
          </wp:inline>
        </w:drawing>
      </w:r>
      <w:r>
        <w:rPr>
          <w:rFonts w:hint="eastAsia" w:ascii="Times New Roman" w:hAnsi="Times New Roman" w:eastAsia="宋体" w:cs="Times New Roman"/>
          <w:b/>
          <w:bCs/>
          <w:color w:val="auto"/>
          <w:sz w:val="24"/>
          <w:szCs w:val="24"/>
          <w:lang w:val="en-US" w:eastAsia="zh-CN"/>
        </w:rPr>
        <w:drawing>
          <wp:inline distT="0" distB="0" distL="114300" distR="114300">
            <wp:extent cx="4998720" cy="8267700"/>
            <wp:effectExtent l="0" t="0" r="11430" b="0"/>
            <wp:docPr id="57" name="图片 57" descr="验收意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验收意见2"/>
                    <pic:cNvPicPr>
                      <a:picLocks noChangeAspect="1"/>
                    </pic:cNvPicPr>
                  </pic:nvPicPr>
                  <pic:blipFill>
                    <a:blip r:embed="rId55"/>
                    <a:stretch>
                      <a:fillRect/>
                    </a:stretch>
                  </pic:blipFill>
                  <pic:spPr>
                    <a:xfrm>
                      <a:off x="0" y="0"/>
                      <a:ext cx="4998720" cy="8267700"/>
                    </a:xfrm>
                    <a:prstGeom prst="rect">
                      <a:avLst/>
                    </a:prstGeom>
                  </pic:spPr>
                </pic:pic>
              </a:graphicData>
            </a:graphic>
          </wp:inline>
        </w:drawing>
      </w:r>
      <w:r>
        <w:rPr>
          <w:rFonts w:hint="eastAsia" w:ascii="Times New Roman" w:hAnsi="Times New Roman" w:eastAsia="宋体" w:cs="Times New Roman"/>
          <w:b/>
          <w:bCs/>
          <w:color w:val="auto"/>
          <w:sz w:val="24"/>
          <w:szCs w:val="24"/>
          <w:lang w:val="en-US" w:eastAsia="zh-CN"/>
        </w:rPr>
        <w:drawing>
          <wp:inline distT="0" distB="0" distL="114300" distR="114300">
            <wp:extent cx="4919345" cy="8422640"/>
            <wp:effectExtent l="0" t="0" r="14605" b="16510"/>
            <wp:docPr id="56" name="图片 56" descr="验收意见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验收意见3"/>
                    <pic:cNvPicPr>
                      <a:picLocks noChangeAspect="1"/>
                    </pic:cNvPicPr>
                  </pic:nvPicPr>
                  <pic:blipFill>
                    <a:blip r:embed="rId56"/>
                    <a:stretch>
                      <a:fillRect/>
                    </a:stretch>
                  </pic:blipFill>
                  <pic:spPr>
                    <a:xfrm>
                      <a:off x="0" y="0"/>
                      <a:ext cx="4919345" cy="8422640"/>
                    </a:xfrm>
                    <a:prstGeom prst="rect">
                      <a:avLst/>
                    </a:prstGeom>
                  </pic:spPr>
                </pic:pic>
              </a:graphicData>
            </a:graphic>
          </wp:inline>
        </w:drawing>
      </w:r>
      <w:r>
        <w:rPr>
          <w:rFonts w:hint="eastAsia" w:ascii="Times New Roman" w:hAnsi="Times New Roman" w:eastAsia="宋体" w:cs="Times New Roman"/>
          <w:b/>
          <w:bCs/>
          <w:color w:val="auto"/>
          <w:sz w:val="24"/>
          <w:szCs w:val="24"/>
          <w:lang w:val="en-US" w:eastAsia="zh-CN"/>
        </w:rPr>
        <w:drawing>
          <wp:inline distT="0" distB="0" distL="114300" distR="114300">
            <wp:extent cx="4853305" cy="8495665"/>
            <wp:effectExtent l="0" t="0" r="4445" b="635"/>
            <wp:docPr id="55" name="图片 55" descr="验收意见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验收意见4"/>
                    <pic:cNvPicPr>
                      <a:picLocks noChangeAspect="1"/>
                    </pic:cNvPicPr>
                  </pic:nvPicPr>
                  <pic:blipFill>
                    <a:blip r:embed="rId57"/>
                    <a:stretch>
                      <a:fillRect/>
                    </a:stretch>
                  </pic:blipFill>
                  <pic:spPr>
                    <a:xfrm>
                      <a:off x="0" y="0"/>
                      <a:ext cx="4853305" cy="8495665"/>
                    </a:xfrm>
                    <a:prstGeom prst="rect">
                      <a:avLst/>
                    </a:prstGeom>
                  </pic:spPr>
                </pic:pic>
              </a:graphicData>
            </a:graphic>
          </wp:inline>
        </w:drawing>
      </w:r>
      <w:r>
        <w:rPr>
          <w:rFonts w:hint="eastAsia" w:ascii="Times New Roman" w:hAnsi="Times New Roman" w:eastAsia="宋体" w:cs="Times New Roman"/>
          <w:b/>
          <w:bCs/>
          <w:color w:val="auto"/>
          <w:sz w:val="24"/>
          <w:szCs w:val="24"/>
          <w:lang w:val="en-US" w:eastAsia="zh-CN"/>
        </w:rPr>
        <w:drawing>
          <wp:inline distT="0" distB="0" distL="114300" distR="114300">
            <wp:extent cx="5126990" cy="8445500"/>
            <wp:effectExtent l="0" t="0" r="16510" b="12700"/>
            <wp:docPr id="45" name="图片 45" descr="验收意见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验收意见5"/>
                    <pic:cNvPicPr>
                      <a:picLocks noChangeAspect="1"/>
                    </pic:cNvPicPr>
                  </pic:nvPicPr>
                  <pic:blipFill>
                    <a:blip r:embed="rId58"/>
                    <a:stretch>
                      <a:fillRect/>
                    </a:stretch>
                  </pic:blipFill>
                  <pic:spPr>
                    <a:xfrm>
                      <a:off x="0" y="0"/>
                      <a:ext cx="5126990" cy="8445500"/>
                    </a:xfrm>
                    <a:prstGeom prst="rect">
                      <a:avLst/>
                    </a:prstGeom>
                  </pic:spPr>
                </pic:pic>
              </a:graphicData>
            </a:graphic>
          </wp:inline>
        </w:drawing>
      </w:r>
    </w:p>
    <w:p w14:paraId="652F05B9">
      <w:pPr>
        <w:pStyle w:val="16"/>
        <w:widowControl w:val="0"/>
        <w:numPr>
          <w:ilvl w:val="0"/>
          <w:numId w:val="0"/>
        </w:numPr>
        <w:jc w:val="center"/>
        <w:outlineLvl w:val="9"/>
        <w:rPr>
          <w:rFonts w:hint="default" w:ascii="Times New Roman" w:hAnsi="Times New Roman" w:eastAsia="宋体" w:cs="Times New Roman"/>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4" w:name="_Toc12686"/>
      <w:r>
        <w:rPr>
          <w:rFonts w:hint="eastAsia" w:ascii="Times New Roman" w:hAnsi="Times New Roman" w:eastAsia="宋体" w:cs="Times New Roman"/>
          <w:b/>
          <w:bCs/>
          <w:color w:val="auto"/>
          <w:sz w:val="24"/>
          <w:szCs w:val="24"/>
          <w:lang w:val="en-US" w:eastAsia="zh-CN"/>
        </w:rPr>
        <w:drawing>
          <wp:inline distT="0" distB="0" distL="114300" distR="114300">
            <wp:extent cx="5485765" cy="7541895"/>
            <wp:effectExtent l="0" t="0" r="1905" b="635"/>
            <wp:docPr id="70" name="图片 70" descr="验收意见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验收意见6"/>
                    <pic:cNvPicPr>
                      <a:picLocks noChangeAspect="1"/>
                    </pic:cNvPicPr>
                  </pic:nvPicPr>
                  <pic:blipFill>
                    <a:blip r:embed="rId59"/>
                    <a:stretch>
                      <a:fillRect/>
                    </a:stretch>
                  </pic:blipFill>
                  <pic:spPr>
                    <a:xfrm rot="5400000">
                      <a:off x="0" y="0"/>
                      <a:ext cx="5485765" cy="7541895"/>
                    </a:xfrm>
                    <a:prstGeom prst="rect">
                      <a:avLst/>
                    </a:prstGeom>
                  </pic:spPr>
                </pic:pic>
              </a:graphicData>
            </a:graphic>
          </wp:inline>
        </w:drawing>
      </w:r>
      <w:bookmarkEnd w:id="24"/>
    </w:p>
    <w:p w14:paraId="7E496CDE">
      <w:pPr>
        <w:pStyle w:val="16"/>
        <w:widowControl w:val="0"/>
        <w:numPr>
          <w:ilvl w:val="0"/>
          <w:numId w:val="0"/>
        </w:numPr>
        <w:jc w:val="both"/>
        <w:outlineLvl w:val="0"/>
        <w:rPr>
          <w:rFonts w:hint="eastAsia" w:cs="Times New Roman"/>
          <w:b/>
          <w:bCs/>
          <w:color w:val="auto"/>
          <w:sz w:val="24"/>
          <w:szCs w:val="24"/>
          <w:highlight w:val="none"/>
          <w:lang w:val="en-US" w:eastAsia="zh-CN"/>
        </w:rPr>
      </w:pPr>
      <w:bookmarkStart w:id="25" w:name="_Toc21337"/>
      <w:r>
        <w:rPr>
          <w:rFonts w:hint="eastAsia" w:cs="Times New Roman"/>
          <w:b/>
          <w:bCs/>
          <w:color w:val="auto"/>
          <w:sz w:val="24"/>
          <w:szCs w:val="24"/>
          <w:highlight w:val="none"/>
          <w:lang w:val="en-US" w:eastAsia="zh-CN"/>
        </w:rPr>
        <w:t>附件7 用地性质</w:t>
      </w:r>
      <w:bookmarkEnd w:id="25"/>
    </w:p>
    <w:p w14:paraId="1069C4DF">
      <w:pPr>
        <w:pStyle w:val="16"/>
        <w:widowControl w:val="0"/>
        <w:numPr>
          <w:ilvl w:val="0"/>
          <w:numId w:val="0"/>
        </w:numPr>
        <w:jc w:val="both"/>
        <w:outlineLvl w:val="9"/>
        <w:rPr>
          <w:rFonts w:hint="eastAsia" w:cs="Times New Roman"/>
          <w:b/>
          <w:bCs/>
          <w:color w:val="auto"/>
          <w:sz w:val="24"/>
          <w:szCs w:val="24"/>
          <w:highlight w:val="none"/>
          <w:lang w:val="en-US" w:eastAsia="zh-CN"/>
        </w:rPr>
      </w:pPr>
    </w:p>
    <w:p w14:paraId="0151B6A1">
      <w:pPr>
        <w:pStyle w:val="16"/>
        <w:widowControl w:val="0"/>
        <w:numPr>
          <w:ilvl w:val="0"/>
          <w:numId w:val="0"/>
        </w:numPr>
        <w:jc w:val="center"/>
        <w:outlineLvl w:val="0"/>
        <w:rPr>
          <w:rFonts w:hint="default" w:cs="Times New Roman"/>
          <w:b/>
          <w:bCs/>
          <w:color w:val="auto"/>
          <w:sz w:val="24"/>
          <w:szCs w:val="24"/>
          <w:highlight w:val="none"/>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r>
        <w:rPr>
          <w:rFonts w:hint="default" w:cs="Times New Roman"/>
          <w:b/>
          <w:bCs/>
          <w:color w:val="auto"/>
          <w:sz w:val="24"/>
          <w:szCs w:val="24"/>
          <w:highlight w:val="none"/>
          <w:lang w:val="en-US" w:eastAsia="zh-CN"/>
        </w:rPr>
        <w:drawing>
          <wp:inline distT="0" distB="0" distL="114300" distR="114300">
            <wp:extent cx="7113905" cy="5030470"/>
            <wp:effectExtent l="0" t="0" r="10795" b="17780"/>
            <wp:docPr id="2" name="图片 2" descr="用地证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用地证明"/>
                    <pic:cNvPicPr>
                      <a:picLocks noChangeAspect="1"/>
                    </pic:cNvPicPr>
                  </pic:nvPicPr>
                  <pic:blipFill>
                    <a:blip r:embed="rId60"/>
                    <a:stretch>
                      <a:fillRect/>
                    </a:stretch>
                  </pic:blipFill>
                  <pic:spPr>
                    <a:xfrm>
                      <a:off x="0" y="0"/>
                      <a:ext cx="7113905" cy="5030470"/>
                    </a:xfrm>
                    <a:prstGeom prst="rect">
                      <a:avLst/>
                    </a:prstGeom>
                  </pic:spPr>
                </pic:pic>
              </a:graphicData>
            </a:graphic>
          </wp:inline>
        </w:drawing>
      </w:r>
    </w:p>
    <w:p w14:paraId="489998B6">
      <w:pPr>
        <w:pStyle w:val="16"/>
        <w:widowControl w:val="0"/>
        <w:numPr>
          <w:ilvl w:val="0"/>
          <w:numId w:val="0"/>
        </w:numPr>
        <w:jc w:val="both"/>
        <w:outlineLvl w:val="0"/>
        <w:rPr>
          <w:rFonts w:hint="eastAsia" w:cs="Times New Roman"/>
          <w:b/>
          <w:bCs/>
          <w:color w:val="auto"/>
          <w:sz w:val="24"/>
          <w:szCs w:val="24"/>
          <w:highlight w:val="none"/>
          <w:lang w:val="en-US" w:eastAsia="zh-CN"/>
        </w:rPr>
      </w:pPr>
      <w:bookmarkStart w:id="26" w:name="_Toc26938"/>
      <w:r>
        <w:rPr>
          <w:rFonts w:hint="eastAsia" w:cs="Times New Roman"/>
          <w:b/>
          <w:bCs/>
          <w:color w:val="auto"/>
          <w:sz w:val="24"/>
          <w:szCs w:val="24"/>
          <w:highlight w:val="none"/>
          <w:lang w:val="en-US" w:eastAsia="zh-CN"/>
        </w:rPr>
        <w:t>附件8 排污许可</w:t>
      </w:r>
      <w:bookmarkEnd w:id="26"/>
    </w:p>
    <w:p w14:paraId="0D8313AA">
      <w:pPr>
        <w:pStyle w:val="16"/>
        <w:widowControl w:val="0"/>
        <w:numPr>
          <w:ilvl w:val="0"/>
          <w:numId w:val="0"/>
        </w:numPr>
        <w:jc w:val="center"/>
        <w:outlineLvl w:val="9"/>
        <w:rPr>
          <w:rFonts w:hint="default" w:ascii="Times New Roman" w:hAnsi="Times New Roman" w:eastAsia="宋体" w:cs="Times New Roman"/>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bookmarkStart w:id="27" w:name="_Toc16101"/>
      <w:r>
        <w:rPr>
          <w:rFonts w:hint="eastAsia" w:cs="Times New Roman"/>
          <w:b/>
          <w:bCs/>
          <w:color w:val="auto"/>
          <w:sz w:val="24"/>
          <w:szCs w:val="24"/>
          <w:highlight w:val="red"/>
          <w:lang w:val="en-US" w:eastAsia="zh-CN"/>
        </w:rPr>
        <w:drawing>
          <wp:inline distT="0" distB="0" distL="114300" distR="114300">
            <wp:extent cx="5365115" cy="7668895"/>
            <wp:effectExtent l="0" t="0" r="8255" b="6985"/>
            <wp:docPr id="48" name="图片 48" descr="排污许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排污许可"/>
                    <pic:cNvPicPr>
                      <a:picLocks noChangeAspect="1"/>
                    </pic:cNvPicPr>
                  </pic:nvPicPr>
                  <pic:blipFill>
                    <a:blip r:embed="rId61"/>
                    <a:srcRect t="10692" r="1364" b="10007"/>
                    <a:stretch>
                      <a:fillRect/>
                    </a:stretch>
                  </pic:blipFill>
                  <pic:spPr>
                    <a:xfrm rot="16200000">
                      <a:off x="0" y="0"/>
                      <a:ext cx="5365115" cy="7668895"/>
                    </a:xfrm>
                    <a:prstGeom prst="rect">
                      <a:avLst/>
                    </a:prstGeom>
                  </pic:spPr>
                </pic:pic>
              </a:graphicData>
            </a:graphic>
          </wp:inline>
        </w:drawing>
      </w:r>
      <w:bookmarkEnd w:id="27"/>
    </w:p>
    <w:p w14:paraId="54359392">
      <w:pPr>
        <w:pStyle w:val="16"/>
        <w:widowControl w:val="0"/>
        <w:numPr>
          <w:ilvl w:val="0"/>
          <w:numId w:val="0"/>
        </w:numPr>
        <w:jc w:val="both"/>
        <w:outlineLvl w:val="0"/>
        <w:rPr>
          <w:rFonts w:hint="eastAsia" w:cs="Times New Roman"/>
          <w:b/>
          <w:bCs/>
          <w:color w:val="auto"/>
          <w:sz w:val="24"/>
          <w:szCs w:val="24"/>
          <w:lang w:val="en-US" w:eastAsia="zh-CN"/>
        </w:rPr>
      </w:pPr>
      <w:bookmarkStart w:id="28" w:name="_Toc11572"/>
      <w:r>
        <w:rPr>
          <w:rFonts w:hint="eastAsia" w:cs="Times New Roman"/>
          <w:b/>
          <w:bCs/>
          <w:color w:val="auto"/>
          <w:sz w:val="24"/>
          <w:szCs w:val="24"/>
          <w:lang w:val="en-US" w:eastAsia="zh-CN"/>
        </w:rPr>
        <w:t>附件9 生态环境分区管控分析报告</w:t>
      </w:r>
      <w:bookmarkEnd w:id="28"/>
    </w:p>
    <w:p w14:paraId="79764E3A">
      <w:pPr>
        <w:pStyle w:val="16"/>
        <w:widowControl w:val="0"/>
        <w:numPr>
          <w:ilvl w:val="0"/>
          <w:numId w:val="0"/>
        </w:numPr>
        <w:jc w:val="both"/>
        <w:outlineLvl w:val="9"/>
        <w:rPr>
          <w:rFonts w:hint="default" w:cs="Times New Roman"/>
          <w:b/>
          <w:bCs/>
          <w:color w:val="auto"/>
          <w:sz w:val="24"/>
          <w:szCs w:val="24"/>
          <w:lang w:val="en-US" w:eastAsia="zh-CN"/>
        </w:rPr>
      </w:pPr>
      <w:r>
        <w:rPr>
          <w:rFonts w:hint="default" w:cs="Times New Roman"/>
          <w:b/>
          <w:bCs/>
          <w:color w:val="auto"/>
          <w:sz w:val="24"/>
          <w:szCs w:val="24"/>
          <w:lang w:val="en-US" w:eastAsia="zh-CN"/>
        </w:rPr>
        <w:drawing>
          <wp:inline distT="0" distB="0" distL="114300" distR="114300">
            <wp:extent cx="7623810" cy="5389880"/>
            <wp:effectExtent l="0" t="0" r="15240" b="1270"/>
            <wp:docPr id="52" name="图片 52" descr="铁城锅炉2025年11月27日134106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铁城锅炉2025年11月27日134106_分析报告_01"/>
                    <pic:cNvPicPr>
                      <a:picLocks noChangeAspect="1"/>
                    </pic:cNvPicPr>
                  </pic:nvPicPr>
                  <pic:blipFill>
                    <a:blip r:embed="rId62"/>
                    <a:stretch>
                      <a:fillRect/>
                    </a:stretch>
                  </pic:blipFill>
                  <pic:spPr>
                    <a:xfrm>
                      <a:off x="0" y="0"/>
                      <a:ext cx="7623810" cy="538988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44" name="图片 44" descr="铁城锅炉2025年11月27日134106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铁城锅炉2025年11月27日134106_分析报告_02"/>
                    <pic:cNvPicPr>
                      <a:picLocks noChangeAspect="1"/>
                    </pic:cNvPicPr>
                  </pic:nvPicPr>
                  <pic:blipFill>
                    <a:blip r:embed="rId63"/>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43" name="图片 43" descr="铁城锅炉2025年11月27日134106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铁城锅炉2025年11月27日134106_分析报告_03"/>
                    <pic:cNvPicPr>
                      <a:picLocks noChangeAspect="1"/>
                    </pic:cNvPicPr>
                  </pic:nvPicPr>
                  <pic:blipFill>
                    <a:blip r:embed="rId64"/>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35" name="图片 35" descr="铁城锅炉2025年11月27日134106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铁城锅炉2025年11月27日134106_分析报告_04"/>
                    <pic:cNvPicPr>
                      <a:picLocks noChangeAspect="1"/>
                    </pic:cNvPicPr>
                  </pic:nvPicPr>
                  <pic:blipFill>
                    <a:blip r:embed="rId65"/>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30" name="图片 30" descr="铁城锅炉2025年11月27日134106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铁城锅炉2025年11月27日134106_分析报告_05"/>
                    <pic:cNvPicPr>
                      <a:picLocks noChangeAspect="1"/>
                    </pic:cNvPicPr>
                  </pic:nvPicPr>
                  <pic:blipFill>
                    <a:blip r:embed="rId66"/>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13" name="图片 13" descr="铁城锅炉2025年11月27日134106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铁城锅炉2025年11月27日134106_分析报告_06"/>
                    <pic:cNvPicPr>
                      <a:picLocks noChangeAspect="1"/>
                    </pic:cNvPicPr>
                  </pic:nvPicPr>
                  <pic:blipFill>
                    <a:blip r:embed="rId67"/>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10" name="图片 10" descr="铁城锅炉2025年11月27日134106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铁城锅炉2025年11月27日134106_分析报告_07"/>
                    <pic:cNvPicPr>
                      <a:picLocks noChangeAspect="1"/>
                    </pic:cNvPicPr>
                  </pic:nvPicPr>
                  <pic:blipFill>
                    <a:blip r:embed="rId68"/>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8" name="图片 8" descr="铁城锅炉2025年11月27日134106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铁城锅炉2025年11月27日134106_分析报告_08"/>
                    <pic:cNvPicPr>
                      <a:picLocks noChangeAspect="1"/>
                    </pic:cNvPicPr>
                  </pic:nvPicPr>
                  <pic:blipFill>
                    <a:blip r:embed="rId69"/>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7" name="图片 7" descr="铁城锅炉2025年11月27日134106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铁城锅炉2025年11月27日134106_分析报告_09"/>
                    <pic:cNvPicPr>
                      <a:picLocks noChangeAspect="1"/>
                    </pic:cNvPicPr>
                  </pic:nvPicPr>
                  <pic:blipFill>
                    <a:blip r:embed="rId70"/>
                    <a:stretch>
                      <a:fillRect/>
                    </a:stretch>
                  </pic:blipFill>
                  <pic:spPr>
                    <a:xfrm>
                      <a:off x="0" y="0"/>
                      <a:ext cx="7933690" cy="5609590"/>
                    </a:xfrm>
                    <a:prstGeom prst="rect">
                      <a:avLst/>
                    </a:prstGeom>
                  </pic:spPr>
                </pic:pic>
              </a:graphicData>
            </a:graphic>
          </wp:inline>
        </w:drawing>
      </w:r>
      <w:r>
        <w:rPr>
          <w:rFonts w:hint="default" w:cs="Times New Roman"/>
          <w:b/>
          <w:bCs/>
          <w:color w:val="auto"/>
          <w:sz w:val="24"/>
          <w:szCs w:val="24"/>
          <w:lang w:val="en-US" w:eastAsia="zh-CN"/>
        </w:rPr>
        <w:drawing>
          <wp:inline distT="0" distB="0" distL="114300" distR="114300">
            <wp:extent cx="7933690" cy="5609590"/>
            <wp:effectExtent l="0" t="0" r="10160" b="10160"/>
            <wp:docPr id="4" name="图片 4" descr="铁城锅炉2025年11月27日134106_分析报告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铁城锅炉2025年11月27日134106_分析报告_10"/>
                    <pic:cNvPicPr>
                      <a:picLocks noChangeAspect="1"/>
                    </pic:cNvPicPr>
                  </pic:nvPicPr>
                  <pic:blipFill>
                    <a:blip r:embed="rId71"/>
                    <a:stretch>
                      <a:fillRect/>
                    </a:stretch>
                  </pic:blipFill>
                  <pic:spPr>
                    <a:xfrm>
                      <a:off x="0" y="0"/>
                      <a:ext cx="7933690" cy="5609590"/>
                    </a:xfrm>
                    <a:prstGeom prst="rect">
                      <a:avLst/>
                    </a:prstGeom>
                  </pic:spPr>
                </pic:pic>
              </a:graphicData>
            </a:graphic>
          </wp:inline>
        </w:drawing>
      </w:r>
    </w:p>
    <w:p w14:paraId="0C323596">
      <w:pPr>
        <w:pStyle w:val="16"/>
        <w:widowControl w:val="0"/>
        <w:numPr>
          <w:ilvl w:val="0"/>
          <w:numId w:val="0"/>
        </w:numPr>
        <w:jc w:val="both"/>
        <w:outlineLvl w:val="0"/>
        <w:rPr>
          <w:rFonts w:hint="default" w:cs="Times New Roman"/>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52C1EB85">
      <w:pPr>
        <w:pStyle w:val="26"/>
        <w:tabs>
          <w:tab w:val="left" w:pos="10186"/>
        </w:tabs>
        <w:adjustRightInd w:val="0"/>
        <w:snapToGrid w:val="0"/>
        <w:spacing w:before="0" w:beforeAutospacing="0" w:after="0" w:afterAutospacing="0" w:line="240" w:lineRule="auto"/>
        <w:jc w:val="center"/>
        <w:outlineLvl w:val="0"/>
        <w:rPr>
          <w:rFonts w:hint="default" w:ascii="方正小标宋_GBK" w:hAnsi="黑体" w:eastAsia="方正小标宋_GBK"/>
          <w:snapToGrid w:val="0"/>
          <w:color w:val="auto"/>
          <w:sz w:val="28"/>
          <w:szCs w:val="28"/>
          <w:highlight w:val="none"/>
          <w:lang w:val="en-US" w:eastAsia="zh-CN"/>
        </w:rPr>
      </w:pPr>
      <w:bookmarkStart w:id="29" w:name="_Toc23960"/>
      <w:bookmarkStart w:id="30" w:name="_Toc25365"/>
      <w:bookmarkStart w:id="31" w:name="_Toc21577"/>
      <w:r>
        <w:rPr>
          <w:rFonts w:hint="eastAsia" w:ascii="黑体" w:hAnsi="黑体" w:eastAsia="黑体"/>
          <w:snapToGrid w:val="0"/>
          <w:color w:val="auto"/>
          <w:sz w:val="28"/>
          <w:szCs w:val="28"/>
          <w:highlight w:val="none"/>
        </w:rPr>
        <w:t>附表</w:t>
      </w:r>
      <w:r>
        <w:rPr>
          <w:rFonts w:hint="eastAsia" w:ascii="黑体" w:hAnsi="黑体" w:eastAsia="黑体"/>
          <w:snapToGrid w:val="0"/>
          <w:color w:val="auto"/>
          <w:sz w:val="28"/>
          <w:szCs w:val="28"/>
          <w:highlight w:val="none"/>
          <w:lang w:val="en-US" w:eastAsia="zh-CN"/>
        </w:rPr>
        <w:t>1</w:t>
      </w:r>
      <w:bookmarkEnd w:id="29"/>
      <w:bookmarkStart w:id="32" w:name="_Toc3489"/>
      <w:r>
        <w:rPr>
          <w:rFonts w:hint="eastAsia" w:ascii="黑体" w:hAnsi="黑体" w:eastAsia="黑体"/>
          <w:snapToGrid w:val="0"/>
          <w:color w:val="auto"/>
          <w:sz w:val="28"/>
          <w:szCs w:val="28"/>
          <w:highlight w:val="none"/>
          <w:lang w:val="en-US" w:eastAsia="zh-CN"/>
        </w:rPr>
        <w:t xml:space="preserve">         </w:t>
      </w:r>
      <w:r>
        <w:rPr>
          <w:rFonts w:hint="eastAsia" w:ascii="方正小标宋_GBK" w:hAnsi="黑体" w:eastAsia="方正小标宋_GBK"/>
          <w:snapToGrid w:val="0"/>
          <w:color w:val="auto"/>
          <w:sz w:val="28"/>
          <w:szCs w:val="28"/>
          <w:highlight w:val="none"/>
        </w:rPr>
        <w:t>建设项目污染物排放量汇总表</w:t>
      </w:r>
      <w:bookmarkEnd w:id="30"/>
      <w:bookmarkEnd w:id="32"/>
      <w:r>
        <w:rPr>
          <w:rFonts w:hint="eastAsia" w:ascii="方正小标宋_GBK" w:hAnsi="黑体" w:eastAsia="方正小标宋_GBK"/>
          <w:snapToGrid w:val="0"/>
          <w:color w:val="auto"/>
          <w:sz w:val="28"/>
          <w:szCs w:val="28"/>
          <w:highlight w:val="none"/>
          <w:lang w:val="en-US" w:eastAsia="zh-CN"/>
        </w:rPr>
        <w:t xml:space="preserve">    单位：t/a</w:t>
      </w:r>
      <w:bookmarkEnd w:id="31"/>
    </w:p>
    <w:tbl>
      <w:tblPr>
        <w:tblStyle w:val="30"/>
        <w:tblW w:w="14636"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90"/>
        <w:gridCol w:w="1358"/>
        <w:gridCol w:w="1774"/>
        <w:gridCol w:w="1232"/>
        <w:gridCol w:w="1905"/>
        <w:gridCol w:w="1807"/>
        <w:gridCol w:w="1478"/>
        <w:gridCol w:w="2037"/>
        <w:gridCol w:w="1655"/>
      </w:tblGrid>
      <w:tr w14:paraId="724B1DE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09" w:hRule="atLeast"/>
          <w:jc w:val="center"/>
        </w:trPr>
        <w:tc>
          <w:tcPr>
            <w:tcW w:w="1390" w:type="dxa"/>
            <w:tcBorders>
              <w:tl2br w:val="single" w:color="auto" w:sz="4" w:space="0"/>
            </w:tcBorders>
            <w:noWrap w:val="0"/>
            <w:tcMar>
              <w:left w:w="28" w:type="dxa"/>
              <w:right w:w="28" w:type="dxa"/>
            </w:tcMar>
            <w:vAlign w:val="center"/>
          </w:tcPr>
          <w:p w14:paraId="32D6C808">
            <w:pPr>
              <w:pStyle w:val="57"/>
              <w:spacing w:beforeLines="0" w:afterLines="0" w:line="240" w:lineRule="auto"/>
              <w:jc w:val="center"/>
              <w:rPr>
                <w:rFonts w:hint="eastAsia" w:ascii="黑体" w:hAnsi="黑体" w:eastAsia="黑体" w:cs="宋体"/>
                <w:snapToGrid w:val="0"/>
                <w:color w:val="auto"/>
                <w:spacing w:val="-6"/>
                <w:kern w:val="21"/>
                <w:sz w:val="21"/>
                <w:szCs w:val="21"/>
                <w:lang w:val="en-US" w:eastAsia="zh-CN"/>
              </w:rPr>
            </w:pPr>
            <w:r>
              <w:rPr>
                <w:rFonts w:hint="eastAsia" w:ascii="黑体" w:hAnsi="黑体" w:eastAsia="黑体" w:cs="宋体"/>
                <w:snapToGrid w:val="0"/>
                <w:color w:val="auto"/>
                <w:spacing w:val="-6"/>
                <w:kern w:val="21"/>
                <w:sz w:val="21"/>
                <w:szCs w:val="21"/>
                <w:lang w:val="en-US" w:eastAsia="zh-CN"/>
              </w:rPr>
              <w:t>项目</w:t>
            </w:r>
          </w:p>
          <w:p w14:paraId="5CC966C2">
            <w:pPr>
              <w:pStyle w:val="57"/>
              <w:spacing w:beforeLines="0" w:afterLines="0" w:line="240" w:lineRule="auto"/>
              <w:ind w:left="0" w:leftChars="0" w:firstLine="0" w:firstLineChars="0"/>
              <w:jc w:val="left"/>
              <w:rPr>
                <w:rFonts w:hint="eastAsia" w:ascii="黑体" w:hAnsi="黑体" w:eastAsia="黑体" w:cs="宋体"/>
                <w:snapToGrid w:val="0"/>
                <w:color w:val="auto"/>
                <w:spacing w:val="-6"/>
                <w:kern w:val="21"/>
                <w:sz w:val="21"/>
                <w:szCs w:val="21"/>
                <w:lang w:val="en-US" w:eastAsia="zh-CN"/>
              </w:rPr>
            </w:pPr>
            <w:r>
              <w:rPr>
                <w:rFonts w:hint="eastAsia" w:ascii="黑体" w:hAnsi="黑体" w:eastAsia="黑体" w:cs="宋体"/>
                <w:snapToGrid w:val="0"/>
                <w:color w:val="auto"/>
                <w:spacing w:val="-6"/>
                <w:kern w:val="21"/>
                <w:sz w:val="21"/>
                <w:szCs w:val="21"/>
                <w:lang w:val="en-US" w:eastAsia="zh-CN"/>
              </w:rPr>
              <w:t>分类</w:t>
            </w:r>
          </w:p>
        </w:tc>
        <w:tc>
          <w:tcPr>
            <w:tcW w:w="1358" w:type="dxa"/>
            <w:noWrap w:val="0"/>
            <w:tcMar>
              <w:left w:w="28" w:type="dxa"/>
              <w:right w:w="28" w:type="dxa"/>
            </w:tcMar>
            <w:vAlign w:val="center"/>
          </w:tcPr>
          <w:p w14:paraId="1DE68BCF">
            <w:pPr>
              <w:pStyle w:val="57"/>
              <w:spacing w:beforeLines="0" w:afterLines="0" w:line="240" w:lineRule="auto"/>
              <w:ind w:left="0" w:leftChars="0" w:firstLine="0" w:firstLineChars="0"/>
              <w:jc w:val="center"/>
              <w:rPr>
                <w:rFonts w:hint="eastAsia" w:ascii="黑体" w:hAnsi="黑体" w:eastAsia="黑体" w:cs="宋体"/>
                <w:snapToGrid w:val="0"/>
                <w:color w:val="auto"/>
                <w:spacing w:val="-6"/>
                <w:kern w:val="21"/>
                <w:sz w:val="21"/>
                <w:szCs w:val="21"/>
                <w:lang w:val="en-US" w:eastAsia="zh-CN"/>
              </w:rPr>
            </w:pPr>
            <w:r>
              <w:rPr>
                <w:rFonts w:hint="eastAsia" w:ascii="黑体" w:hAnsi="黑体" w:eastAsia="黑体" w:cs="宋体"/>
                <w:snapToGrid w:val="0"/>
                <w:color w:val="auto"/>
                <w:spacing w:val="-6"/>
                <w:kern w:val="21"/>
                <w:sz w:val="21"/>
                <w:szCs w:val="21"/>
                <w:lang w:val="en-US" w:eastAsia="zh-CN"/>
              </w:rPr>
              <w:t>污染物名称</w:t>
            </w:r>
          </w:p>
        </w:tc>
        <w:tc>
          <w:tcPr>
            <w:tcW w:w="1774" w:type="dxa"/>
            <w:noWrap w:val="0"/>
            <w:tcMar>
              <w:left w:w="28" w:type="dxa"/>
              <w:right w:w="28" w:type="dxa"/>
            </w:tcMar>
            <w:vAlign w:val="center"/>
          </w:tcPr>
          <w:p w14:paraId="01B96861">
            <w:pPr>
              <w:pStyle w:val="57"/>
              <w:spacing w:beforeLines="0" w:afterLines="0" w:line="240" w:lineRule="auto"/>
              <w:ind w:left="0" w:leftChars="0" w:firstLine="0" w:firstLineChars="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t>现有工程排放量</w:t>
            </w:r>
          </w:p>
          <w:p w14:paraId="7D25AC0E">
            <w:pPr>
              <w:pStyle w:val="57"/>
              <w:spacing w:beforeLines="0" w:afterLines="0" w:line="240" w:lineRule="auto"/>
              <w:ind w:left="0" w:leftChars="0" w:firstLine="0" w:firstLineChars="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t>（固</w:t>
            </w:r>
            <w:r>
              <w:rPr>
                <w:rFonts w:hint="eastAsia" w:ascii="黑体" w:hAnsi="黑体" w:eastAsia="黑体"/>
                <w:snapToGrid w:val="0"/>
                <w:color w:val="auto"/>
                <w:spacing w:val="-6"/>
                <w:kern w:val="21"/>
                <w:sz w:val="21"/>
                <w:szCs w:val="21"/>
                <w:lang w:val="en-US" w:eastAsia="zh-CN"/>
              </w:rPr>
              <w:t>体</w:t>
            </w:r>
            <w:r>
              <w:rPr>
                <w:rFonts w:ascii="黑体" w:hAnsi="黑体" w:eastAsia="黑体"/>
                <w:snapToGrid w:val="0"/>
                <w:color w:val="auto"/>
                <w:spacing w:val="-6"/>
                <w:kern w:val="21"/>
                <w:sz w:val="21"/>
                <w:szCs w:val="21"/>
                <w:lang w:val="en-US" w:eastAsia="zh-CN"/>
              </w:rPr>
              <w:t>废</w:t>
            </w:r>
            <w:r>
              <w:rPr>
                <w:rFonts w:hint="eastAsia" w:ascii="黑体" w:hAnsi="黑体" w:eastAsia="黑体"/>
                <w:snapToGrid w:val="0"/>
                <w:color w:val="auto"/>
                <w:spacing w:val="-6"/>
                <w:kern w:val="21"/>
                <w:sz w:val="21"/>
                <w:szCs w:val="21"/>
                <w:lang w:val="en-US" w:eastAsia="zh-CN"/>
              </w:rPr>
              <w:t>物</w:t>
            </w:r>
            <w:r>
              <w:rPr>
                <w:rFonts w:ascii="黑体" w:hAnsi="黑体" w:eastAsia="黑体"/>
                <w:snapToGrid w:val="0"/>
                <w:color w:val="auto"/>
                <w:spacing w:val="-6"/>
                <w:kern w:val="21"/>
                <w:sz w:val="21"/>
                <w:szCs w:val="21"/>
                <w:lang w:val="en-US" w:eastAsia="zh-CN"/>
              </w:rPr>
              <w:t>产生量）</w:t>
            </w:r>
          </w:p>
          <w:p w14:paraId="26C63112">
            <w:pPr>
              <w:pStyle w:val="57"/>
              <w:spacing w:beforeLines="0" w:afterLines="0" w:line="240" w:lineRule="auto"/>
              <w:ind w:left="0" w:leftChars="0" w:firstLine="0" w:firstLineChars="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fldChar w:fldCharType="begin"/>
            </w:r>
            <w:r>
              <w:rPr>
                <w:rFonts w:ascii="黑体" w:hAnsi="黑体" w:eastAsia="黑体"/>
                <w:snapToGrid w:val="0"/>
                <w:color w:val="auto"/>
                <w:spacing w:val="-6"/>
                <w:kern w:val="21"/>
                <w:sz w:val="21"/>
                <w:szCs w:val="21"/>
                <w:lang w:val="en-US" w:eastAsia="zh-CN"/>
              </w:rPr>
              <w:instrText xml:space="preserve"> = 1 \* GB3 \* MERGEFORMAT </w:instrText>
            </w:r>
            <w:r>
              <w:rPr>
                <w:rFonts w:ascii="黑体" w:hAnsi="黑体" w:eastAsia="黑体"/>
                <w:snapToGrid w:val="0"/>
                <w:color w:val="auto"/>
                <w:spacing w:val="-6"/>
                <w:kern w:val="21"/>
                <w:sz w:val="21"/>
                <w:szCs w:val="21"/>
                <w:lang w:val="en-US" w:eastAsia="zh-CN"/>
              </w:rPr>
              <w:fldChar w:fldCharType="separate"/>
            </w:r>
            <w:r>
              <w:rPr>
                <w:rFonts w:hint="eastAsia" w:ascii="黑体" w:hAnsi="黑体" w:eastAsia="黑体" w:cs="宋体"/>
                <w:color w:val="auto"/>
                <w:kern w:val="2"/>
                <w:sz w:val="21"/>
                <w:szCs w:val="21"/>
                <w:lang w:val="en-US" w:eastAsia="zh-CN"/>
              </w:rPr>
              <w:t>①</w:t>
            </w:r>
            <w:r>
              <w:rPr>
                <w:rFonts w:ascii="黑体" w:hAnsi="黑体" w:eastAsia="黑体"/>
                <w:snapToGrid w:val="0"/>
                <w:color w:val="auto"/>
                <w:spacing w:val="-6"/>
                <w:kern w:val="21"/>
                <w:sz w:val="21"/>
                <w:szCs w:val="21"/>
                <w:lang w:val="en-US" w:eastAsia="zh-CN"/>
              </w:rPr>
              <w:fldChar w:fldCharType="end"/>
            </w:r>
          </w:p>
        </w:tc>
        <w:tc>
          <w:tcPr>
            <w:tcW w:w="1232" w:type="dxa"/>
            <w:noWrap w:val="0"/>
            <w:tcMar>
              <w:left w:w="28" w:type="dxa"/>
              <w:right w:w="28" w:type="dxa"/>
            </w:tcMar>
            <w:vAlign w:val="center"/>
          </w:tcPr>
          <w:p w14:paraId="4B702D1A">
            <w:pPr>
              <w:pStyle w:val="57"/>
              <w:spacing w:beforeLines="0" w:afterLines="0" w:line="240" w:lineRule="auto"/>
              <w:ind w:firstLine="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t>现有工程</w:t>
            </w:r>
          </w:p>
          <w:p w14:paraId="36E932BD">
            <w:pPr>
              <w:pStyle w:val="57"/>
              <w:spacing w:beforeLines="0" w:afterLines="0" w:line="240" w:lineRule="auto"/>
              <w:ind w:firstLine="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t>许可排放量</w:t>
            </w:r>
          </w:p>
          <w:p w14:paraId="46C4C37F">
            <w:pPr>
              <w:pStyle w:val="57"/>
              <w:spacing w:beforeLines="0" w:afterLines="0" w:line="240" w:lineRule="auto"/>
              <w:ind w:firstLine="0"/>
              <w:jc w:val="center"/>
              <w:rPr>
                <w:rFonts w:ascii="黑体" w:hAnsi="黑体" w:eastAsia="黑体"/>
                <w:snapToGrid w:val="0"/>
                <w:color w:val="auto"/>
                <w:spacing w:val="-6"/>
                <w:kern w:val="21"/>
                <w:sz w:val="21"/>
                <w:szCs w:val="21"/>
                <w:lang w:val="en-US" w:eastAsia="zh-CN"/>
              </w:rPr>
            </w:pPr>
            <w:r>
              <w:rPr>
                <w:rFonts w:ascii="黑体" w:hAnsi="黑体" w:eastAsia="黑体"/>
                <w:snapToGrid w:val="0"/>
                <w:color w:val="auto"/>
                <w:spacing w:val="-6"/>
                <w:kern w:val="21"/>
                <w:sz w:val="21"/>
                <w:szCs w:val="21"/>
                <w:lang w:val="en-US" w:eastAsia="zh-CN"/>
              </w:rPr>
              <w:fldChar w:fldCharType="begin"/>
            </w:r>
            <w:r>
              <w:rPr>
                <w:rFonts w:ascii="黑体" w:hAnsi="黑体" w:eastAsia="黑体"/>
                <w:snapToGrid w:val="0"/>
                <w:color w:val="auto"/>
                <w:spacing w:val="-6"/>
                <w:kern w:val="21"/>
                <w:sz w:val="21"/>
                <w:szCs w:val="21"/>
                <w:lang w:val="en-US" w:eastAsia="zh-CN"/>
              </w:rPr>
              <w:instrText xml:space="preserve"> = 2 \* GB3 \* MERGEFORMAT </w:instrText>
            </w:r>
            <w:r>
              <w:rPr>
                <w:rFonts w:ascii="黑体" w:hAnsi="黑体" w:eastAsia="黑体"/>
                <w:snapToGrid w:val="0"/>
                <w:color w:val="auto"/>
                <w:spacing w:val="-6"/>
                <w:kern w:val="21"/>
                <w:sz w:val="21"/>
                <w:szCs w:val="21"/>
                <w:lang w:val="en-US" w:eastAsia="zh-CN"/>
              </w:rPr>
              <w:fldChar w:fldCharType="separate"/>
            </w:r>
            <w:r>
              <w:rPr>
                <w:rFonts w:hint="eastAsia" w:ascii="黑体" w:hAnsi="黑体" w:eastAsia="黑体" w:cs="宋体"/>
                <w:snapToGrid w:val="0"/>
                <w:color w:val="auto"/>
                <w:spacing w:val="-6"/>
                <w:kern w:val="21"/>
                <w:sz w:val="21"/>
                <w:szCs w:val="21"/>
                <w:lang w:val="en-US" w:eastAsia="zh-CN"/>
              </w:rPr>
              <w:t>②</w:t>
            </w:r>
            <w:r>
              <w:rPr>
                <w:rFonts w:ascii="黑体" w:hAnsi="黑体" w:eastAsia="黑体"/>
                <w:snapToGrid w:val="0"/>
                <w:color w:val="auto"/>
                <w:spacing w:val="-6"/>
                <w:kern w:val="21"/>
                <w:sz w:val="21"/>
                <w:szCs w:val="21"/>
                <w:lang w:val="en-US" w:eastAsia="zh-CN"/>
              </w:rPr>
              <w:fldChar w:fldCharType="end"/>
            </w:r>
          </w:p>
        </w:tc>
        <w:tc>
          <w:tcPr>
            <w:tcW w:w="1905" w:type="dxa"/>
            <w:noWrap w:val="0"/>
            <w:tcMar>
              <w:left w:w="28" w:type="dxa"/>
              <w:right w:w="28" w:type="dxa"/>
            </w:tcMar>
            <w:vAlign w:val="center"/>
          </w:tcPr>
          <w:p w14:paraId="2B1272FA">
            <w:pPr>
              <w:pStyle w:val="57"/>
              <w:spacing w:beforeLines="0" w:afterLines="0" w:line="240" w:lineRule="auto"/>
              <w:ind w:firstLine="0"/>
              <w:jc w:val="center"/>
              <w:rPr>
                <w:rFonts w:ascii="黑体" w:hAnsi="黑体" w:eastAsia="黑体" w:cs="Times New Roman"/>
                <w:snapToGrid w:val="0"/>
                <w:color w:val="auto"/>
                <w:spacing w:val="-6"/>
                <w:kern w:val="21"/>
                <w:sz w:val="21"/>
                <w:szCs w:val="21"/>
                <w:highlight w:val="none"/>
                <w:lang w:val="en-US" w:eastAsia="zh-CN"/>
              </w:rPr>
            </w:pPr>
            <w:r>
              <w:rPr>
                <w:rFonts w:ascii="黑体" w:hAnsi="黑体" w:eastAsia="黑体" w:cs="Times New Roman"/>
                <w:snapToGrid w:val="0"/>
                <w:color w:val="auto"/>
                <w:spacing w:val="-6"/>
                <w:kern w:val="21"/>
                <w:sz w:val="21"/>
                <w:szCs w:val="21"/>
                <w:highlight w:val="none"/>
                <w:lang w:val="en-US" w:eastAsia="zh-CN"/>
              </w:rPr>
              <w:t>在建工程排放</w:t>
            </w:r>
          </w:p>
          <w:p w14:paraId="0F6E0BD4">
            <w:pPr>
              <w:pStyle w:val="57"/>
              <w:spacing w:beforeLines="0" w:afterLines="0" w:line="240" w:lineRule="auto"/>
              <w:ind w:firstLine="0"/>
              <w:jc w:val="center"/>
              <w:rPr>
                <w:rFonts w:ascii="黑体" w:hAnsi="黑体" w:eastAsia="黑体" w:cs="Times New Roman"/>
                <w:snapToGrid w:val="0"/>
                <w:color w:val="auto"/>
                <w:spacing w:val="-6"/>
                <w:kern w:val="21"/>
                <w:sz w:val="21"/>
                <w:szCs w:val="21"/>
                <w:highlight w:val="none"/>
                <w:lang w:val="en-US" w:eastAsia="zh-CN"/>
              </w:rPr>
            </w:pPr>
            <w:r>
              <w:rPr>
                <w:rFonts w:ascii="黑体" w:hAnsi="黑体" w:eastAsia="黑体" w:cs="Times New Roman"/>
                <w:snapToGrid w:val="0"/>
                <w:color w:val="auto"/>
                <w:spacing w:val="-6"/>
                <w:kern w:val="21"/>
                <w:sz w:val="21"/>
                <w:szCs w:val="21"/>
                <w:highlight w:val="none"/>
                <w:lang w:val="en-US" w:eastAsia="zh-CN"/>
              </w:rPr>
              <w:t>（固</w:t>
            </w:r>
            <w:r>
              <w:rPr>
                <w:rFonts w:hint="eastAsia" w:ascii="黑体" w:hAnsi="黑体" w:eastAsia="黑体" w:cs="Times New Roman"/>
                <w:snapToGrid w:val="0"/>
                <w:color w:val="auto"/>
                <w:spacing w:val="-6"/>
                <w:kern w:val="21"/>
                <w:sz w:val="21"/>
                <w:szCs w:val="21"/>
                <w:highlight w:val="none"/>
                <w:lang w:val="en-US" w:eastAsia="zh-CN"/>
              </w:rPr>
              <w:t>体</w:t>
            </w:r>
            <w:r>
              <w:rPr>
                <w:rFonts w:ascii="黑体" w:hAnsi="黑体" w:eastAsia="黑体" w:cs="Times New Roman"/>
                <w:snapToGrid w:val="0"/>
                <w:color w:val="auto"/>
                <w:spacing w:val="-6"/>
                <w:kern w:val="21"/>
                <w:sz w:val="21"/>
                <w:szCs w:val="21"/>
                <w:highlight w:val="none"/>
                <w:lang w:val="en-US" w:eastAsia="zh-CN"/>
              </w:rPr>
              <w:t>废</w:t>
            </w:r>
            <w:r>
              <w:rPr>
                <w:rFonts w:hint="eastAsia" w:ascii="黑体" w:hAnsi="黑体" w:eastAsia="黑体" w:cs="Times New Roman"/>
                <w:snapToGrid w:val="0"/>
                <w:color w:val="auto"/>
                <w:spacing w:val="-6"/>
                <w:kern w:val="21"/>
                <w:sz w:val="21"/>
                <w:szCs w:val="21"/>
                <w:highlight w:val="none"/>
                <w:lang w:val="en-US" w:eastAsia="zh-CN"/>
              </w:rPr>
              <w:t>物</w:t>
            </w:r>
            <w:r>
              <w:rPr>
                <w:rFonts w:ascii="黑体" w:hAnsi="黑体" w:eastAsia="黑体" w:cs="Times New Roman"/>
                <w:snapToGrid w:val="0"/>
                <w:color w:val="auto"/>
                <w:spacing w:val="-6"/>
                <w:kern w:val="21"/>
                <w:sz w:val="21"/>
                <w:szCs w:val="21"/>
                <w:highlight w:val="none"/>
                <w:lang w:val="en-US" w:eastAsia="zh-CN"/>
              </w:rPr>
              <w:t>产生量）</w:t>
            </w:r>
          </w:p>
          <w:p w14:paraId="2567F964">
            <w:pPr>
              <w:pStyle w:val="57"/>
              <w:spacing w:beforeLines="0" w:afterLines="0" w:line="240" w:lineRule="auto"/>
              <w:ind w:firstLine="0"/>
              <w:jc w:val="center"/>
              <w:rPr>
                <w:color w:val="auto"/>
                <w:sz w:val="21"/>
                <w:szCs w:val="21"/>
                <w:lang w:val="en-US" w:eastAsia="zh-CN"/>
              </w:rPr>
            </w:pPr>
            <w:r>
              <w:rPr>
                <w:rFonts w:ascii="黑体" w:hAnsi="黑体" w:eastAsia="黑体" w:cs="Times New Roman"/>
                <w:snapToGrid w:val="0"/>
                <w:color w:val="auto"/>
                <w:spacing w:val="-6"/>
                <w:kern w:val="21"/>
                <w:sz w:val="21"/>
                <w:szCs w:val="21"/>
                <w:highlight w:val="none"/>
                <w:lang w:val="en-US" w:eastAsia="zh-CN"/>
              </w:rPr>
              <w:fldChar w:fldCharType="begin"/>
            </w:r>
            <w:r>
              <w:rPr>
                <w:rFonts w:ascii="黑体" w:hAnsi="黑体" w:eastAsia="黑体" w:cs="Times New Roman"/>
                <w:snapToGrid w:val="0"/>
                <w:color w:val="auto"/>
                <w:spacing w:val="-6"/>
                <w:kern w:val="21"/>
                <w:sz w:val="21"/>
                <w:szCs w:val="21"/>
                <w:highlight w:val="none"/>
                <w:lang w:val="en-US" w:eastAsia="zh-CN"/>
              </w:rPr>
              <w:instrText xml:space="preserve"> = 3 \* GB3 \* MERGEFORMAT </w:instrText>
            </w:r>
            <w:r>
              <w:rPr>
                <w:rFonts w:ascii="黑体" w:hAnsi="黑体" w:eastAsia="黑体" w:cs="Times New Roman"/>
                <w:snapToGrid w:val="0"/>
                <w:color w:val="auto"/>
                <w:spacing w:val="-6"/>
                <w:kern w:val="21"/>
                <w:sz w:val="21"/>
                <w:szCs w:val="21"/>
                <w:highlight w:val="none"/>
                <w:lang w:val="en-US" w:eastAsia="zh-CN"/>
              </w:rPr>
              <w:fldChar w:fldCharType="separate"/>
            </w:r>
            <w:r>
              <w:rPr>
                <w:rFonts w:hint="eastAsia" w:ascii="黑体" w:hAnsi="黑体" w:eastAsia="黑体" w:cs="Times New Roman"/>
                <w:snapToGrid w:val="0"/>
                <w:color w:val="auto"/>
                <w:spacing w:val="-6"/>
                <w:kern w:val="21"/>
                <w:sz w:val="21"/>
                <w:szCs w:val="21"/>
                <w:highlight w:val="none"/>
                <w:lang w:val="en-US" w:eastAsia="zh-CN"/>
              </w:rPr>
              <w:t>③</w:t>
            </w:r>
            <w:r>
              <w:rPr>
                <w:rFonts w:ascii="黑体" w:hAnsi="黑体" w:eastAsia="黑体" w:cs="Times New Roman"/>
                <w:snapToGrid w:val="0"/>
                <w:color w:val="auto"/>
                <w:spacing w:val="-6"/>
                <w:kern w:val="21"/>
                <w:sz w:val="21"/>
                <w:szCs w:val="21"/>
                <w:highlight w:val="none"/>
                <w:lang w:val="en-US" w:eastAsia="zh-CN"/>
              </w:rPr>
              <w:fldChar w:fldCharType="end"/>
            </w:r>
          </w:p>
        </w:tc>
        <w:tc>
          <w:tcPr>
            <w:tcW w:w="1807" w:type="dxa"/>
            <w:noWrap w:val="0"/>
            <w:tcMar>
              <w:left w:w="28" w:type="dxa"/>
              <w:right w:w="28" w:type="dxa"/>
            </w:tcMar>
            <w:vAlign w:val="center"/>
          </w:tcPr>
          <w:p w14:paraId="6608D4D6">
            <w:pPr>
              <w:pStyle w:val="57"/>
              <w:spacing w:beforeLines="0" w:afterLines="0" w:line="240" w:lineRule="auto"/>
              <w:ind w:firstLine="0"/>
              <w:jc w:val="center"/>
              <w:rPr>
                <w:rFonts w:ascii="黑体" w:hAnsi="黑体" w:eastAsia="黑体"/>
                <w:snapToGrid w:val="0"/>
                <w:color w:val="auto"/>
                <w:spacing w:val="-6"/>
                <w:kern w:val="21"/>
                <w:sz w:val="21"/>
                <w:szCs w:val="21"/>
                <w:highlight w:val="none"/>
                <w:lang w:val="en-US" w:eastAsia="zh-CN"/>
              </w:rPr>
            </w:pPr>
            <w:r>
              <w:rPr>
                <w:rFonts w:ascii="黑体" w:hAnsi="黑体" w:eastAsia="黑体"/>
                <w:snapToGrid w:val="0"/>
                <w:color w:val="auto"/>
                <w:spacing w:val="-6"/>
                <w:kern w:val="21"/>
                <w:sz w:val="21"/>
                <w:szCs w:val="21"/>
                <w:highlight w:val="none"/>
                <w:lang w:val="en-US" w:eastAsia="zh-CN"/>
              </w:rPr>
              <w:t>本项目排放量</w:t>
            </w:r>
          </w:p>
          <w:p w14:paraId="3933F595">
            <w:pPr>
              <w:pStyle w:val="57"/>
              <w:spacing w:beforeLines="0" w:afterLines="0" w:line="240" w:lineRule="auto"/>
              <w:ind w:firstLine="0"/>
              <w:jc w:val="center"/>
              <w:rPr>
                <w:rFonts w:ascii="黑体" w:hAnsi="黑体" w:eastAsia="黑体"/>
                <w:snapToGrid w:val="0"/>
                <w:color w:val="auto"/>
                <w:spacing w:val="-6"/>
                <w:kern w:val="21"/>
                <w:sz w:val="21"/>
                <w:szCs w:val="21"/>
                <w:highlight w:val="none"/>
                <w:lang w:val="en-US" w:eastAsia="zh-CN"/>
              </w:rPr>
            </w:pPr>
            <w:r>
              <w:rPr>
                <w:rFonts w:ascii="黑体" w:hAnsi="黑体" w:eastAsia="黑体"/>
                <w:snapToGrid w:val="0"/>
                <w:color w:val="auto"/>
                <w:spacing w:val="-6"/>
                <w:kern w:val="21"/>
                <w:sz w:val="21"/>
                <w:szCs w:val="21"/>
                <w:highlight w:val="none"/>
                <w:lang w:val="en-US" w:eastAsia="zh-CN"/>
              </w:rPr>
              <w:t>（固</w:t>
            </w:r>
            <w:r>
              <w:rPr>
                <w:rFonts w:hint="eastAsia" w:ascii="黑体" w:hAnsi="黑体" w:eastAsia="黑体"/>
                <w:snapToGrid w:val="0"/>
                <w:color w:val="auto"/>
                <w:spacing w:val="-6"/>
                <w:kern w:val="21"/>
                <w:sz w:val="21"/>
                <w:szCs w:val="21"/>
                <w:highlight w:val="none"/>
                <w:lang w:val="en-US" w:eastAsia="zh-CN"/>
              </w:rPr>
              <w:t>体</w:t>
            </w:r>
            <w:r>
              <w:rPr>
                <w:rFonts w:ascii="黑体" w:hAnsi="黑体" w:eastAsia="黑体"/>
                <w:snapToGrid w:val="0"/>
                <w:color w:val="auto"/>
                <w:spacing w:val="-6"/>
                <w:kern w:val="21"/>
                <w:sz w:val="21"/>
                <w:szCs w:val="21"/>
                <w:highlight w:val="none"/>
                <w:lang w:val="en-US" w:eastAsia="zh-CN"/>
              </w:rPr>
              <w:t>废</w:t>
            </w:r>
            <w:r>
              <w:rPr>
                <w:rFonts w:hint="eastAsia" w:ascii="黑体" w:hAnsi="黑体" w:eastAsia="黑体"/>
                <w:snapToGrid w:val="0"/>
                <w:color w:val="auto"/>
                <w:spacing w:val="-6"/>
                <w:kern w:val="21"/>
                <w:sz w:val="21"/>
                <w:szCs w:val="21"/>
                <w:highlight w:val="none"/>
                <w:lang w:val="en-US" w:eastAsia="zh-CN"/>
              </w:rPr>
              <w:t>物</w:t>
            </w:r>
            <w:r>
              <w:rPr>
                <w:rFonts w:ascii="黑体" w:hAnsi="黑体" w:eastAsia="黑体"/>
                <w:snapToGrid w:val="0"/>
                <w:color w:val="auto"/>
                <w:spacing w:val="-6"/>
                <w:kern w:val="21"/>
                <w:sz w:val="21"/>
                <w:szCs w:val="21"/>
                <w:highlight w:val="none"/>
                <w:lang w:val="en-US" w:eastAsia="zh-CN"/>
              </w:rPr>
              <w:t>产生量）</w:t>
            </w:r>
          </w:p>
          <w:p w14:paraId="6C7A3D78">
            <w:pPr>
              <w:pStyle w:val="57"/>
              <w:spacing w:beforeLines="0" w:afterLines="0" w:line="240" w:lineRule="auto"/>
              <w:ind w:firstLine="0"/>
              <w:jc w:val="center"/>
              <w:rPr>
                <w:rFonts w:ascii="黑体" w:hAnsi="黑体" w:eastAsia="黑体"/>
                <w:snapToGrid w:val="0"/>
                <w:color w:val="auto"/>
                <w:spacing w:val="-6"/>
                <w:kern w:val="21"/>
                <w:sz w:val="21"/>
                <w:szCs w:val="21"/>
                <w:highlight w:val="none"/>
                <w:lang w:val="en-US" w:eastAsia="zh-CN"/>
              </w:rPr>
            </w:pPr>
            <w:r>
              <w:rPr>
                <w:rFonts w:ascii="黑体" w:hAnsi="黑体" w:eastAsia="黑体"/>
                <w:snapToGrid w:val="0"/>
                <w:color w:val="auto"/>
                <w:spacing w:val="-6"/>
                <w:kern w:val="21"/>
                <w:sz w:val="21"/>
                <w:szCs w:val="21"/>
                <w:highlight w:val="none"/>
                <w:lang w:val="en-US" w:eastAsia="zh-CN"/>
              </w:rPr>
              <w:fldChar w:fldCharType="begin"/>
            </w:r>
            <w:r>
              <w:rPr>
                <w:rFonts w:ascii="黑体" w:hAnsi="黑体" w:eastAsia="黑体"/>
                <w:snapToGrid w:val="0"/>
                <w:color w:val="auto"/>
                <w:spacing w:val="-6"/>
                <w:kern w:val="21"/>
                <w:sz w:val="21"/>
                <w:szCs w:val="21"/>
                <w:highlight w:val="none"/>
                <w:lang w:val="en-US" w:eastAsia="zh-CN"/>
              </w:rPr>
              <w:instrText xml:space="preserve"> = 4 \* GB3 \* MERGEFORMAT </w:instrText>
            </w:r>
            <w:r>
              <w:rPr>
                <w:rFonts w:ascii="黑体" w:hAnsi="黑体" w:eastAsia="黑体"/>
                <w:snapToGrid w:val="0"/>
                <w:color w:val="auto"/>
                <w:spacing w:val="-6"/>
                <w:kern w:val="21"/>
                <w:sz w:val="21"/>
                <w:szCs w:val="21"/>
                <w:highlight w:val="none"/>
                <w:lang w:val="en-US" w:eastAsia="zh-CN"/>
              </w:rPr>
              <w:fldChar w:fldCharType="separate"/>
            </w:r>
            <w:r>
              <w:rPr>
                <w:rFonts w:hint="eastAsia" w:ascii="黑体" w:hAnsi="黑体" w:eastAsia="黑体" w:cs="宋体"/>
                <w:color w:val="auto"/>
                <w:kern w:val="2"/>
                <w:sz w:val="21"/>
                <w:szCs w:val="21"/>
                <w:highlight w:val="none"/>
                <w:lang w:val="en-US" w:eastAsia="zh-CN"/>
              </w:rPr>
              <w:t>④</w:t>
            </w:r>
            <w:r>
              <w:rPr>
                <w:rFonts w:ascii="黑体" w:hAnsi="黑体" w:eastAsia="黑体"/>
                <w:snapToGrid w:val="0"/>
                <w:color w:val="auto"/>
                <w:spacing w:val="-6"/>
                <w:kern w:val="21"/>
                <w:sz w:val="21"/>
                <w:szCs w:val="21"/>
                <w:highlight w:val="none"/>
                <w:lang w:val="en-US" w:eastAsia="zh-CN"/>
              </w:rPr>
              <w:fldChar w:fldCharType="end"/>
            </w:r>
          </w:p>
        </w:tc>
        <w:tc>
          <w:tcPr>
            <w:tcW w:w="1478" w:type="dxa"/>
            <w:noWrap w:val="0"/>
            <w:tcMar>
              <w:left w:w="28" w:type="dxa"/>
              <w:right w:w="28" w:type="dxa"/>
            </w:tcMar>
            <w:vAlign w:val="center"/>
          </w:tcPr>
          <w:p w14:paraId="51C5B9DA">
            <w:pPr>
              <w:pStyle w:val="57"/>
              <w:spacing w:beforeLines="0" w:afterLines="0" w:line="240" w:lineRule="auto"/>
              <w:ind w:firstLine="0"/>
              <w:jc w:val="center"/>
              <w:rPr>
                <w:rFonts w:hint="eastAsia"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t>以新带老削减量</w:t>
            </w:r>
          </w:p>
          <w:p w14:paraId="3A6B5EF3">
            <w:pPr>
              <w:pStyle w:val="57"/>
              <w:spacing w:beforeLines="0" w:afterLines="0" w:line="240" w:lineRule="auto"/>
              <w:ind w:firstLine="0"/>
              <w:jc w:val="center"/>
              <w:rPr>
                <w:rFonts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t>（新建项目不填）</w:t>
            </w:r>
          </w:p>
          <w:p w14:paraId="3BD539B2">
            <w:pPr>
              <w:pStyle w:val="57"/>
              <w:spacing w:beforeLines="0" w:afterLines="0" w:line="240" w:lineRule="auto"/>
              <w:ind w:firstLine="0"/>
              <w:jc w:val="center"/>
              <w:rPr>
                <w:rFonts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fldChar w:fldCharType="begin"/>
            </w:r>
            <w:r>
              <w:rPr>
                <w:rFonts w:ascii="黑体" w:hAnsi="黑体" w:eastAsia="黑体"/>
                <w:snapToGrid w:val="0"/>
                <w:color w:val="auto"/>
                <w:spacing w:val="-16"/>
                <w:kern w:val="21"/>
                <w:sz w:val="21"/>
                <w:szCs w:val="21"/>
                <w:highlight w:val="none"/>
                <w:lang w:val="en-US" w:eastAsia="zh-CN"/>
              </w:rPr>
              <w:instrText xml:space="preserve"> = 5 \* GB3 \* MERGEFORMAT </w:instrText>
            </w:r>
            <w:r>
              <w:rPr>
                <w:rFonts w:ascii="黑体" w:hAnsi="黑体" w:eastAsia="黑体"/>
                <w:snapToGrid w:val="0"/>
                <w:color w:val="auto"/>
                <w:spacing w:val="-16"/>
                <w:kern w:val="21"/>
                <w:sz w:val="21"/>
                <w:szCs w:val="21"/>
                <w:highlight w:val="none"/>
                <w:lang w:val="en-US" w:eastAsia="zh-CN"/>
              </w:rPr>
              <w:fldChar w:fldCharType="separate"/>
            </w:r>
            <w:r>
              <w:rPr>
                <w:rFonts w:hint="eastAsia" w:ascii="黑体" w:hAnsi="黑体" w:eastAsia="黑体" w:cs="宋体"/>
                <w:color w:val="auto"/>
                <w:kern w:val="2"/>
                <w:sz w:val="21"/>
                <w:szCs w:val="21"/>
                <w:highlight w:val="none"/>
                <w:lang w:val="en-US" w:eastAsia="zh-CN"/>
              </w:rPr>
              <w:t>⑤</w:t>
            </w:r>
            <w:r>
              <w:rPr>
                <w:rFonts w:ascii="黑体" w:hAnsi="黑体" w:eastAsia="黑体"/>
                <w:snapToGrid w:val="0"/>
                <w:color w:val="auto"/>
                <w:spacing w:val="-16"/>
                <w:kern w:val="21"/>
                <w:sz w:val="21"/>
                <w:szCs w:val="21"/>
                <w:highlight w:val="none"/>
                <w:lang w:val="en-US" w:eastAsia="zh-CN"/>
              </w:rPr>
              <w:fldChar w:fldCharType="end"/>
            </w:r>
          </w:p>
        </w:tc>
        <w:tc>
          <w:tcPr>
            <w:tcW w:w="2037" w:type="dxa"/>
            <w:noWrap w:val="0"/>
            <w:tcMar>
              <w:left w:w="28" w:type="dxa"/>
              <w:right w:w="28" w:type="dxa"/>
            </w:tcMar>
            <w:vAlign w:val="center"/>
          </w:tcPr>
          <w:p w14:paraId="6A5D9AB5">
            <w:pPr>
              <w:pStyle w:val="57"/>
              <w:spacing w:beforeLines="0" w:afterLines="0" w:line="240" w:lineRule="auto"/>
              <w:ind w:firstLine="0"/>
              <w:jc w:val="center"/>
              <w:rPr>
                <w:rFonts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t>本项目建成后</w:t>
            </w:r>
            <w:r>
              <w:rPr>
                <w:rFonts w:hint="eastAsia" w:ascii="黑体" w:hAnsi="黑体" w:eastAsia="黑体"/>
                <w:snapToGrid w:val="0"/>
                <w:color w:val="auto"/>
                <w:spacing w:val="-16"/>
                <w:kern w:val="21"/>
                <w:sz w:val="21"/>
                <w:szCs w:val="21"/>
                <w:highlight w:val="none"/>
                <w:lang w:val="en-US" w:eastAsia="zh-CN"/>
              </w:rPr>
              <w:t>全厂</w:t>
            </w:r>
            <w:r>
              <w:rPr>
                <w:rFonts w:ascii="黑体" w:hAnsi="黑体" w:eastAsia="黑体"/>
                <w:snapToGrid w:val="0"/>
                <w:color w:val="auto"/>
                <w:spacing w:val="-16"/>
                <w:kern w:val="21"/>
                <w:sz w:val="21"/>
                <w:szCs w:val="21"/>
                <w:highlight w:val="none"/>
                <w:lang w:val="en-US" w:eastAsia="zh-CN"/>
              </w:rPr>
              <w:t>排放量</w:t>
            </w:r>
          </w:p>
          <w:p w14:paraId="4D65894F">
            <w:pPr>
              <w:pStyle w:val="57"/>
              <w:spacing w:beforeLines="0" w:afterLines="0" w:line="240" w:lineRule="auto"/>
              <w:ind w:firstLine="0"/>
              <w:jc w:val="center"/>
              <w:rPr>
                <w:rFonts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t>（固</w:t>
            </w:r>
            <w:r>
              <w:rPr>
                <w:rFonts w:hint="eastAsia" w:ascii="黑体" w:hAnsi="黑体" w:eastAsia="黑体"/>
                <w:snapToGrid w:val="0"/>
                <w:color w:val="auto"/>
                <w:spacing w:val="-16"/>
                <w:kern w:val="21"/>
                <w:sz w:val="21"/>
                <w:szCs w:val="21"/>
                <w:highlight w:val="none"/>
                <w:lang w:val="en-US" w:eastAsia="zh-CN"/>
              </w:rPr>
              <w:t>体</w:t>
            </w:r>
            <w:r>
              <w:rPr>
                <w:rFonts w:ascii="黑体" w:hAnsi="黑体" w:eastAsia="黑体"/>
                <w:snapToGrid w:val="0"/>
                <w:color w:val="auto"/>
                <w:spacing w:val="-16"/>
                <w:kern w:val="21"/>
                <w:sz w:val="21"/>
                <w:szCs w:val="21"/>
                <w:highlight w:val="none"/>
                <w:lang w:val="en-US" w:eastAsia="zh-CN"/>
              </w:rPr>
              <w:t>废</w:t>
            </w:r>
            <w:r>
              <w:rPr>
                <w:rFonts w:hint="eastAsia" w:ascii="黑体" w:hAnsi="黑体" w:eastAsia="黑体"/>
                <w:snapToGrid w:val="0"/>
                <w:color w:val="auto"/>
                <w:spacing w:val="-16"/>
                <w:kern w:val="21"/>
                <w:sz w:val="21"/>
                <w:szCs w:val="21"/>
                <w:highlight w:val="none"/>
                <w:lang w:val="en-US" w:eastAsia="zh-CN"/>
              </w:rPr>
              <w:t>物</w:t>
            </w:r>
            <w:r>
              <w:rPr>
                <w:rFonts w:ascii="黑体" w:hAnsi="黑体" w:eastAsia="黑体"/>
                <w:snapToGrid w:val="0"/>
                <w:color w:val="auto"/>
                <w:spacing w:val="-16"/>
                <w:kern w:val="21"/>
                <w:sz w:val="21"/>
                <w:szCs w:val="21"/>
                <w:highlight w:val="none"/>
                <w:lang w:val="en-US" w:eastAsia="zh-CN"/>
              </w:rPr>
              <w:t>产生量）</w:t>
            </w:r>
          </w:p>
          <w:p w14:paraId="1AFFF8D9">
            <w:pPr>
              <w:pStyle w:val="57"/>
              <w:spacing w:beforeLines="0" w:afterLines="0" w:line="240" w:lineRule="auto"/>
              <w:ind w:firstLine="0"/>
              <w:jc w:val="center"/>
              <w:rPr>
                <w:rFonts w:ascii="黑体" w:hAnsi="黑体" w:eastAsia="黑体"/>
                <w:snapToGrid w:val="0"/>
                <w:color w:val="auto"/>
                <w:spacing w:val="-16"/>
                <w:kern w:val="21"/>
                <w:sz w:val="21"/>
                <w:szCs w:val="21"/>
                <w:highlight w:val="none"/>
                <w:lang w:val="en-US" w:eastAsia="zh-CN"/>
              </w:rPr>
            </w:pPr>
            <w:r>
              <w:rPr>
                <w:rFonts w:ascii="黑体" w:hAnsi="黑体" w:eastAsia="黑体"/>
                <w:snapToGrid w:val="0"/>
                <w:color w:val="auto"/>
                <w:spacing w:val="-16"/>
                <w:kern w:val="21"/>
                <w:sz w:val="21"/>
                <w:szCs w:val="21"/>
                <w:highlight w:val="none"/>
                <w:lang w:val="en-US" w:eastAsia="zh-CN"/>
              </w:rPr>
              <w:fldChar w:fldCharType="begin"/>
            </w:r>
            <w:r>
              <w:rPr>
                <w:rFonts w:ascii="黑体" w:hAnsi="黑体" w:eastAsia="黑体"/>
                <w:snapToGrid w:val="0"/>
                <w:color w:val="auto"/>
                <w:spacing w:val="-16"/>
                <w:kern w:val="21"/>
                <w:sz w:val="21"/>
                <w:szCs w:val="21"/>
                <w:highlight w:val="none"/>
                <w:lang w:val="en-US" w:eastAsia="zh-CN"/>
              </w:rPr>
              <w:instrText xml:space="preserve"> = 6 \* GB3 \* MERGEFORMAT </w:instrText>
            </w:r>
            <w:r>
              <w:rPr>
                <w:rFonts w:ascii="黑体" w:hAnsi="黑体" w:eastAsia="黑体"/>
                <w:snapToGrid w:val="0"/>
                <w:color w:val="auto"/>
                <w:spacing w:val="-16"/>
                <w:kern w:val="21"/>
                <w:sz w:val="21"/>
                <w:szCs w:val="21"/>
                <w:highlight w:val="none"/>
                <w:lang w:val="en-US" w:eastAsia="zh-CN"/>
              </w:rPr>
              <w:fldChar w:fldCharType="separate"/>
            </w:r>
            <w:r>
              <w:rPr>
                <w:rFonts w:hint="eastAsia" w:ascii="黑体" w:hAnsi="黑体" w:eastAsia="黑体" w:cs="宋体"/>
                <w:color w:val="auto"/>
                <w:kern w:val="2"/>
                <w:sz w:val="21"/>
                <w:szCs w:val="21"/>
                <w:highlight w:val="none"/>
                <w:lang w:val="en-US" w:eastAsia="zh-CN"/>
              </w:rPr>
              <w:t>⑥</w:t>
            </w:r>
            <w:r>
              <w:rPr>
                <w:rFonts w:ascii="黑体" w:hAnsi="黑体" w:eastAsia="黑体"/>
                <w:snapToGrid w:val="0"/>
                <w:color w:val="auto"/>
                <w:spacing w:val="-16"/>
                <w:kern w:val="21"/>
                <w:sz w:val="21"/>
                <w:szCs w:val="21"/>
                <w:highlight w:val="none"/>
                <w:lang w:val="en-US" w:eastAsia="zh-CN"/>
              </w:rPr>
              <w:fldChar w:fldCharType="end"/>
            </w:r>
          </w:p>
        </w:tc>
        <w:tc>
          <w:tcPr>
            <w:tcW w:w="1655" w:type="dxa"/>
            <w:noWrap w:val="0"/>
            <w:tcMar>
              <w:left w:w="28" w:type="dxa"/>
              <w:right w:w="28" w:type="dxa"/>
            </w:tcMar>
            <w:vAlign w:val="center"/>
          </w:tcPr>
          <w:p w14:paraId="2CD2F12A">
            <w:pPr>
              <w:pStyle w:val="57"/>
              <w:spacing w:beforeLines="0" w:afterLines="0" w:line="240" w:lineRule="auto"/>
              <w:ind w:firstLine="0"/>
              <w:jc w:val="center"/>
              <w:rPr>
                <w:rFonts w:ascii="黑体" w:hAnsi="黑体" w:eastAsia="黑体"/>
                <w:snapToGrid w:val="0"/>
                <w:color w:val="auto"/>
                <w:spacing w:val="-6"/>
                <w:kern w:val="21"/>
                <w:sz w:val="21"/>
                <w:szCs w:val="21"/>
                <w:highlight w:val="none"/>
                <w:lang w:val="en-US" w:eastAsia="zh-CN"/>
              </w:rPr>
            </w:pPr>
            <w:r>
              <w:rPr>
                <w:rFonts w:ascii="黑体" w:hAnsi="黑体" w:eastAsia="黑体"/>
                <w:snapToGrid w:val="0"/>
                <w:color w:val="auto"/>
                <w:spacing w:val="-6"/>
                <w:kern w:val="21"/>
                <w:sz w:val="21"/>
                <w:szCs w:val="21"/>
                <w:highlight w:val="none"/>
                <w:lang w:val="en-US" w:eastAsia="zh-CN"/>
              </w:rPr>
              <w:t>变化量</w:t>
            </w:r>
          </w:p>
          <w:p w14:paraId="0499AF7C">
            <w:pPr>
              <w:pStyle w:val="57"/>
              <w:spacing w:beforeLines="0" w:afterLines="0" w:line="240" w:lineRule="auto"/>
              <w:ind w:firstLine="0"/>
              <w:jc w:val="center"/>
              <w:rPr>
                <w:rFonts w:ascii="黑体" w:hAnsi="黑体" w:eastAsia="黑体"/>
                <w:snapToGrid w:val="0"/>
                <w:color w:val="auto"/>
                <w:spacing w:val="-6"/>
                <w:kern w:val="21"/>
                <w:sz w:val="21"/>
                <w:szCs w:val="21"/>
                <w:highlight w:val="none"/>
                <w:lang w:val="en-US" w:eastAsia="zh-CN"/>
              </w:rPr>
            </w:pPr>
            <w:r>
              <w:rPr>
                <w:rFonts w:ascii="黑体" w:hAnsi="黑体" w:eastAsia="黑体"/>
                <w:snapToGrid w:val="0"/>
                <w:color w:val="auto"/>
                <w:spacing w:val="-6"/>
                <w:kern w:val="21"/>
                <w:sz w:val="21"/>
                <w:szCs w:val="21"/>
                <w:highlight w:val="none"/>
                <w:lang w:val="en-US" w:eastAsia="zh-CN"/>
              </w:rPr>
              <w:fldChar w:fldCharType="begin"/>
            </w:r>
            <w:r>
              <w:rPr>
                <w:rFonts w:ascii="黑体" w:hAnsi="黑体" w:eastAsia="黑体"/>
                <w:snapToGrid w:val="0"/>
                <w:color w:val="auto"/>
                <w:spacing w:val="-6"/>
                <w:kern w:val="21"/>
                <w:sz w:val="21"/>
                <w:szCs w:val="21"/>
                <w:highlight w:val="none"/>
                <w:lang w:val="en-US" w:eastAsia="zh-CN"/>
              </w:rPr>
              <w:instrText xml:space="preserve"> = 7 \* GB3 \* MERGEFORMAT </w:instrText>
            </w:r>
            <w:r>
              <w:rPr>
                <w:rFonts w:ascii="黑体" w:hAnsi="黑体" w:eastAsia="黑体"/>
                <w:snapToGrid w:val="0"/>
                <w:color w:val="auto"/>
                <w:spacing w:val="-6"/>
                <w:kern w:val="21"/>
                <w:sz w:val="21"/>
                <w:szCs w:val="21"/>
                <w:highlight w:val="none"/>
                <w:lang w:val="en-US" w:eastAsia="zh-CN"/>
              </w:rPr>
              <w:fldChar w:fldCharType="separate"/>
            </w:r>
            <w:r>
              <w:rPr>
                <w:rFonts w:hint="eastAsia" w:ascii="黑体" w:hAnsi="黑体" w:eastAsia="黑体" w:cs="宋体"/>
                <w:color w:val="auto"/>
                <w:kern w:val="2"/>
                <w:sz w:val="21"/>
                <w:szCs w:val="21"/>
                <w:highlight w:val="none"/>
                <w:lang w:val="en-US" w:eastAsia="zh-CN"/>
              </w:rPr>
              <w:t>⑦</w:t>
            </w:r>
            <w:r>
              <w:rPr>
                <w:rFonts w:ascii="黑体" w:hAnsi="黑体" w:eastAsia="黑体"/>
                <w:snapToGrid w:val="0"/>
                <w:color w:val="auto"/>
                <w:spacing w:val="-6"/>
                <w:kern w:val="21"/>
                <w:sz w:val="21"/>
                <w:szCs w:val="21"/>
                <w:highlight w:val="none"/>
                <w:lang w:val="en-US" w:eastAsia="zh-CN"/>
              </w:rPr>
              <w:fldChar w:fldCharType="end"/>
            </w:r>
          </w:p>
        </w:tc>
      </w:tr>
      <w:tr w14:paraId="611353A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6" w:hRule="atLeast"/>
          <w:jc w:val="center"/>
        </w:trPr>
        <w:tc>
          <w:tcPr>
            <w:tcW w:w="1390" w:type="dxa"/>
            <w:vMerge w:val="restart"/>
            <w:noWrap w:val="0"/>
            <w:vAlign w:val="center"/>
          </w:tcPr>
          <w:p w14:paraId="3BFAFA4D">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废气</w:t>
            </w:r>
          </w:p>
        </w:tc>
        <w:tc>
          <w:tcPr>
            <w:tcW w:w="1358" w:type="dxa"/>
            <w:noWrap w:val="0"/>
            <w:vAlign w:val="center"/>
          </w:tcPr>
          <w:p w14:paraId="58BFF42D">
            <w:pPr>
              <w:jc w:val="center"/>
              <w:rPr>
                <w:rFonts w:hAnsi="宋体" w:cs="宋体"/>
                <w:snapToGrid w:val="0"/>
                <w:color w:val="auto"/>
                <w:kern w:val="21"/>
                <w:sz w:val="21"/>
                <w:szCs w:val="21"/>
              </w:rPr>
            </w:pPr>
            <w:r>
              <w:rPr>
                <w:color w:val="auto"/>
                <w:kern w:val="21"/>
                <w:sz w:val="21"/>
                <w:szCs w:val="21"/>
              </w:rPr>
              <w:t>颗粒物</w:t>
            </w:r>
          </w:p>
        </w:tc>
        <w:tc>
          <w:tcPr>
            <w:tcW w:w="1774" w:type="dxa"/>
            <w:noWrap w:val="0"/>
            <w:vAlign w:val="center"/>
          </w:tcPr>
          <w:p w14:paraId="46EA3673">
            <w:pPr>
              <w:pStyle w:val="71"/>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0.28</w:t>
            </w:r>
          </w:p>
        </w:tc>
        <w:tc>
          <w:tcPr>
            <w:tcW w:w="1232" w:type="dxa"/>
            <w:noWrap w:val="0"/>
            <w:vAlign w:val="center"/>
          </w:tcPr>
          <w:p w14:paraId="4A538E84">
            <w:pPr>
              <w:pStyle w:val="7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3827B390">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2D74D3D3">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0.73</w:t>
            </w:r>
          </w:p>
        </w:tc>
        <w:tc>
          <w:tcPr>
            <w:tcW w:w="1478" w:type="dxa"/>
            <w:noWrap w:val="0"/>
            <w:vAlign w:val="center"/>
          </w:tcPr>
          <w:p w14:paraId="4508C7AA">
            <w:pPr>
              <w:pStyle w:val="71"/>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eastAsia="宋体" w:cs="Times New Roman"/>
                <w:color w:val="auto"/>
                <w:kern w:val="2"/>
                <w:sz w:val="21"/>
                <w:szCs w:val="21"/>
                <w:highlight w:val="none"/>
                <w:lang w:val="en-US" w:eastAsia="zh-CN" w:bidi="ar-SA"/>
              </w:rPr>
              <w:t>0.28</w:t>
            </w:r>
          </w:p>
        </w:tc>
        <w:tc>
          <w:tcPr>
            <w:tcW w:w="2037" w:type="dxa"/>
            <w:noWrap w:val="0"/>
            <w:vAlign w:val="center"/>
          </w:tcPr>
          <w:p w14:paraId="1F9A8965">
            <w:pPr>
              <w:keepNext w:val="0"/>
              <w:keepLines w:val="0"/>
              <w:widowControl/>
              <w:suppressLineNumbers w:val="0"/>
              <w:jc w:val="center"/>
              <w:textAlignment w:val="center"/>
              <w:rPr>
                <w:rFonts w:hint="default" w:ascii="Times New Roman" w:hAnsi="Times New Roman" w:eastAsia="仿宋_GB2312" w:cs="Times New Roman"/>
                <w:b w:val="0"/>
                <w:bCs w:val="0"/>
                <w:snapToGrid w:val="0"/>
                <w:color w:val="auto"/>
                <w:kern w:val="21"/>
                <w:sz w:val="21"/>
                <w:szCs w:val="21"/>
                <w:highlight w:val="yellow"/>
                <w:lang w:val="en-US" w:eastAsia="zh-CN" w:bidi="ar-SA"/>
              </w:rPr>
            </w:pPr>
            <w:r>
              <w:rPr>
                <w:rFonts w:hint="eastAsia" w:cs="Times New Roman"/>
                <w:b w:val="0"/>
                <w:bCs w:val="0"/>
                <w:snapToGrid w:val="0"/>
                <w:color w:val="auto"/>
                <w:kern w:val="21"/>
                <w:sz w:val="21"/>
                <w:szCs w:val="21"/>
                <w:highlight w:val="none"/>
                <w:lang w:val="en-US" w:eastAsia="zh-CN"/>
              </w:rPr>
              <w:t>0.73</w:t>
            </w:r>
          </w:p>
        </w:tc>
        <w:tc>
          <w:tcPr>
            <w:tcW w:w="1655" w:type="dxa"/>
            <w:noWrap w:val="0"/>
            <w:vAlign w:val="center"/>
          </w:tcPr>
          <w:p w14:paraId="469F7F1B">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仿宋_GB2312" w:cs="Times New Roman"/>
                <w:b w:val="0"/>
                <w:bCs w:val="0"/>
                <w:snapToGrid w:val="0"/>
                <w:color w:val="auto"/>
                <w:kern w:val="21"/>
                <w:sz w:val="21"/>
                <w:szCs w:val="21"/>
                <w:highlight w:val="yellow"/>
                <w:lang w:val="en-US" w:eastAsia="zh-CN" w:bidi="ar-SA"/>
              </w:rPr>
            </w:pPr>
            <w:r>
              <w:rPr>
                <w:rFonts w:hint="eastAsia" w:cs="Times New Roman"/>
                <w:b w:val="0"/>
                <w:bCs w:val="0"/>
                <w:color w:val="auto"/>
                <w:kern w:val="0"/>
                <w:sz w:val="21"/>
                <w:szCs w:val="21"/>
                <w:highlight w:val="none"/>
                <w:lang w:val="en-US" w:eastAsia="zh-CN" w:bidi="ar-SA"/>
              </w:rPr>
              <w:t>+0.45</w:t>
            </w:r>
          </w:p>
        </w:tc>
      </w:tr>
      <w:tr w14:paraId="782424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390" w:type="dxa"/>
            <w:vMerge w:val="continue"/>
            <w:noWrap w:val="0"/>
            <w:vAlign w:val="center"/>
          </w:tcPr>
          <w:p w14:paraId="19F09CAC">
            <w:pPr>
              <w:pStyle w:val="57"/>
              <w:spacing w:beforeLines="0" w:afterLines="0" w:line="240" w:lineRule="auto"/>
              <w:jc w:val="center"/>
              <w:rPr>
                <w:color w:val="auto"/>
                <w:sz w:val="21"/>
                <w:szCs w:val="21"/>
                <w:lang w:val="en-US" w:eastAsia="zh-CN"/>
              </w:rPr>
            </w:pPr>
          </w:p>
        </w:tc>
        <w:tc>
          <w:tcPr>
            <w:tcW w:w="1358" w:type="dxa"/>
            <w:noWrap w:val="0"/>
            <w:vAlign w:val="center"/>
          </w:tcPr>
          <w:p w14:paraId="739F914A">
            <w:pPr>
              <w:adjustRightInd w:val="0"/>
              <w:snapToGrid w:val="0"/>
              <w:jc w:val="center"/>
              <w:rPr>
                <w:rFonts w:hAnsi="宋体" w:cs="宋体"/>
                <w:snapToGrid w:val="0"/>
                <w:color w:val="auto"/>
                <w:kern w:val="21"/>
                <w:sz w:val="21"/>
                <w:szCs w:val="21"/>
              </w:rPr>
            </w:pPr>
            <w:r>
              <w:rPr>
                <w:color w:val="auto"/>
                <w:kern w:val="21"/>
                <w:sz w:val="21"/>
                <w:szCs w:val="21"/>
              </w:rPr>
              <w:t>SO</w:t>
            </w:r>
            <w:r>
              <w:rPr>
                <w:color w:val="auto"/>
                <w:kern w:val="21"/>
                <w:sz w:val="21"/>
                <w:szCs w:val="21"/>
                <w:vertAlign w:val="subscript"/>
              </w:rPr>
              <w:t>2</w:t>
            </w:r>
          </w:p>
        </w:tc>
        <w:tc>
          <w:tcPr>
            <w:tcW w:w="1774" w:type="dxa"/>
            <w:noWrap w:val="0"/>
            <w:vAlign w:val="center"/>
          </w:tcPr>
          <w:p w14:paraId="3221A81A">
            <w:pPr>
              <w:pStyle w:val="71"/>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eastAsia="宋体" w:cs="Times New Roman"/>
                <w:color w:val="auto"/>
                <w:kern w:val="2"/>
                <w:sz w:val="21"/>
                <w:szCs w:val="21"/>
                <w:highlight w:val="none"/>
                <w:lang w:val="en-US" w:eastAsia="zh-CN" w:bidi="ar-SA"/>
              </w:rPr>
              <w:t>0.84</w:t>
            </w:r>
          </w:p>
        </w:tc>
        <w:tc>
          <w:tcPr>
            <w:tcW w:w="1232" w:type="dxa"/>
            <w:noWrap w:val="0"/>
            <w:vAlign w:val="center"/>
          </w:tcPr>
          <w:p w14:paraId="30C7C7DC">
            <w:pPr>
              <w:pStyle w:val="71"/>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7F6708F3">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684148B8">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1.05</w:t>
            </w:r>
          </w:p>
        </w:tc>
        <w:tc>
          <w:tcPr>
            <w:tcW w:w="1478" w:type="dxa"/>
            <w:noWrap w:val="0"/>
            <w:vAlign w:val="center"/>
          </w:tcPr>
          <w:p w14:paraId="681C5EE1">
            <w:pPr>
              <w:pStyle w:val="71"/>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eastAsia="宋体" w:cs="Times New Roman"/>
                <w:color w:val="auto"/>
                <w:kern w:val="2"/>
                <w:sz w:val="21"/>
                <w:szCs w:val="21"/>
                <w:highlight w:val="none"/>
                <w:lang w:val="en-US" w:eastAsia="zh-CN" w:bidi="ar-SA"/>
              </w:rPr>
              <w:t>0.84</w:t>
            </w:r>
          </w:p>
        </w:tc>
        <w:tc>
          <w:tcPr>
            <w:tcW w:w="2037" w:type="dxa"/>
            <w:noWrap w:val="0"/>
            <w:vAlign w:val="center"/>
          </w:tcPr>
          <w:p w14:paraId="3D3B759F">
            <w:pPr>
              <w:keepNext w:val="0"/>
              <w:keepLines w:val="0"/>
              <w:widowControl/>
              <w:suppressLineNumbers w:val="0"/>
              <w:jc w:val="center"/>
              <w:textAlignment w:val="center"/>
              <w:rPr>
                <w:rFonts w:hint="default" w:ascii="Times New Roman" w:hAnsi="Times New Roman" w:eastAsia="仿宋_GB2312" w:cs="Times New Roman"/>
                <w:b w:val="0"/>
                <w:bCs w:val="0"/>
                <w:snapToGrid w:val="0"/>
                <w:color w:val="auto"/>
                <w:kern w:val="21"/>
                <w:sz w:val="21"/>
                <w:szCs w:val="21"/>
                <w:highlight w:val="yellow"/>
                <w:lang w:val="en-US" w:eastAsia="zh-CN" w:bidi="ar-SA"/>
              </w:rPr>
            </w:pPr>
            <w:r>
              <w:rPr>
                <w:rFonts w:hint="eastAsia" w:cs="Times New Roman"/>
                <w:b w:val="0"/>
                <w:bCs w:val="0"/>
                <w:snapToGrid w:val="0"/>
                <w:color w:val="auto"/>
                <w:kern w:val="21"/>
                <w:sz w:val="21"/>
                <w:szCs w:val="21"/>
                <w:highlight w:val="none"/>
                <w:lang w:val="en-US" w:eastAsia="zh-CN"/>
              </w:rPr>
              <w:t>1.05</w:t>
            </w:r>
          </w:p>
        </w:tc>
        <w:tc>
          <w:tcPr>
            <w:tcW w:w="1655" w:type="dxa"/>
            <w:noWrap w:val="0"/>
            <w:vAlign w:val="center"/>
          </w:tcPr>
          <w:p w14:paraId="5B3D638F">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仿宋_GB2312" w:cs="Times New Roman"/>
                <w:b w:val="0"/>
                <w:bCs w:val="0"/>
                <w:snapToGrid w:val="0"/>
                <w:color w:val="auto"/>
                <w:kern w:val="21"/>
                <w:sz w:val="21"/>
                <w:szCs w:val="21"/>
                <w:highlight w:val="yellow"/>
                <w:lang w:val="en-US" w:eastAsia="zh-CN" w:bidi="ar-SA"/>
              </w:rPr>
            </w:pPr>
            <w:r>
              <w:rPr>
                <w:rFonts w:hint="eastAsia" w:cs="Times New Roman"/>
                <w:b w:val="0"/>
                <w:bCs w:val="0"/>
                <w:color w:val="auto"/>
                <w:kern w:val="0"/>
                <w:sz w:val="21"/>
                <w:szCs w:val="21"/>
                <w:highlight w:val="none"/>
                <w:lang w:val="en-US" w:eastAsia="zh-CN" w:bidi="ar-SA"/>
              </w:rPr>
              <w:t>+0.21</w:t>
            </w:r>
          </w:p>
        </w:tc>
      </w:tr>
      <w:tr w14:paraId="1A395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04" w:hRule="atLeast"/>
          <w:jc w:val="center"/>
        </w:trPr>
        <w:tc>
          <w:tcPr>
            <w:tcW w:w="1390" w:type="dxa"/>
            <w:vMerge w:val="continue"/>
            <w:noWrap w:val="0"/>
            <w:vAlign w:val="center"/>
          </w:tcPr>
          <w:p w14:paraId="78FC23D7">
            <w:pPr>
              <w:pStyle w:val="57"/>
              <w:spacing w:beforeLines="0" w:afterLines="0" w:line="240" w:lineRule="auto"/>
              <w:jc w:val="center"/>
              <w:rPr>
                <w:rFonts w:hAnsi="宋体" w:cs="宋体"/>
                <w:snapToGrid w:val="0"/>
                <w:color w:val="auto"/>
                <w:kern w:val="21"/>
                <w:sz w:val="21"/>
                <w:szCs w:val="21"/>
                <w:lang w:val="en-US" w:eastAsia="zh-CN"/>
              </w:rPr>
            </w:pPr>
          </w:p>
        </w:tc>
        <w:tc>
          <w:tcPr>
            <w:tcW w:w="1358" w:type="dxa"/>
            <w:noWrap w:val="0"/>
            <w:vAlign w:val="center"/>
          </w:tcPr>
          <w:p w14:paraId="15D86290">
            <w:pPr>
              <w:adjustRightInd w:val="0"/>
              <w:snapToGrid w:val="0"/>
              <w:jc w:val="center"/>
              <w:rPr>
                <w:rFonts w:hAnsi="宋体" w:cs="宋体"/>
                <w:snapToGrid w:val="0"/>
                <w:color w:val="auto"/>
                <w:kern w:val="21"/>
                <w:sz w:val="21"/>
                <w:szCs w:val="21"/>
              </w:rPr>
            </w:pPr>
            <w:r>
              <w:rPr>
                <w:color w:val="auto"/>
                <w:kern w:val="21"/>
                <w:sz w:val="21"/>
                <w:szCs w:val="21"/>
              </w:rPr>
              <w:t>NO</w:t>
            </w:r>
            <w:r>
              <w:rPr>
                <w:rFonts w:hint="eastAsia"/>
                <w:color w:val="auto"/>
                <w:kern w:val="21"/>
                <w:sz w:val="21"/>
                <w:szCs w:val="21"/>
                <w:vertAlign w:val="subscript"/>
              </w:rPr>
              <w:t>x</w:t>
            </w:r>
          </w:p>
        </w:tc>
        <w:tc>
          <w:tcPr>
            <w:tcW w:w="1774" w:type="dxa"/>
            <w:noWrap w:val="0"/>
            <w:vAlign w:val="center"/>
          </w:tcPr>
          <w:p w14:paraId="3C43D973">
            <w:pPr>
              <w:spacing w:line="240" w:lineRule="auto"/>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3.75</w:t>
            </w:r>
          </w:p>
        </w:tc>
        <w:tc>
          <w:tcPr>
            <w:tcW w:w="1232" w:type="dxa"/>
            <w:noWrap w:val="0"/>
            <w:vAlign w:val="center"/>
          </w:tcPr>
          <w:p w14:paraId="70B19941">
            <w:pPr>
              <w:spacing w:line="240" w:lineRule="auto"/>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76770422">
            <w:pPr>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73A28BEB">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2.05</w:t>
            </w:r>
          </w:p>
        </w:tc>
        <w:tc>
          <w:tcPr>
            <w:tcW w:w="1478" w:type="dxa"/>
            <w:noWrap w:val="0"/>
            <w:vAlign w:val="center"/>
          </w:tcPr>
          <w:p w14:paraId="14EBE003">
            <w:pPr>
              <w:spacing w:line="240" w:lineRule="auto"/>
              <w:jc w:val="center"/>
              <w:rPr>
                <w:rFonts w:hint="default" w:ascii="Times New Roman" w:hAnsi="Times New Roman" w:eastAsia="宋体" w:cs="Times New Roman"/>
                <w:b w:val="0"/>
                <w:bCs w:val="0"/>
                <w:color w:val="auto"/>
                <w:sz w:val="21"/>
                <w:szCs w:val="21"/>
                <w:highlight w:val="none"/>
                <w:lang w:val="en-US" w:eastAsia="zh-CN"/>
              </w:rPr>
            </w:pPr>
            <w:r>
              <w:rPr>
                <w:rFonts w:hint="eastAsia" w:cs="Times New Roman"/>
                <w:color w:val="auto"/>
                <w:kern w:val="2"/>
                <w:sz w:val="21"/>
                <w:szCs w:val="21"/>
                <w:highlight w:val="none"/>
                <w:lang w:val="en-US" w:eastAsia="zh-CN" w:bidi="ar-SA"/>
              </w:rPr>
              <w:t>3.75</w:t>
            </w:r>
          </w:p>
        </w:tc>
        <w:tc>
          <w:tcPr>
            <w:tcW w:w="2037" w:type="dxa"/>
            <w:noWrap w:val="0"/>
            <w:vAlign w:val="center"/>
          </w:tcPr>
          <w:p w14:paraId="1CEED7D1">
            <w:pPr>
              <w:keepNext w:val="0"/>
              <w:keepLines w:val="0"/>
              <w:widowControl/>
              <w:suppressLineNumbers w:val="0"/>
              <w:jc w:val="center"/>
              <w:textAlignment w:val="center"/>
              <w:rPr>
                <w:rFonts w:hint="default" w:ascii="Times New Roman" w:hAnsi="Times New Roman" w:eastAsia="仿宋_GB2312" w:cs="Times New Roman"/>
                <w:b w:val="0"/>
                <w:bCs w:val="0"/>
                <w:snapToGrid w:val="0"/>
                <w:color w:val="auto"/>
                <w:kern w:val="21"/>
                <w:sz w:val="21"/>
                <w:szCs w:val="21"/>
                <w:highlight w:val="none"/>
                <w:lang w:val="en-US" w:eastAsia="zh-CN" w:bidi="ar-SA"/>
              </w:rPr>
            </w:pPr>
            <w:r>
              <w:rPr>
                <w:rFonts w:hint="eastAsia" w:cs="Times New Roman"/>
                <w:b w:val="0"/>
                <w:bCs w:val="0"/>
                <w:snapToGrid w:val="0"/>
                <w:color w:val="auto"/>
                <w:kern w:val="21"/>
                <w:sz w:val="21"/>
                <w:szCs w:val="21"/>
                <w:highlight w:val="none"/>
                <w:lang w:val="en-US" w:eastAsia="zh-CN"/>
              </w:rPr>
              <w:t>2.05</w:t>
            </w:r>
          </w:p>
        </w:tc>
        <w:tc>
          <w:tcPr>
            <w:tcW w:w="1655" w:type="dxa"/>
            <w:noWrap w:val="0"/>
            <w:vAlign w:val="center"/>
          </w:tcPr>
          <w:p w14:paraId="02A1F3FD">
            <w:pPr>
              <w:keepNext w:val="0"/>
              <w:keepLines w:val="0"/>
              <w:pageBreakBefore w:val="0"/>
              <w:widowControl/>
              <w:suppressLineNumbers w:val="0"/>
              <w:kinsoku/>
              <w:wordWrap/>
              <w:overflowPunct/>
              <w:topLinePunct w:val="0"/>
              <w:autoSpaceDE/>
              <w:autoSpaceDN/>
              <w:bidi w:val="0"/>
              <w:adjustRightInd/>
              <w:spacing w:line="0" w:lineRule="atLeast"/>
              <w:jc w:val="center"/>
              <w:textAlignment w:val="center"/>
              <w:rPr>
                <w:rFonts w:hint="default" w:ascii="Times New Roman" w:hAnsi="Times New Roman" w:eastAsia="仿宋_GB2312" w:cs="Times New Roman"/>
                <w:b w:val="0"/>
                <w:bCs w:val="0"/>
                <w:snapToGrid w:val="0"/>
                <w:color w:val="auto"/>
                <w:kern w:val="21"/>
                <w:sz w:val="21"/>
                <w:szCs w:val="21"/>
                <w:highlight w:val="none"/>
                <w:lang w:val="en-US" w:eastAsia="zh-CN" w:bidi="ar-SA"/>
              </w:rPr>
            </w:pPr>
            <w:r>
              <w:rPr>
                <w:rFonts w:hint="eastAsia" w:cs="Times New Roman"/>
                <w:b w:val="0"/>
                <w:bCs w:val="0"/>
                <w:color w:val="auto"/>
                <w:kern w:val="0"/>
                <w:sz w:val="21"/>
                <w:szCs w:val="21"/>
                <w:highlight w:val="none"/>
                <w:lang w:val="en-US" w:eastAsia="zh-CN" w:bidi="ar-SA"/>
              </w:rPr>
              <w:t>-1.70</w:t>
            </w:r>
          </w:p>
        </w:tc>
      </w:tr>
      <w:tr w14:paraId="70FD5D9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58" w:hRule="atLeast"/>
          <w:jc w:val="center"/>
        </w:trPr>
        <w:tc>
          <w:tcPr>
            <w:tcW w:w="1390" w:type="dxa"/>
            <w:noWrap w:val="0"/>
            <w:vAlign w:val="center"/>
          </w:tcPr>
          <w:p w14:paraId="70FB8154">
            <w:pPr>
              <w:pStyle w:val="57"/>
              <w:spacing w:beforeLines="0" w:afterLines="0" w:line="240" w:lineRule="auto"/>
              <w:ind w:left="0" w:leftChars="0" w:firstLine="0" w:firstLineChars="0"/>
              <w:jc w:val="center"/>
              <w:rPr>
                <w:rFonts w:hint="eastAsia" w:hAnsi="宋体" w:cs="宋体"/>
                <w:snapToGrid w:val="0"/>
                <w:color w:val="auto"/>
                <w:kern w:val="21"/>
                <w:sz w:val="21"/>
                <w:szCs w:val="21"/>
                <w:highlight w:val="none"/>
                <w:lang w:val="en-US" w:eastAsia="zh-CN"/>
              </w:rPr>
            </w:pPr>
            <w:r>
              <w:rPr>
                <w:rFonts w:hint="eastAsia" w:hAnsi="宋体" w:cs="宋体"/>
                <w:snapToGrid w:val="0"/>
                <w:color w:val="auto"/>
                <w:kern w:val="21"/>
                <w:sz w:val="21"/>
                <w:szCs w:val="21"/>
                <w:highlight w:val="none"/>
                <w:lang w:val="en-US" w:eastAsia="zh-CN"/>
              </w:rPr>
              <w:t>废水</w:t>
            </w:r>
          </w:p>
        </w:tc>
        <w:tc>
          <w:tcPr>
            <w:tcW w:w="1358" w:type="dxa"/>
            <w:noWrap w:val="0"/>
            <w:vAlign w:val="center"/>
          </w:tcPr>
          <w:p w14:paraId="3CE61743">
            <w:pPr>
              <w:pStyle w:val="57"/>
              <w:spacing w:beforeLines="0" w:afterLines="0" w:line="240" w:lineRule="auto"/>
              <w:ind w:firstLine="0"/>
              <w:rPr>
                <w:rFonts w:hint="eastAsia" w:hAnsi="宋体" w:cs="宋体"/>
                <w:snapToGrid w:val="0"/>
                <w:color w:val="auto"/>
                <w:kern w:val="21"/>
                <w:sz w:val="21"/>
                <w:szCs w:val="21"/>
                <w:highlight w:val="none"/>
                <w:lang w:val="en-US" w:eastAsia="zh-CN"/>
              </w:rPr>
            </w:pPr>
            <w:r>
              <w:rPr>
                <w:rFonts w:hint="eastAsia" w:hAnsi="宋体" w:cs="宋体"/>
                <w:snapToGrid w:val="0"/>
                <w:color w:val="auto"/>
                <w:kern w:val="21"/>
                <w:sz w:val="21"/>
                <w:szCs w:val="21"/>
                <w:highlight w:val="none"/>
                <w:lang w:val="en-US" w:eastAsia="zh-CN"/>
              </w:rPr>
              <w:t>生活污水</w:t>
            </w:r>
          </w:p>
        </w:tc>
        <w:tc>
          <w:tcPr>
            <w:tcW w:w="1774" w:type="dxa"/>
            <w:noWrap w:val="0"/>
            <w:vAlign w:val="center"/>
          </w:tcPr>
          <w:p w14:paraId="0F264269">
            <w:pPr>
              <w:pStyle w:val="71"/>
              <w:spacing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sz w:val="21"/>
                <w:szCs w:val="21"/>
                <w:highlight w:val="none"/>
                <w:lang w:val="en-US" w:eastAsia="zh-CN"/>
              </w:rPr>
              <w:t>58.24</w:t>
            </w:r>
          </w:p>
        </w:tc>
        <w:tc>
          <w:tcPr>
            <w:tcW w:w="1232" w:type="dxa"/>
            <w:noWrap w:val="0"/>
            <w:vAlign w:val="center"/>
          </w:tcPr>
          <w:p w14:paraId="1D538CA0">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0560F4D6">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4FD7C8B0">
            <w:pPr>
              <w:pStyle w:val="71"/>
              <w:spacing w:line="240" w:lineRule="auto"/>
              <w:jc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0</w:t>
            </w:r>
          </w:p>
        </w:tc>
        <w:tc>
          <w:tcPr>
            <w:tcW w:w="1478" w:type="dxa"/>
            <w:noWrap w:val="0"/>
            <w:vAlign w:val="center"/>
          </w:tcPr>
          <w:p w14:paraId="6228019C">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0</w:t>
            </w:r>
          </w:p>
        </w:tc>
        <w:tc>
          <w:tcPr>
            <w:tcW w:w="2037" w:type="dxa"/>
            <w:noWrap w:val="0"/>
            <w:vAlign w:val="center"/>
          </w:tcPr>
          <w:p w14:paraId="68EB25EF">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1"/>
                <w:sz w:val="21"/>
                <w:szCs w:val="21"/>
                <w:highlight w:val="none"/>
                <w:lang w:val="en-US" w:eastAsia="zh-CN" w:bidi="ar-SA"/>
              </w:rPr>
            </w:pPr>
            <w:r>
              <w:rPr>
                <w:rFonts w:hint="eastAsia" w:cs="Times New Roman"/>
                <w:i w:val="0"/>
                <w:iCs w:val="0"/>
                <w:color w:val="auto"/>
                <w:kern w:val="0"/>
                <w:sz w:val="21"/>
                <w:szCs w:val="21"/>
                <w:u w:val="none"/>
                <w:lang w:val="en-US" w:eastAsia="zh-CN" w:bidi="ar"/>
              </w:rPr>
              <w:t>58.24</w:t>
            </w:r>
          </w:p>
        </w:tc>
        <w:tc>
          <w:tcPr>
            <w:tcW w:w="1655" w:type="dxa"/>
            <w:noWrap w:val="0"/>
            <w:vAlign w:val="center"/>
          </w:tcPr>
          <w:p w14:paraId="0BECCC3D">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1"/>
                <w:sz w:val="21"/>
                <w:szCs w:val="21"/>
                <w:highlight w:val="none"/>
                <w:lang w:val="en-US" w:eastAsia="zh-CN" w:bidi="ar-SA"/>
              </w:rPr>
            </w:pPr>
            <w:r>
              <w:rPr>
                <w:rFonts w:hint="default" w:ascii="Times New Roman" w:hAnsi="Times New Roman" w:eastAsia="宋体" w:cs="Times New Roman"/>
                <w:i w:val="0"/>
                <w:iCs w:val="0"/>
                <w:color w:val="auto"/>
                <w:kern w:val="0"/>
                <w:sz w:val="21"/>
                <w:szCs w:val="21"/>
                <w:u w:val="none"/>
                <w:lang w:val="en-US" w:eastAsia="zh-CN" w:bidi="ar"/>
              </w:rPr>
              <w:t>0</w:t>
            </w:r>
          </w:p>
        </w:tc>
      </w:tr>
      <w:tr w14:paraId="40E232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90" w:type="dxa"/>
            <w:vMerge w:val="restart"/>
            <w:noWrap w:val="0"/>
            <w:vAlign w:val="center"/>
          </w:tcPr>
          <w:p w14:paraId="23A3DA09">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一般工业</w:t>
            </w:r>
          </w:p>
          <w:p w14:paraId="53079BB9">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固体废物</w:t>
            </w:r>
          </w:p>
        </w:tc>
        <w:tc>
          <w:tcPr>
            <w:tcW w:w="1358" w:type="dxa"/>
            <w:noWrap w:val="0"/>
            <w:vAlign w:val="center"/>
          </w:tcPr>
          <w:p w14:paraId="1D14270B">
            <w:pPr>
              <w:adjustRightInd w:val="0"/>
              <w:snapToGrid w:val="0"/>
              <w:jc w:val="center"/>
              <w:rPr>
                <w:rFonts w:hint="eastAsia" w:hAnsi="宋体" w:eastAsia="宋体" w:cs="宋体"/>
                <w:snapToGrid w:val="0"/>
                <w:color w:val="auto"/>
                <w:kern w:val="21"/>
                <w:sz w:val="21"/>
                <w:szCs w:val="21"/>
                <w:lang w:eastAsia="zh-CN"/>
              </w:rPr>
            </w:pPr>
            <w:r>
              <w:rPr>
                <w:rFonts w:hint="eastAsia"/>
                <w:color w:val="auto"/>
                <w:kern w:val="21"/>
                <w:sz w:val="21"/>
                <w:szCs w:val="21"/>
                <w:lang w:eastAsia="zh-CN"/>
              </w:rPr>
              <w:t>灰渣</w:t>
            </w:r>
          </w:p>
        </w:tc>
        <w:tc>
          <w:tcPr>
            <w:tcW w:w="1774" w:type="dxa"/>
            <w:noWrap w:val="0"/>
            <w:vAlign w:val="center"/>
          </w:tcPr>
          <w:p w14:paraId="1FDB2D28">
            <w:pPr>
              <w:pStyle w:val="71"/>
              <w:spacing w:line="240" w:lineRule="auto"/>
              <w:jc w:val="center"/>
              <w:rPr>
                <w:rFonts w:hint="default" w:ascii="Times New Roman" w:hAnsi="Times New Roman" w:cs="Times New Roman"/>
                <w:color w:val="auto"/>
                <w:sz w:val="21"/>
                <w:szCs w:val="21"/>
                <w:highlight w:val="none"/>
                <w:lang w:val="en-US" w:eastAsia="zh-CN"/>
              </w:rPr>
            </w:pPr>
            <w:r>
              <w:rPr>
                <w:rFonts w:hint="eastAsia"/>
                <w:color w:val="auto"/>
                <w:sz w:val="21"/>
                <w:szCs w:val="21"/>
                <w:highlight w:val="none"/>
                <w:lang w:val="en-US" w:eastAsia="zh-CN"/>
              </w:rPr>
              <w:t>108</w:t>
            </w:r>
          </w:p>
        </w:tc>
        <w:tc>
          <w:tcPr>
            <w:tcW w:w="1232" w:type="dxa"/>
            <w:noWrap w:val="0"/>
            <w:vAlign w:val="center"/>
          </w:tcPr>
          <w:p w14:paraId="53D5707F">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35A6E60F">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6F621A77">
            <w:pPr>
              <w:pStyle w:val="71"/>
              <w:spacing w:line="240" w:lineRule="auto"/>
              <w:jc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color w:val="auto"/>
                <w:sz w:val="21"/>
                <w:szCs w:val="21"/>
                <w:lang w:val="en-US" w:eastAsia="zh-CN"/>
              </w:rPr>
              <w:t>387.71</w:t>
            </w:r>
          </w:p>
        </w:tc>
        <w:tc>
          <w:tcPr>
            <w:tcW w:w="1478" w:type="dxa"/>
            <w:noWrap w:val="0"/>
            <w:vAlign w:val="center"/>
          </w:tcPr>
          <w:p w14:paraId="324597E0">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highlight w:val="none"/>
                <w:lang w:val="en-US" w:eastAsia="zh-CN"/>
              </w:rPr>
            </w:pPr>
            <w:r>
              <w:rPr>
                <w:rFonts w:hint="eastAsia" w:cs="Times New Roman"/>
                <w:b w:val="0"/>
                <w:bCs w:val="0"/>
                <w:snapToGrid w:val="0"/>
                <w:color w:val="auto"/>
                <w:kern w:val="21"/>
                <w:sz w:val="21"/>
                <w:szCs w:val="21"/>
                <w:highlight w:val="none"/>
                <w:lang w:val="en-US" w:eastAsia="zh-CN"/>
              </w:rPr>
              <w:t>108</w:t>
            </w:r>
          </w:p>
        </w:tc>
        <w:tc>
          <w:tcPr>
            <w:tcW w:w="2037" w:type="dxa"/>
            <w:noWrap w:val="0"/>
            <w:vAlign w:val="center"/>
          </w:tcPr>
          <w:p w14:paraId="0969CC0D">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1"/>
                <w:sz w:val="21"/>
                <w:szCs w:val="21"/>
                <w:highlight w:val="none"/>
                <w:lang w:val="en-US" w:eastAsia="zh-CN" w:bidi="ar-SA"/>
              </w:rPr>
            </w:pPr>
            <w:r>
              <w:rPr>
                <w:rFonts w:hint="eastAsia" w:cs="Times New Roman"/>
                <w:b w:val="0"/>
                <w:bCs w:val="0"/>
                <w:snapToGrid w:val="0"/>
                <w:color w:val="auto"/>
                <w:kern w:val="21"/>
                <w:sz w:val="21"/>
                <w:szCs w:val="21"/>
                <w:highlight w:val="none"/>
                <w:lang w:val="en-US" w:eastAsia="zh-CN" w:bidi="ar-SA"/>
              </w:rPr>
              <w:t>187.33</w:t>
            </w:r>
          </w:p>
        </w:tc>
        <w:tc>
          <w:tcPr>
            <w:tcW w:w="1655" w:type="dxa"/>
            <w:noWrap w:val="0"/>
            <w:vAlign w:val="center"/>
          </w:tcPr>
          <w:p w14:paraId="5B103F1A">
            <w:pPr>
              <w:keepNext w:val="0"/>
              <w:keepLines w:val="0"/>
              <w:widowControl/>
              <w:suppressLineNumbers w:val="0"/>
              <w:jc w:val="center"/>
              <w:textAlignment w:val="center"/>
              <w:rPr>
                <w:rFonts w:hint="default" w:ascii="Times New Roman" w:hAnsi="Times New Roman" w:eastAsia="宋体" w:cs="Times New Roman"/>
                <w:b w:val="0"/>
                <w:bCs w:val="0"/>
                <w:snapToGrid w:val="0"/>
                <w:color w:val="auto"/>
                <w:kern w:val="21"/>
                <w:sz w:val="21"/>
                <w:szCs w:val="21"/>
                <w:highlight w:val="none"/>
                <w:lang w:val="en-US" w:eastAsia="zh-CN" w:bidi="ar-SA"/>
              </w:rPr>
            </w:pPr>
            <w:r>
              <w:rPr>
                <w:rFonts w:hint="eastAsia" w:cs="Times New Roman"/>
                <w:i w:val="0"/>
                <w:iCs w:val="0"/>
                <w:color w:val="auto"/>
                <w:kern w:val="0"/>
                <w:sz w:val="21"/>
                <w:szCs w:val="21"/>
                <w:u w:val="none"/>
                <w:lang w:val="en-US" w:eastAsia="zh-CN" w:bidi="ar"/>
              </w:rPr>
              <w:t>+279.71</w:t>
            </w:r>
          </w:p>
        </w:tc>
      </w:tr>
      <w:tr w14:paraId="76AB724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90" w:type="dxa"/>
            <w:vMerge w:val="continue"/>
            <w:noWrap w:val="0"/>
            <w:vAlign w:val="center"/>
          </w:tcPr>
          <w:p w14:paraId="10F1C1C9">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p>
        </w:tc>
        <w:tc>
          <w:tcPr>
            <w:tcW w:w="1358" w:type="dxa"/>
            <w:noWrap w:val="0"/>
            <w:vAlign w:val="center"/>
          </w:tcPr>
          <w:p w14:paraId="679FEEF8">
            <w:pPr>
              <w:adjustRightInd w:val="0"/>
              <w:snapToGrid w:val="0"/>
              <w:jc w:val="center"/>
              <w:rPr>
                <w:rFonts w:hint="eastAsia"/>
                <w:color w:val="auto"/>
                <w:kern w:val="21"/>
                <w:sz w:val="21"/>
                <w:szCs w:val="21"/>
                <w:lang w:eastAsia="zh-CN"/>
              </w:rPr>
            </w:pPr>
            <w:r>
              <w:rPr>
                <w:rFonts w:hint="eastAsia"/>
                <w:color w:val="auto"/>
                <w:kern w:val="21"/>
                <w:sz w:val="21"/>
                <w:szCs w:val="21"/>
                <w:lang w:eastAsia="zh-CN"/>
              </w:rPr>
              <w:t>生活垃圾</w:t>
            </w:r>
          </w:p>
        </w:tc>
        <w:tc>
          <w:tcPr>
            <w:tcW w:w="1774" w:type="dxa"/>
            <w:noWrap w:val="0"/>
            <w:vAlign w:val="center"/>
          </w:tcPr>
          <w:p w14:paraId="01AC3868">
            <w:pPr>
              <w:pStyle w:val="71"/>
              <w:spacing w:line="24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42</w:t>
            </w:r>
          </w:p>
        </w:tc>
        <w:tc>
          <w:tcPr>
            <w:tcW w:w="1232" w:type="dxa"/>
            <w:noWrap w:val="0"/>
            <w:vAlign w:val="center"/>
          </w:tcPr>
          <w:p w14:paraId="47207F62">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905" w:type="dxa"/>
            <w:noWrap w:val="0"/>
            <w:vAlign w:val="center"/>
          </w:tcPr>
          <w:p w14:paraId="5E9D8398">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807" w:type="dxa"/>
            <w:noWrap w:val="0"/>
            <w:vAlign w:val="center"/>
          </w:tcPr>
          <w:p w14:paraId="74B54805">
            <w:pPr>
              <w:pStyle w:val="71"/>
              <w:spacing w:line="240" w:lineRule="auto"/>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w:t>
            </w:r>
          </w:p>
        </w:tc>
        <w:tc>
          <w:tcPr>
            <w:tcW w:w="1478" w:type="dxa"/>
            <w:noWrap w:val="0"/>
            <w:vAlign w:val="center"/>
          </w:tcPr>
          <w:p w14:paraId="58662248">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i w:val="0"/>
                <w:iCs w:val="0"/>
                <w:color w:val="auto"/>
                <w:kern w:val="0"/>
                <w:sz w:val="21"/>
                <w:szCs w:val="21"/>
                <w:u w:val="none"/>
                <w:lang w:val="en-US" w:eastAsia="zh-CN" w:bidi="ar"/>
              </w:rPr>
              <w:t>0</w:t>
            </w:r>
          </w:p>
        </w:tc>
        <w:tc>
          <w:tcPr>
            <w:tcW w:w="2037" w:type="dxa"/>
            <w:noWrap w:val="0"/>
            <w:vAlign w:val="center"/>
          </w:tcPr>
          <w:p w14:paraId="1799C46B">
            <w:pPr>
              <w:keepNext w:val="0"/>
              <w:keepLines w:val="0"/>
              <w:widowControl/>
              <w:suppressLineNumbers w:val="0"/>
              <w:jc w:val="center"/>
              <w:textAlignment w:val="center"/>
              <w:rPr>
                <w:rFonts w:hint="default" w:cs="Times New Roman"/>
                <w:b w:val="0"/>
                <w:bCs w:val="0"/>
                <w:color w:val="auto"/>
                <w:sz w:val="21"/>
                <w:szCs w:val="21"/>
                <w:lang w:val="en-US" w:eastAsia="zh-CN"/>
              </w:rPr>
            </w:pPr>
            <w:r>
              <w:rPr>
                <w:rFonts w:hint="eastAsia" w:cs="Times New Roman"/>
                <w:i w:val="0"/>
                <w:iCs w:val="0"/>
                <w:color w:val="auto"/>
                <w:kern w:val="0"/>
                <w:sz w:val="21"/>
                <w:szCs w:val="21"/>
                <w:u w:val="none"/>
                <w:lang w:val="en-US" w:eastAsia="zh-CN" w:bidi="ar"/>
              </w:rPr>
              <w:t>42</w:t>
            </w:r>
          </w:p>
        </w:tc>
        <w:tc>
          <w:tcPr>
            <w:tcW w:w="1655" w:type="dxa"/>
            <w:noWrap w:val="0"/>
            <w:vAlign w:val="center"/>
          </w:tcPr>
          <w:p w14:paraId="74B945C2">
            <w:pPr>
              <w:keepNext w:val="0"/>
              <w:keepLines w:val="0"/>
              <w:widowControl/>
              <w:suppressLineNumbers w:val="0"/>
              <w:jc w:val="center"/>
              <w:textAlignment w:val="center"/>
              <w:rPr>
                <w:rFonts w:hint="default" w:cs="Times New Roman"/>
                <w:b w:val="0"/>
                <w:bCs w:val="0"/>
                <w:color w:val="auto"/>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0</w:t>
            </w:r>
          </w:p>
        </w:tc>
      </w:tr>
      <w:tr w14:paraId="5FC7686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1390" w:type="dxa"/>
            <w:vMerge w:val="continue"/>
            <w:noWrap w:val="0"/>
            <w:vAlign w:val="center"/>
          </w:tcPr>
          <w:p w14:paraId="1B1265BF">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p>
        </w:tc>
        <w:tc>
          <w:tcPr>
            <w:tcW w:w="1358" w:type="dxa"/>
            <w:noWrap w:val="0"/>
            <w:vAlign w:val="center"/>
          </w:tcPr>
          <w:p w14:paraId="1F0CC71C">
            <w:pPr>
              <w:adjustRightInd w:val="0"/>
              <w:snapToGrid w:val="0"/>
              <w:jc w:val="center"/>
              <w:rPr>
                <w:rFonts w:hint="eastAsia"/>
                <w:color w:val="auto"/>
                <w:kern w:val="21"/>
                <w:sz w:val="21"/>
                <w:szCs w:val="21"/>
                <w:lang w:eastAsia="zh-CN"/>
              </w:rPr>
            </w:pPr>
            <w:r>
              <w:rPr>
                <w:rFonts w:hint="eastAsia"/>
                <w:color w:val="auto"/>
                <w:kern w:val="21"/>
                <w:sz w:val="21"/>
                <w:szCs w:val="21"/>
                <w:lang w:eastAsia="zh-CN"/>
              </w:rPr>
              <w:t>矸石</w:t>
            </w:r>
          </w:p>
        </w:tc>
        <w:tc>
          <w:tcPr>
            <w:tcW w:w="1774" w:type="dxa"/>
            <w:noWrap w:val="0"/>
            <w:vAlign w:val="center"/>
          </w:tcPr>
          <w:p w14:paraId="273B60F6">
            <w:pPr>
              <w:pStyle w:val="71"/>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15000</w:t>
            </w:r>
          </w:p>
        </w:tc>
        <w:tc>
          <w:tcPr>
            <w:tcW w:w="1232" w:type="dxa"/>
            <w:noWrap w:val="0"/>
            <w:vAlign w:val="center"/>
          </w:tcPr>
          <w:p w14:paraId="08DC234C">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905" w:type="dxa"/>
            <w:noWrap w:val="0"/>
            <w:vAlign w:val="center"/>
          </w:tcPr>
          <w:p w14:paraId="3D185697">
            <w:pPr>
              <w:pStyle w:val="71"/>
              <w:spacing w:line="240" w:lineRule="auto"/>
              <w:jc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snapToGrid w:val="0"/>
                <w:color w:val="auto"/>
                <w:kern w:val="21"/>
                <w:sz w:val="21"/>
                <w:szCs w:val="21"/>
                <w:highlight w:val="none"/>
                <w:lang w:val="en-US" w:eastAsia="zh-CN"/>
              </w:rPr>
              <w:t>/</w:t>
            </w:r>
          </w:p>
        </w:tc>
        <w:tc>
          <w:tcPr>
            <w:tcW w:w="1807" w:type="dxa"/>
            <w:noWrap w:val="0"/>
            <w:vAlign w:val="center"/>
          </w:tcPr>
          <w:p w14:paraId="691BA6DE">
            <w:pPr>
              <w:pStyle w:val="71"/>
              <w:spacing w:line="240" w:lineRule="auto"/>
              <w:jc w:val="center"/>
              <w:rPr>
                <w:rFonts w:hint="default" w:cs="Times New Roman"/>
                <w:b w:val="0"/>
                <w:bCs w:val="0"/>
                <w:color w:val="auto"/>
                <w:sz w:val="21"/>
                <w:szCs w:val="21"/>
                <w:lang w:val="en-US" w:eastAsia="zh-CN"/>
              </w:rPr>
            </w:pPr>
            <w:r>
              <w:rPr>
                <w:rFonts w:hint="eastAsia" w:cs="Times New Roman"/>
                <w:b w:val="0"/>
                <w:bCs w:val="0"/>
                <w:color w:val="auto"/>
                <w:sz w:val="21"/>
                <w:szCs w:val="21"/>
                <w:lang w:val="en-US" w:eastAsia="zh-CN"/>
              </w:rPr>
              <w:t>0</w:t>
            </w:r>
          </w:p>
        </w:tc>
        <w:tc>
          <w:tcPr>
            <w:tcW w:w="1478" w:type="dxa"/>
            <w:noWrap w:val="0"/>
            <w:vAlign w:val="center"/>
          </w:tcPr>
          <w:p w14:paraId="17299BD2">
            <w:pPr>
              <w:keepNext w:val="0"/>
              <w:keepLines w:val="0"/>
              <w:widowControl/>
              <w:suppressLineNumbers w:val="0"/>
              <w:jc w:val="center"/>
              <w:textAlignment w:val="center"/>
              <w:rPr>
                <w:rFonts w:hint="default" w:ascii="Times New Roman" w:hAnsi="Times New Roman" w:cs="Times New Roman"/>
                <w:snapToGrid w:val="0"/>
                <w:color w:val="auto"/>
                <w:kern w:val="21"/>
                <w:sz w:val="21"/>
                <w:szCs w:val="21"/>
                <w:highlight w:val="none"/>
                <w:lang w:val="en-US" w:eastAsia="zh-CN"/>
              </w:rPr>
            </w:pPr>
            <w:r>
              <w:rPr>
                <w:rFonts w:hint="eastAsia" w:cs="Times New Roman"/>
                <w:i w:val="0"/>
                <w:iCs w:val="0"/>
                <w:color w:val="auto"/>
                <w:kern w:val="0"/>
                <w:sz w:val="21"/>
                <w:szCs w:val="21"/>
                <w:u w:val="none"/>
                <w:lang w:val="en-US" w:eastAsia="zh-CN" w:bidi="ar"/>
              </w:rPr>
              <w:t>0</w:t>
            </w:r>
          </w:p>
        </w:tc>
        <w:tc>
          <w:tcPr>
            <w:tcW w:w="2037" w:type="dxa"/>
            <w:noWrap w:val="0"/>
            <w:vAlign w:val="center"/>
          </w:tcPr>
          <w:p w14:paraId="1957C209">
            <w:pPr>
              <w:keepNext w:val="0"/>
              <w:keepLines w:val="0"/>
              <w:widowControl/>
              <w:suppressLineNumbers w:val="0"/>
              <w:jc w:val="center"/>
              <w:textAlignment w:val="center"/>
              <w:rPr>
                <w:rFonts w:hint="eastAsia" w:cs="Times New Roman"/>
                <w:b w:val="0"/>
                <w:bCs w:val="0"/>
                <w:color w:val="auto"/>
                <w:sz w:val="21"/>
                <w:szCs w:val="21"/>
                <w:lang w:val="en-US" w:eastAsia="zh-CN"/>
              </w:rPr>
            </w:pPr>
            <w:r>
              <w:rPr>
                <w:rFonts w:hint="eastAsia"/>
                <w:color w:val="auto"/>
                <w:sz w:val="21"/>
                <w:szCs w:val="21"/>
                <w:highlight w:val="none"/>
                <w:lang w:val="en-US" w:eastAsia="zh-CN"/>
              </w:rPr>
              <w:t>15000</w:t>
            </w:r>
          </w:p>
        </w:tc>
        <w:tc>
          <w:tcPr>
            <w:tcW w:w="1655" w:type="dxa"/>
            <w:noWrap w:val="0"/>
            <w:vAlign w:val="center"/>
          </w:tcPr>
          <w:p w14:paraId="71C73314">
            <w:pPr>
              <w:keepNext w:val="0"/>
              <w:keepLines w:val="0"/>
              <w:widowControl/>
              <w:suppressLineNumbers w:val="0"/>
              <w:jc w:val="center"/>
              <w:textAlignment w:val="center"/>
              <w:rPr>
                <w:rFonts w:hint="default" w:cs="Times New Roman"/>
                <w:b w:val="0"/>
                <w:bCs w:val="0"/>
                <w:color w:val="auto"/>
                <w:sz w:val="21"/>
                <w:szCs w:val="21"/>
                <w:lang w:val="en-US" w:eastAsia="zh-CN"/>
              </w:rPr>
            </w:pPr>
            <w:r>
              <w:rPr>
                <w:rFonts w:hint="eastAsia" w:cs="Times New Roman"/>
                <w:i w:val="0"/>
                <w:iCs w:val="0"/>
                <w:color w:val="auto"/>
                <w:kern w:val="0"/>
                <w:sz w:val="21"/>
                <w:szCs w:val="21"/>
                <w:u w:val="none"/>
                <w:lang w:val="en-US" w:eastAsia="zh-CN" w:bidi="ar"/>
              </w:rPr>
              <w:t>0</w:t>
            </w:r>
          </w:p>
        </w:tc>
      </w:tr>
      <w:tr w14:paraId="39B50F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1" w:hRule="atLeast"/>
          <w:jc w:val="center"/>
        </w:trPr>
        <w:tc>
          <w:tcPr>
            <w:tcW w:w="1390" w:type="dxa"/>
            <w:noWrap w:val="0"/>
            <w:vAlign w:val="center"/>
          </w:tcPr>
          <w:p w14:paraId="49CF3EC2">
            <w:pPr>
              <w:pStyle w:val="57"/>
              <w:spacing w:beforeLines="0" w:afterLines="0" w:line="240" w:lineRule="auto"/>
              <w:ind w:left="0" w:leftChars="0" w:firstLine="0" w:firstLineChars="0"/>
              <w:jc w:val="center"/>
              <w:rPr>
                <w:rFonts w:hint="eastAsia" w:hAnsi="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危险废物</w:t>
            </w:r>
          </w:p>
        </w:tc>
        <w:tc>
          <w:tcPr>
            <w:tcW w:w="1358" w:type="dxa"/>
            <w:noWrap w:val="0"/>
            <w:vAlign w:val="center"/>
          </w:tcPr>
          <w:p w14:paraId="2F50320C">
            <w:pPr>
              <w:pStyle w:val="57"/>
              <w:spacing w:beforeLines="0" w:afterLines="0" w:line="240" w:lineRule="auto"/>
              <w:ind w:left="0" w:leftChars="0" w:firstLine="0" w:firstLineChars="0"/>
              <w:jc w:val="center"/>
              <w:rPr>
                <w:rFonts w:hint="default" w:hAnsi="宋体" w:cs="宋体"/>
                <w:snapToGrid w:val="0"/>
                <w:color w:val="auto"/>
                <w:kern w:val="21"/>
                <w:sz w:val="21"/>
                <w:szCs w:val="21"/>
                <w:lang w:val="en-US" w:eastAsia="zh-CN"/>
              </w:rPr>
            </w:pPr>
            <w:r>
              <w:rPr>
                <w:rFonts w:hint="eastAsia" w:hAnsi="宋体" w:cs="宋体"/>
                <w:snapToGrid w:val="0"/>
                <w:color w:val="auto"/>
                <w:kern w:val="21"/>
                <w:sz w:val="21"/>
                <w:szCs w:val="21"/>
                <w:lang w:val="en-US" w:eastAsia="zh-CN"/>
              </w:rPr>
              <w:t>/</w:t>
            </w:r>
          </w:p>
        </w:tc>
        <w:tc>
          <w:tcPr>
            <w:tcW w:w="1774" w:type="dxa"/>
            <w:noWrap w:val="0"/>
            <w:vAlign w:val="center"/>
          </w:tcPr>
          <w:p w14:paraId="60120AB0">
            <w:pPr>
              <w:pStyle w:val="71"/>
              <w:spacing w:line="240" w:lineRule="auto"/>
              <w:jc w:val="center"/>
              <w:rPr>
                <w:rFonts w:hint="default" w:ascii="Times New Roman" w:hAnsi="Times New Roman"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232" w:type="dxa"/>
            <w:noWrap w:val="0"/>
            <w:vAlign w:val="center"/>
          </w:tcPr>
          <w:p w14:paraId="4CBE618D">
            <w:pPr>
              <w:pStyle w:val="71"/>
              <w:spacing w:line="240" w:lineRule="auto"/>
              <w:jc w:val="center"/>
              <w:rPr>
                <w:rFonts w:hint="default" w:ascii="Times New Roman" w:hAnsi="Times New Roman"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905" w:type="dxa"/>
            <w:noWrap w:val="0"/>
            <w:vAlign w:val="center"/>
          </w:tcPr>
          <w:p w14:paraId="4880E2DA">
            <w:pPr>
              <w:pStyle w:val="71"/>
              <w:spacing w:line="240" w:lineRule="auto"/>
              <w:jc w:val="center"/>
              <w:rPr>
                <w:rFonts w:hint="default" w:ascii="Times New Roman" w:hAnsi="Times New Roman" w:cs="Times New Roman"/>
                <w:snapToGrid w:val="0"/>
                <w:color w:val="auto"/>
                <w:kern w:val="21"/>
                <w:sz w:val="21"/>
                <w:szCs w:val="21"/>
                <w:lang w:val="en-US" w:eastAsia="zh-CN"/>
              </w:rPr>
            </w:pPr>
            <w:r>
              <w:rPr>
                <w:rFonts w:hint="default" w:ascii="Times New Roman" w:hAnsi="Times New Roman" w:cs="Times New Roman"/>
                <w:snapToGrid w:val="0"/>
                <w:color w:val="auto"/>
                <w:kern w:val="21"/>
                <w:sz w:val="21"/>
                <w:szCs w:val="21"/>
                <w:highlight w:val="none"/>
                <w:lang w:val="en-US" w:eastAsia="zh-CN"/>
              </w:rPr>
              <w:t>/</w:t>
            </w:r>
          </w:p>
        </w:tc>
        <w:tc>
          <w:tcPr>
            <w:tcW w:w="1807" w:type="dxa"/>
            <w:noWrap w:val="0"/>
            <w:vAlign w:val="center"/>
          </w:tcPr>
          <w:p w14:paraId="18708B86">
            <w:pPr>
              <w:pStyle w:val="57"/>
              <w:spacing w:beforeLines="0" w:afterLines="0" w:line="240" w:lineRule="auto"/>
              <w:ind w:firstLine="0"/>
              <w:jc w:val="center"/>
              <w:rPr>
                <w:rFonts w:hint="default" w:ascii="Times New Roman" w:hAnsi="Times New Roman" w:cs="Times New Roman"/>
                <w:b w:val="0"/>
                <w:bCs w:val="0"/>
                <w:snapToGrid w:val="0"/>
                <w:color w:val="auto"/>
                <w:kern w:val="21"/>
                <w:sz w:val="21"/>
                <w:szCs w:val="21"/>
                <w:lang w:val="en-US" w:eastAsia="zh-CN"/>
              </w:rPr>
            </w:pPr>
            <w:r>
              <w:rPr>
                <w:rFonts w:hint="default" w:ascii="Times New Roman" w:hAnsi="Times New Roman" w:cs="Times New Roman"/>
                <w:b w:val="0"/>
                <w:bCs w:val="0"/>
                <w:snapToGrid w:val="0"/>
                <w:color w:val="auto"/>
                <w:kern w:val="21"/>
                <w:sz w:val="21"/>
                <w:szCs w:val="21"/>
                <w:lang w:val="en-US" w:eastAsia="zh-CN"/>
              </w:rPr>
              <w:t>/</w:t>
            </w:r>
          </w:p>
        </w:tc>
        <w:tc>
          <w:tcPr>
            <w:tcW w:w="1478" w:type="dxa"/>
            <w:noWrap w:val="0"/>
            <w:vAlign w:val="center"/>
          </w:tcPr>
          <w:p w14:paraId="50CE49E1">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2037" w:type="dxa"/>
            <w:noWrap w:val="0"/>
            <w:vAlign w:val="center"/>
          </w:tcPr>
          <w:p w14:paraId="1E4AC4DB">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c>
          <w:tcPr>
            <w:tcW w:w="1655" w:type="dxa"/>
            <w:noWrap w:val="0"/>
            <w:vAlign w:val="center"/>
          </w:tcPr>
          <w:p w14:paraId="4376EC0B">
            <w:pPr>
              <w:keepNext w:val="0"/>
              <w:keepLines w:val="0"/>
              <w:widowControl/>
              <w:suppressLineNumbers w:val="0"/>
              <w:jc w:val="center"/>
              <w:textAlignment w:val="center"/>
              <w:rPr>
                <w:rFonts w:hint="default" w:ascii="Times New Roman" w:hAnsi="Times New Roman" w:cs="Times New Roman"/>
                <w:b w:val="0"/>
                <w:bCs w:val="0"/>
                <w:snapToGrid w:val="0"/>
                <w:color w:val="auto"/>
                <w:kern w:val="21"/>
                <w:sz w:val="21"/>
                <w:szCs w:val="21"/>
                <w:lang w:val="en-US" w:eastAsia="zh-CN"/>
              </w:rPr>
            </w:pPr>
            <w:r>
              <w:rPr>
                <w:rFonts w:hint="default" w:ascii="Times New Roman" w:hAnsi="Times New Roman" w:eastAsia="宋体" w:cs="Times New Roman"/>
                <w:i w:val="0"/>
                <w:iCs w:val="0"/>
                <w:color w:val="auto"/>
                <w:kern w:val="0"/>
                <w:sz w:val="21"/>
                <w:szCs w:val="21"/>
                <w:u w:val="none"/>
                <w:lang w:val="en-US" w:eastAsia="zh-CN" w:bidi="ar"/>
              </w:rPr>
              <w:t>/</w:t>
            </w:r>
          </w:p>
        </w:tc>
      </w:tr>
    </w:tbl>
    <w:p w14:paraId="28893E73">
      <w:pPr>
        <w:pStyle w:val="57"/>
        <w:spacing w:beforeLines="0" w:afterLines="0" w:line="240" w:lineRule="auto"/>
        <w:ind w:firstLine="0"/>
        <w:jc w:val="left"/>
        <w:rPr>
          <w:rFonts w:hint="default" w:hAnsi="宋体"/>
          <w:snapToGrid w:val="0"/>
          <w:color w:val="auto"/>
          <w:spacing w:val="-16"/>
          <w:kern w:val="21"/>
          <w:sz w:val="21"/>
          <w:szCs w:val="21"/>
          <w:lang w:val="en-US" w:eastAsia="zh-CN"/>
        </w:rPr>
      </w:pPr>
      <w:r>
        <w:rPr>
          <w:rFonts w:hAnsi="宋体"/>
          <w:snapToGrid w:val="0"/>
          <w:color w:val="auto"/>
          <w:kern w:val="21"/>
          <w:sz w:val="21"/>
          <w:szCs w:val="21"/>
        </w:rPr>
        <w:t>注：</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6 \* GB3 \* MERGEFORMAT </w:instrText>
      </w:r>
      <w:r>
        <w:rPr>
          <w:rFonts w:hAnsi="宋体"/>
          <w:snapToGrid w:val="0"/>
          <w:color w:val="auto"/>
          <w:spacing w:val="-16"/>
          <w:kern w:val="21"/>
          <w:sz w:val="21"/>
          <w:szCs w:val="21"/>
        </w:rPr>
        <w:fldChar w:fldCharType="separate"/>
      </w:r>
      <w:r>
        <w:rPr>
          <w:rFonts w:hint="eastAsia" w:hAnsi="宋体"/>
          <w:color w:val="auto"/>
          <w:sz w:val="21"/>
          <w:szCs w:val="21"/>
        </w:rPr>
        <w:t>⑥</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1 \* GB3 \* MERGEFORMAT </w:instrText>
      </w:r>
      <w:r>
        <w:rPr>
          <w:rFonts w:hAnsi="宋体"/>
          <w:snapToGrid w:val="0"/>
          <w:color w:val="auto"/>
          <w:spacing w:val="-6"/>
          <w:kern w:val="21"/>
          <w:sz w:val="21"/>
          <w:szCs w:val="21"/>
        </w:rPr>
        <w:fldChar w:fldCharType="separate"/>
      </w:r>
      <w:r>
        <w:rPr>
          <w:rFonts w:hint="eastAsia" w:hAnsi="宋体"/>
          <w:color w:val="auto"/>
          <w:sz w:val="21"/>
          <w:szCs w:val="21"/>
        </w:rPr>
        <w:t>①</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3 \* GB3 \* MERGEFORMAT </w:instrText>
      </w:r>
      <w:r>
        <w:rPr>
          <w:rFonts w:hAnsi="宋体"/>
          <w:snapToGrid w:val="0"/>
          <w:color w:val="auto"/>
          <w:spacing w:val="-6"/>
          <w:kern w:val="21"/>
          <w:sz w:val="21"/>
          <w:szCs w:val="21"/>
        </w:rPr>
        <w:fldChar w:fldCharType="separate"/>
      </w:r>
      <w:r>
        <w:rPr>
          <w:rFonts w:hint="eastAsia" w:hAnsi="宋体"/>
          <w:color w:val="auto"/>
          <w:sz w:val="21"/>
          <w:szCs w:val="21"/>
        </w:rPr>
        <w:t>③</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6"/>
          <w:kern w:val="21"/>
          <w:sz w:val="21"/>
          <w:szCs w:val="21"/>
        </w:rPr>
        <w:fldChar w:fldCharType="begin"/>
      </w:r>
      <w:r>
        <w:rPr>
          <w:rFonts w:hAnsi="宋体"/>
          <w:snapToGrid w:val="0"/>
          <w:color w:val="auto"/>
          <w:spacing w:val="-6"/>
          <w:kern w:val="21"/>
          <w:sz w:val="21"/>
          <w:szCs w:val="21"/>
        </w:rPr>
        <w:instrText xml:space="preserve"> = 4 \* GB3 \* MERGEFORMAT </w:instrText>
      </w:r>
      <w:r>
        <w:rPr>
          <w:rFonts w:hAnsi="宋体"/>
          <w:snapToGrid w:val="0"/>
          <w:color w:val="auto"/>
          <w:spacing w:val="-6"/>
          <w:kern w:val="21"/>
          <w:sz w:val="21"/>
          <w:szCs w:val="21"/>
        </w:rPr>
        <w:fldChar w:fldCharType="separate"/>
      </w:r>
      <w:r>
        <w:rPr>
          <w:rFonts w:hint="eastAsia" w:hAnsi="宋体"/>
          <w:color w:val="auto"/>
          <w:sz w:val="21"/>
          <w:szCs w:val="21"/>
        </w:rPr>
        <w:t>④</w:t>
      </w:r>
      <w:r>
        <w:rPr>
          <w:rFonts w:hAnsi="宋体"/>
          <w:snapToGrid w:val="0"/>
          <w:color w:val="auto"/>
          <w:spacing w:val="-6"/>
          <w:kern w:val="21"/>
          <w:sz w:val="21"/>
          <w:szCs w:val="21"/>
        </w:rPr>
        <w:fldChar w:fldCharType="end"/>
      </w:r>
      <w:r>
        <w:rPr>
          <w:rFonts w:hAnsi="宋体"/>
          <w:snapToGrid w:val="0"/>
          <w:color w:val="auto"/>
          <w:spacing w:val="-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5 \* GB3 \* MERGEFORMAT </w:instrText>
      </w:r>
      <w:r>
        <w:rPr>
          <w:rFonts w:hAnsi="宋体"/>
          <w:snapToGrid w:val="0"/>
          <w:color w:val="auto"/>
          <w:spacing w:val="-16"/>
          <w:kern w:val="21"/>
          <w:sz w:val="21"/>
          <w:szCs w:val="21"/>
        </w:rPr>
        <w:fldChar w:fldCharType="separate"/>
      </w:r>
      <w:r>
        <w:rPr>
          <w:rFonts w:hint="eastAsia" w:hAnsi="宋体"/>
          <w:color w:val="auto"/>
          <w:sz w:val="21"/>
          <w:szCs w:val="21"/>
        </w:rPr>
        <w:t>⑤</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7 \* GB3 \* MERGEFORMAT </w:instrText>
      </w:r>
      <w:r>
        <w:rPr>
          <w:rFonts w:hAnsi="宋体"/>
          <w:snapToGrid w:val="0"/>
          <w:color w:val="auto"/>
          <w:spacing w:val="-16"/>
          <w:kern w:val="21"/>
          <w:sz w:val="21"/>
          <w:szCs w:val="21"/>
        </w:rPr>
        <w:fldChar w:fldCharType="separate"/>
      </w:r>
      <w:r>
        <w:rPr>
          <w:rFonts w:hint="eastAsia" w:hAnsi="宋体"/>
          <w:snapToGrid w:val="0"/>
          <w:color w:val="auto"/>
          <w:spacing w:val="-16"/>
          <w:kern w:val="21"/>
          <w:sz w:val="21"/>
          <w:szCs w:val="21"/>
        </w:rPr>
        <w:t>⑦</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6 \* GB3 \* MERGEFORMAT </w:instrText>
      </w:r>
      <w:r>
        <w:rPr>
          <w:rFonts w:hAnsi="宋体"/>
          <w:snapToGrid w:val="0"/>
          <w:color w:val="auto"/>
          <w:spacing w:val="-16"/>
          <w:kern w:val="21"/>
          <w:sz w:val="21"/>
          <w:szCs w:val="21"/>
        </w:rPr>
        <w:fldChar w:fldCharType="separate"/>
      </w:r>
      <w:r>
        <w:rPr>
          <w:rFonts w:hint="eastAsia" w:hAnsi="宋体"/>
          <w:snapToGrid w:val="0"/>
          <w:color w:val="auto"/>
          <w:spacing w:val="-16"/>
          <w:kern w:val="21"/>
          <w:sz w:val="21"/>
          <w:szCs w:val="21"/>
        </w:rPr>
        <w:t>⑥</w:t>
      </w:r>
      <w:r>
        <w:rPr>
          <w:rFonts w:hAnsi="宋体"/>
          <w:snapToGrid w:val="0"/>
          <w:color w:val="auto"/>
          <w:spacing w:val="-16"/>
          <w:kern w:val="21"/>
          <w:sz w:val="21"/>
          <w:szCs w:val="21"/>
        </w:rPr>
        <w:fldChar w:fldCharType="end"/>
      </w:r>
      <w:r>
        <w:rPr>
          <w:rFonts w:hAnsi="宋体"/>
          <w:snapToGrid w:val="0"/>
          <w:color w:val="auto"/>
          <w:spacing w:val="-16"/>
          <w:kern w:val="21"/>
          <w:sz w:val="21"/>
          <w:szCs w:val="21"/>
        </w:rPr>
        <w:t>-</w:t>
      </w:r>
      <w:r>
        <w:rPr>
          <w:rFonts w:hAnsi="宋体"/>
          <w:snapToGrid w:val="0"/>
          <w:color w:val="auto"/>
          <w:spacing w:val="-16"/>
          <w:kern w:val="21"/>
          <w:sz w:val="21"/>
          <w:szCs w:val="21"/>
        </w:rPr>
        <w:fldChar w:fldCharType="begin"/>
      </w:r>
      <w:r>
        <w:rPr>
          <w:rFonts w:hAnsi="宋体"/>
          <w:snapToGrid w:val="0"/>
          <w:color w:val="auto"/>
          <w:spacing w:val="-16"/>
          <w:kern w:val="21"/>
          <w:sz w:val="21"/>
          <w:szCs w:val="21"/>
        </w:rPr>
        <w:instrText xml:space="preserve"> = 1 \* GB3 \* MERGEFORMAT </w:instrText>
      </w:r>
      <w:r>
        <w:rPr>
          <w:rFonts w:hAnsi="宋体"/>
          <w:snapToGrid w:val="0"/>
          <w:color w:val="auto"/>
          <w:spacing w:val="-16"/>
          <w:kern w:val="21"/>
          <w:sz w:val="21"/>
          <w:szCs w:val="21"/>
        </w:rPr>
        <w:fldChar w:fldCharType="separate"/>
      </w:r>
      <w:r>
        <w:rPr>
          <w:rFonts w:hint="eastAsia" w:hAnsi="宋体"/>
          <w:snapToGrid w:val="0"/>
          <w:color w:val="auto"/>
          <w:spacing w:val="-16"/>
          <w:kern w:val="21"/>
          <w:sz w:val="21"/>
          <w:szCs w:val="21"/>
        </w:rPr>
        <w:t>①</w:t>
      </w:r>
      <w:r>
        <w:rPr>
          <w:rFonts w:hAnsi="宋体"/>
          <w:snapToGrid w:val="0"/>
          <w:color w:val="auto"/>
          <w:spacing w:val="-16"/>
          <w:kern w:val="21"/>
          <w:sz w:val="21"/>
          <w:szCs w:val="21"/>
        </w:rPr>
        <w:fldChar w:fldCharType="end"/>
      </w:r>
    </w:p>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panose1 w:val="02010609030101010101"/>
    <w:charset w:val="86"/>
    <w:family w:val="auto"/>
    <w:pitch w:val="default"/>
    <w:sig w:usb0="00000001" w:usb1="080E0000" w:usb2="00000000" w:usb3="00000000" w:csb0="00040000" w:csb1="00000000"/>
  </w:font>
  <w:font w:name="楷体_GB2312">
    <w:panose1 w:val="02010609030101010101"/>
    <w:charset w:val="86"/>
    <w:family w:val="auto"/>
    <w:pitch w:val="default"/>
    <w:sig w:usb0="00000001" w:usb1="080E0000" w:usb2="00000000" w:usb3="00000000" w:csb0="00040000" w:csb1="00000000"/>
  </w:font>
  <w:font w:name="方正小标宋简体">
    <w:panose1 w:val="02000000000000000000"/>
    <w:charset w:val="86"/>
    <w:family w:val="auto"/>
    <w:pitch w:val="default"/>
    <w:sig w:usb0="A00002BF" w:usb1="184F6CFA" w:usb2="00000012" w:usb3="00000000" w:csb0="00040001" w:csb1="00000000"/>
  </w:font>
  <w:font w:name="Cambria">
    <w:panose1 w:val="02040503050406030204"/>
    <w:charset w:val="00"/>
    <w:family w:val="roman"/>
    <w:pitch w:val="default"/>
    <w:sig w:usb0="E00002FF" w:usb1="400004FF" w:usb2="00000000" w:usb3="00000000" w:csb0="2000019F" w:csb1="00000000"/>
  </w:font>
  <w:font w:name="TimesNewRomanPSMT">
    <w:altName w:val="Times New Roman"/>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 w:name="Times New Roman Regular">
    <w:altName w:val="Times New Roman"/>
    <w:panose1 w:val="02020603050405020304"/>
    <w:charset w:val="00"/>
    <w:family w:val="auto"/>
    <w:pitch w:val="default"/>
    <w:sig w:usb0="00000000" w:usb1="00000000" w:usb2="00000009" w:usb3="00000000" w:csb0="400001FF" w:csb1="FFFF0000"/>
  </w:font>
  <w:font w:name="方正小标宋_GBK">
    <w:panose1 w:val="02000000000000000000"/>
    <w:charset w:val="86"/>
    <w:family w:val="script"/>
    <w:pitch w:val="default"/>
    <w:sig w:usb0="00000001" w:usb1="08000000" w:usb2="00000000" w:usb3="00000000" w:csb0="00040000" w:csb1="00000000"/>
  </w:font>
  <w:font w:name="文泉驿正黑">
    <w:panose1 w:val="02000603000000000000"/>
    <w:charset w:val="86"/>
    <w:family w:val="auto"/>
    <w:pitch w:val="default"/>
    <w:sig w:usb0="900002BF" w:usb1="2BDF7DFB" w:usb2="00000036" w:usb3="00000000" w:csb0="603E000D" w:csb1="D2D70000"/>
  </w:font>
  <w:font w:name="方正仿宋_GBK">
    <w:panose1 w:val="02000000000000000000"/>
    <w:charset w:val="86"/>
    <w:family w:val="auto"/>
    <w:pitch w:val="default"/>
    <w:sig w:usb0="00000001" w:usb1="08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20A630">
    <w:pPr>
      <w:pStyle w:val="20"/>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298BA57">
    <w:pPr>
      <w:pStyle w:val="20"/>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0385DF">
    <w:pPr>
      <w:pStyle w:val="20"/>
      <w:ind w:right="360" w:firstLine="360"/>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EB8E74">
                          <w:pPr>
                            <w:pStyle w:val="2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14:paraId="6CEB8E74">
                    <w:pPr>
                      <w:pStyle w:val="20"/>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2A5740">
    <w:pPr>
      <w:pStyle w:val="20"/>
      <w:ind w:right="360" w:firstLine="36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66" name="文本框 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86ED764">
                          <w:pPr>
                            <w:pStyle w:val="20"/>
                          </w:pPr>
                          <w:r>
                            <w:fldChar w:fldCharType="begin"/>
                          </w:r>
                          <w:r>
                            <w:instrText xml:space="preserve"> PAGE  \* MERGEFORMAT </w:instrText>
                          </w:r>
                          <w:r>
                            <w:fldChar w:fldCharType="separate"/>
                          </w:r>
                          <w:r>
                            <w:t>40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haH+cyAgAAYwQAAA4AAABkcnMvZTJvRG9jLnhtbK1US44TMRDdI3EH&#10;y3vSSRBRFKUzChMFIUXMSANi7bjdaUv+yXbSHQ4AN2DFhj3nyjl47k8GDSxmwcZddpVf+b2q6uVN&#10;oxU5CR+kNTmdjMaUCMNtIc0hp58+bl/NKQmRmYIpa0ROzyLQm9XLF8vaLcTUVlYVwhOAmLCoXU6r&#10;GN0iywKvhGZhZJ0wcJbWaxax9Yes8KwGulbZdDyeZbX1hfOWixBwuumctEf0zwG0ZSm52Fh+1MLE&#10;DtULxSIohUq6QFfta8tS8HhXlkFEonIKprFdkQT2Pq3ZaskWB89cJXn/BPacJzzhpJk0SHqF2rDI&#10;yNHLv6C05N4GW8YRtzrriLSKgMVk/ESbh4o50XKB1MFdRQ//D5Z/ON17IouczmaUGKZR8cv3b5cf&#10;vy4/vxKcQaDahQXiHhwiY/PWNmib4TzgMPFuSq/TF4wI/JD3fJVXNJHwdGk+nc/HcHH4hg3ws8fr&#10;zof4TlhNkpFTj/q1srLTLsQudAhJ2YzdSqXaGipDapB4/WbcXrh6AK4MciQS3WOTFZt90zPb2+IM&#10;Yt52vREc30ok37EQ75lHM+DBGJd4h6VUFklsb1FSWf/lX+cpHjWCl5IazZVTg1miRL03qB0A42D4&#10;wdgPhjnqW4tunWAMHW9NXPBRDWbprf6MGVqnHHAxw5Epp3Ewb2PX4JhBLtbrNujovDxU3QV0nmNx&#10;Zx4cT2mSkMGtjxFithongTpVet3Qe22V+jlJzf3nvo16/DesfgN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CFof5zICAABjBAAADgAAAAAAAAABACAAAAAfAQAAZHJzL2Uyb0RvYy54bWxQSwUG&#10;AAAAAAYABgBZAQAAwwUAAAAA&#10;">
              <v:fill on="f" focussize="0,0"/>
              <v:stroke on="f" weight="0.5pt"/>
              <v:imagedata o:title=""/>
              <o:lock v:ext="edit" aspectratio="f"/>
              <v:textbox inset="0mm,0mm,0mm,0mm" style="mso-fit-shape-to-text:t;">
                <w:txbxContent>
                  <w:p w14:paraId="486ED764">
                    <w:pPr>
                      <w:pStyle w:val="20"/>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65FF59">
    <w:pPr>
      <w:pStyle w:val="20"/>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67" name="文本框 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A4C11D">
                          <w:pPr>
                            <w:pStyle w:val="20"/>
                          </w:pPr>
                          <w:r>
                            <w:fldChar w:fldCharType="begin"/>
                          </w:r>
                          <w:r>
                            <w:instrText xml:space="preserve"> PAGE  \* MERGEFORMAT </w:instrText>
                          </w:r>
                          <w:r>
                            <w:fldChar w:fldCharType="separate"/>
                          </w:r>
                          <w:r>
                            <w:t>59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EryiAg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otJYZpVPz04/vp&#10;58Pp1zeCMwjUuDBD3L1DZGzf2RZtM5wHHCbebeV1+oIRgR/yHi/yijYSni5NJ9NpDheHb9gAP3u8&#10;7nyI74XVJBkF9ahfJys7bELsQ4eQlM3YtVSqq6EypAGJ12/y7sLFA3BlkCOR6B+brNhu2zOzrS2P&#10;IOZt3xvB8bVE8g0L8Y55NAMejHGJt1gqZZHEni1Kauu//us8xaNG8FLSoLkKajBLlKgPBrUDYBwM&#10;PxjbwTB7fWPRrWOMoeOdiQs+qsGsvNVfMEPLlAMuZjgyFTQO5k3sGxwzyMVy2QXtnZe7ur+AznMs&#10;bsy94ylNEjK45T5CzE7jJFCvylk39F5XpfOcpOb+c99FPf4bF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EryiAgzAgAAYwQAAA4AAAAAAAAAAQAgAAAAHwEAAGRycy9lMm9Eb2MueG1sUEsF&#10;BgAAAAAGAAYAWQEAAMQFAAAAAA==&#10;">
              <v:fill on="f" focussize="0,0"/>
              <v:stroke on="f" weight="0.5pt"/>
              <v:imagedata o:title=""/>
              <o:lock v:ext="edit" aspectratio="f"/>
              <v:textbox inset="0mm,0mm,0mm,0mm" style="mso-fit-shape-to-text:t;">
                <w:txbxContent>
                  <w:p w14:paraId="7DA4C11D">
                    <w:pPr>
                      <w:pStyle w:val="20"/>
                    </w:pPr>
                    <w:r>
                      <w:fldChar w:fldCharType="begin"/>
                    </w:r>
                    <w:r>
                      <w:instrText xml:space="preserve"> PAGE  \* MERGEFORMAT </w:instrText>
                    </w:r>
                    <w:r>
                      <w:fldChar w:fldCharType="separate"/>
                    </w:r>
                    <w:r>
                      <w:t>59</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EDF5F73"/>
    <w:multiLevelType w:val="singleLevel"/>
    <w:tmpl w:val="BEDF5F73"/>
    <w:lvl w:ilvl="0" w:tentative="0">
      <w:start w:val="1"/>
      <w:numFmt w:val="decimal"/>
      <w:suff w:val="nothing"/>
      <w:lvlText w:val="%1、"/>
      <w:lvlJc w:val="left"/>
      <w:pPr>
        <w:ind w:left="-60"/>
      </w:pPr>
    </w:lvl>
  </w:abstractNum>
  <w:abstractNum w:abstractNumId="1">
    <w:nsid w:val="D7E9CC39"/>
    <w:multiLevelType w:val="singleLevel"/>
    <w:tmpl w:val="D7E9CC39"/>
    <w:lvl w:ilvl="0" w:tentative="0">
      <w:start w:val="1"/>
      <w:numFmt w:val="bullet"/>
      <w:pStyle w:val="16"/>
      <w:lvlText w:val=""/>
      <w:lvlJc w:val="left"/>
      <w:pPr>
        <w:tabs>
          <w:tab w:val="left" w:pos="2040"/>
        </w:tabs>
        <w:ind w:left="2040" w:hanging="360"/>
      </w:pPr>
      <w:rPr>
        <w:rFonts w:hint="default" w:ascii="Wingdings" w:hAnsi="Wingdings"/>
      </w:rPr>
    </w:lvl>
  </w:abstractNum>
  <w:abstractNum w:abstractNumId="2">
    <w:nsid w:val="F5128979"/>
    <w:multiLevelType w:val="singleLevel"/>
    <w:tmpl w:val="F5128979"/>
    <w:lvl w:ilvl="0" w:tentative="0">
      <w:start w:val="6"/>
      <w:numFmt w:val="decimal"/>
      <w:suff w:val="nothing"/>
      <w:lvlText w:val="%1、"/>
      <w:lvlJc w:val="left"/>
    </w:lvl>
  </w:abstractNum>
  <w:abstractNum w:abstractNumId="3">
    <w:nsid w:val="1B320D83"/>
    <w:multiLevelType w:val="singleLevel"/>
    <w:tmpl w:val="1B320D83"/>
    <w:lvl w:ilvl="0" w:tentative="0">
      <w:start w:val="2"/>
      <w:numFmt w:val="decimal"/>
      <w:suff w:val="nothing"/>
      <w:lvlText w:val="%1、"/>
      <w:lvlJc w:val="left"/>
    </w:lvl>
  </w:abstractNum>
  <w:abstractNum w:abstractNumId="4">
    <w:nsid w:val="23E8FBF6"/>
    <w:multiLevelType w:val="singleLevel"/>
    <w:tmpl w:val="23E8FBF6"/>
    <w:lvl w:ilvl="0" w:tentative="0">
      <w:start w:val="1"/>
      <w:numFmt w:val="decimal"/>
      <w:suff w:val="nothing"/>
      <w:lvlText w:val="%1、"/>
      <w:lvlJc w:val="left"/>
    </w:lvl>
  </w:abstractNum>
  <w:abstractNum w:abstractNumId="5">
    <w:nsid w:val="2C70F01B"/>
    <w:multiLevelType w:val="singleLevel"/>
    <w:tmpl w:val="2C70F01B"/>
    <w:lvl w:ilvl="0" w:tentative="0">
      <w:start w:val="1"/>
      <w:numFmt w:val="decimal"/>
      <w:suff w:val="nothing"/>
      <w:lvlText w:val="（%1）"/>
      <w:lvlJc w:val="left"/>
    </w:lvl>
  </w:abstractNum>
  <w:abstractNum w:abstractNumId="6">
    <w:nsid w:val="3533E95D"/>
    <w:multiLevelType w:val="singleLevel"/>
    <w:tmpl w:val="3533E95D"/>
    <w:lvl w:ilvl="0" w:tentative="0">
      <w:start w:val="1"/>
      <w:numFmt w:val="decimal"/>
      <w:lvlText w:val="%1."/>
      <w:lvlJc w:val="left"/>
      <w:pPr>
        <w:tabs>
          <w:tab w:val="left" w:pos="312"/>
        </w:tabs>
      </w:pPr>
    </w:lvl>
  </w:abstractNum>
  <w:abstractNum w:abstractNumId="7">
    <w:nsid w:val="57269752"/>
    <w:multiLevelType w:val="singleLevel"/>
    <w:tmpl w:val="57269752"/>
    <w:lvl w:ilvl="0" w:tentative="0">
      <w:start w:val="1"/>
      <w:numFmt w:val="decimal"/>
      <w:suff w:val="nothing"/>
      <w:lvlText w:val="%1、"/>
      <w:lvlJc w:val="left"/>
    </w:lvl>
  </w:abstractNum>
  <w:abstractNum w:abstractNumId="8">
    <w:nsid w:val="57BFEFF8"/>
    <w:multiLevelType w:val="multilevel"/>
    <w:tmpl w:val="57BFEFF8"/>
    <w:lvl w:ilvl="0" w:tentative="0">
      <w:start w:val="1"/>
      <w:numFmt w:val="decimal"/>
      <w:lvlText w:val="%1"/>
      <w:lvlJc w:val="left"/>
      <w:pPr>
        <w:ind w:left="0" w:firstLine="0"/>
      </w:pPr>
      <w:rPr>
        <w:rFonts w:hint="eastAsia"/>
      </w:rPr>
    </w:lvl>
    <w:lvl w:ilvl="1" w:tentative="0">
      <w:start w:val="1"/>
      <w:numFmt w:val="decimal"/>
      <w:lvlText w:val="%1.%2"/>
      <w:lvlJc w:val="left"/>
      <w:pPr>
        <w:ind w:left="992" w:hanging="567"/>
      </w:pPr>
      <w:rPr>
        <w:rFonts w:hint="eastAsia"/>
      </w:rPr>
    </w:lvl>
    <w:lvl w:ilvl="2" w:tentative="0">
      <w:start w:val="1"/>
      <w:numFmt w:val="decimal"/>
      <w:lvlText w:val="%1.%2.%3"/>
      <w:lvlJc w:val="left"/>
      <w:pPr>
        <w:ind w:left="1418" w:hanging="567"/>
      </w:pPr>
      <w:rPr>
        <w:rFonts w:hint="eastAsia"/>
      </w:rPr>
    </w:lvl>
    <w:lvl w:ilvl="3" w:tentative="0">
      <w:start w:val="1"/>
      <w:numFmt w:val="decimal"/>
      <w:lvlText w:val="%1.%2.%3.%4"/>
      <w:lvlJc w:val="left"/>
      <w:pPr>
        <w:ind w:left="1984" w:hanging="708"/>
      </w:pPr>
      <w:rPr>
        <w:rFonts w:hint="eastAsia"/>
      </w:rPr>
    </w:lvl>
    <w:lvl w:ilvl="4" w:tentative="0">
      <w:start w:val="1"/>
      <w:numFmt w:val="decimal"/>
      <w:lvlText w:val="%1.%2.%3.%4.%5"/>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1"/>
  </w:num>
  <w:num w:numId="2">
    <w:abstractNumId w:val="6"/>
  </w:num>
  <w:num w:numId="3">
    <w:abstractNumId w:val="3"/>
  </w:num>
  <w:num w:numId="4">
    <w:abstractNumId w:val="7"/>
  </w:num>
  <w:num w:numId="5">
    <w:abstractNumId w:val="8"/>
  </w:num>
  <w:num w:numId="6">
    <w:abstractNumId w:val="2"/>
  </w:num>
  <w:num w:numId="7">
    <w:abstractNumId w:val="4"/>
  </w:num>
  <w:num w:numId="8">
    <w:abstractNumId w:val="0"/>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doNotDisplayPageBoundaries w:val="1"/>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hyphenationZone w:val="36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M1MjdkMDY2MDBhZjIxMzA2MzU5ZTkwNGQwNmUyOWUifQ=="/>
    <w:docVar w:name="KSO_WPS_MARK_KEY" w:val="11064d0b-bb9c-4dfb-9081-354cb0cdb849"/>
  </w:docVars>
  <w:rsids>
    <w:rsidRoot w:val="00A14947"/>
    <w:rsid w:val="000060B3"/>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0B51"/>
    <w:rsid w:val="002D3DD0"/>
    <w:rsid w:val="002E1F3A"/>
    <w:rsid w:val="002E298A"/>
    <w:rsid w:val="00301978"/>
    <w:rsid w:val="0030332C"/>
    <w:rsid w:val="003051C2"/>
    <w:rsid w:val="00312296"/>
    <w:rsid w:val="00314F0E"/>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82CB2"/>
    <w:rsid w:val="00594D77"/>
    <w:rsid w:val="005969E4"/>
    <w:rsid w:val="005A06B7"/>
    <w:rsid w:val="005A1759"/>
    <w:rsid w:val="005A68A7"/>
    <w:rsid w:val="005D36AB"/>
    <w:rsid w:val="00617CC3"/>
    <w:rsid w:val="006377A6"/>
    <w:rsid w:val="00637A3D"/>
    <w:rsid w:val="006411EF"/>
    <w:rsid w:val="006748B8"/>
    <w:rsid w:val="006775C3"/>
    <w:rsid w:val="00681DA6"/>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2E10"/>
    <w:rsid w:val="00833743"/>
    <w:rsid w:val="008340A4"/>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2C2A"/>
    <w:rsid w:val="0090312B"/>
    <w:rsid w:val="0091736D"/>
    <w:rsid w:val="0093037A"/>
    <w:rsid w:val="0094154D"/>
    <w:rsid w:val="0095155F"/>
    <w:rsid w:val="00954429"/>
    <w:rsid w:val="009563CE"/>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409D"/>
    <w:rsid w:val="00C44E72"/>
    <w:rsid w:val="00C45A06"/>
    <w:rsid w:val="00C47E5B"/>
    <w:rsid w:val="00C51CBB"/>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D1315"/>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1A0E70"/>
    <w:rsid w:val="01290F7E"/>
    <w:rsid w:val="012E272A"/>
    <w:rsid w:val="01461A7A"/>
    <w:rsid w:val="015D1E09"/>
    <w:rsid w:val="01697B05"/>
    <w:rsid w:val="01970F11"/>
    <w:rsid w:val="019F501E"/>
    <w:rsid w:val="01B432A8"/>
    <w:rsid w:val="01F55A05"/>
    <w:rsid w:val="02243123"/>
    <w:rsid w:val="02605EF1"/>
    <w:rsid w:val="02614B19"/>
    <w:rsid w:val="02697903"/>
    <w:rsid w:val="027A149C"/>
    <w:rsid w:val="029676DC"/>
    <w:rsid w:val="02D40EFC"/>
    <w:rsid w:val="02F96569"/>
    <w:rsid w:val="02FA1637"/>
    <w:rsid w:val="03316053"/>
    <w:rsid w:val="03372C42"/>
    <w:rsid w:val="035A10AC"/>
    <w:rsid w:val="03805107"/>
    <w:rsid w:val="039D0F3B"/>
    <w:rsid w:val="03C30145"/>
    <w:rsid w:val="03EA7B21"/>
    <w:rsid w:val="041132E7"/>
    <w:rsid w:val="04312237"/>
    <w:rsid w:val="04455088"/>
    <w:rsid w:val="047F470E"/>
    <w:rsid w:val="04810859"/>
    <w:rsid w:val="049901AD"/>
    <w:rsid w:val="052120A3"/>
    <w:rsid w:val="0525471B"/>
    <w:rsid w:val="053742F3"/>
    <w:rsid w:val="0538278A"/>
    <w:rsid w:val="056521B3"/>
    <w:rsid w:val="057B5C57"/>
    <w:rsid w:val="0589457A"/>
    <w:rsid w:val="059665DB"/>
    <w:rsid w:val="05A14F91"/>
    <w:rsid w:val="05A41018"/>
    <w:rsid w:val="05C63FAB"/>
    <w:rsid w:val="05C9031D"/>
    <w:rsid w:val="05F33C29"/>
    <w:rsid w:val="05F83EAE"/>
    <w:rsid w:val="062C7600"/>
    <w:rsid w:val="062E752B"/>
    <w:rsid w:val="063E7D85"/>
    <w:rsid w:val="06420131"/>
    <w:rsid w:val="067F52D3"/>
    <w:rsid w:val="06907FEC"/>
    <w:rsid w:val="069B3258"/>
    <w:rsid w:val="06E31D05"/>
    <w:rsid w:val="06E7159D"/>
    <w:rsid w:val="071C6E5A"/>
    <w:rsid w:val="07261976"/>
    <w:rsid w:val="07293586"/>
    <w:rsid w:val="07295285"/>
    <w:rsid w:val="07636392"/>
    <w:rsid w:val="076E25E8"/>
    <w:rsid w:val="07770C56"/>
    <w:rsid w:val="077E0D20"/>
    <w:rsid w:val="07FC7B78"/>
    <w:rsid w:val="080C04E9"/>
    <w:rsid w:val="08227D2A"/>
    <w:rsid w:val="08245EDB"/>
    <w:rsid w:val="087B71B7"/>
    <w:rsid w:val="08887B07"/>
    <w:rsid w:val="088C5BF7"/>
    <w:rsid w:val="08CD335F"/>
    <w:rsid w:val="08F057DA"/>
    <w:rsid w:val="08F56018"/>
    <w:rsid w:val="092217DD"/>
    <w:rsid w:val="093A7294"/>
    <w:rsid w:val="09497BC1"/>
    <w:rsid w:val="097E3F67"/>
    <w:rsid w:val="098E3A7F"/>
    <w:rsid w:val="09B43C59"/>
    <w:rsid w:val="09E10052"/>
    <w:rsid w:val="0A0848EE"/>
    <w:rsid w:val="0A1E5BD8"/>
    <w:rsid w:val="0A263993"/>
    <w:rsid w:val="0A2D3AC2"/>
    <w:rsid w:val="0A3A76FE"/>
    <w:rsid w:val="0A3E54A5"/>
    <w:rsid w:val="0A6F38B0"/>
    <w:rsid w:val="0AA755DF"/>
    <w:rsid w:val="0ABF7106"/>
    <w:rsid w:val="0AD448D2"/>
    <w:rsid w:val="0ADF4592"/>
    <w:rsid w:val="0B120D44"/>
    <w:rsid w:val="0B2226D0"/>
    <w:rsid w:val="0B2C2CE3"/>
    <w:rsid w:val="0B495EAF"/>
    <w:rsid w:val="0B601B56"/>
    <w:rsid w:val="0B6D3914"/>
    <w:rsid w:val="0B7978E2"/>
    <w:rsid w:val="0B8415DD"/>
    <w:rsid w:val="0B865355"/>
    <w:rsid w:val="0B96739B"/>
    <w:rsid w:val="0B9D27A6"/>
    <w:rsid w:val="0BA51AC9"/>
    <w:rsid w:val="0BAC7E7D"/>
    <w:rsid w:val="0BD27BF6"/>
    <w:rsid w:val="0BD900DC"/>
    <w:rsid w:val="0C3B3C7D"/>
    <w:rsid w:val="0C75623D"/>
    <w:rsid w:val="0C833643"/>
    <w:rsid w:val="0C9951CA"/>
    <w:rsid w:val="0CAB2EAE"/>
    <w:rsid w:val="0CBA3508"/>
    <w:rsid w:val="0D054E9E"/>
    <w:rsid w:val="0D231487"/>
    <w:rsid w:val="0D252A0E"/>
    <w:rsid w:val="0D324972"/>
    <w:rsid w:val="0D4A471A"/>
    <w:rsid w:val="0D5C4694"/>
    <w:rsid w:val="0D5F19BA"/>
    <w:rsid w:val="0D621C7D"/>
    <w:rsid w:val="0D757126"/>
    <w:rsid w:val="0D944129"/>
    <w:rsid w:val="0DEE2201"/>
    <w:rsid w:val="0E1D6F82"/>
    <w:rsid w:val="0E265CE5"/>
    <w:rsid w:val="0E415563"/>
    <w:rsid w:val="0E603C3C"/>
    <w:rsid w:val="0E68021C"/>
    <w:rsid w:val="0E73034D"/>
    <w:rsid w:val="0E8D69FB"/>
    <w:rsid w:val="0E956E29"/>
    <w:rsid w:val="0EC421B8"/>
    <w:rsid w:val="0EDA4125"/>
    <w:rsid w:val="0EF00937"/>
    <w:rsid w:val="0F13775A"/>
    <w:rsid w:val="0F275EFB"/>
    <w:rsid w:val="0F2F153E"/>
    <w:rsid w:val="0F530C28"/>
    <w:rsid w:val="0F5415F3"/>
    <w:rsid w:val="0F5F45FE"/>
    <w:rsid w:val="0F784EFC"/>
    <w:rsid w:val="0F947BD4"/>
    <w:rsid w:val="0F984CB2"/>
    <w:rsid w:val="0F9910EE"/>
    <w:rsid w:val="0F9A112B"/>
    <w:rsid w:val="0FB65818"/>
    <w:rsid w:val="0FCE4405"/>
    <w:rsid w:val="0FD57500"/>
    <w:rsid w:val="10090303"/>
    <w:rsid w:val="10136083"/>
    <w:rsid w:val="101A6601"/>
    <w:rsid w:val="102D6748"/>
    <w:rsid w:val="10437371"/>
    <w:rsid w:val="1058059E"/>
    <w:rsid w:val="105B0B5E"/>
    <w:rsid w:val="106D2F64"/>
    <w:rsid w:val="1081684D"/>
    <w:rsid w:val="109E1AE1"/>
    <w:rsid w:val="10A51E86"/>
    <w:rsid w:val="10A76CBD"/>
    <w:rsid w:val="10B63710"/>
    <w:rsid w:val="10DB0743"/>
    <w:rsid w:val="10DE2DC9"/>
    <w:rsid w:val="10F10820"/>
    <w:rsid w:val="10F13271"/>
    <w:rsid w:val="11071980"/>
    <w:rsid w:val="111C2F7A"/>
    <w:rsid w:val="113E7170"/>
    <w:rsid w:val="114333A1"/>
    <w:rsid w:val="11490A2B"/>
    <w:rsid w:val="11561326"/>
    <w:rsid w:val="11665CA1"/>
    <w:rsid w:val="117556CB"/>
    <w:rsid w:val="118F7C26"/>
    <w:rsid w:val="11A253E2"/>
    <w:rsid w:val="11BB0CCA"/>
    <w:rsid w:val="11CB1D14"/>
    <w:rsid w:val="11D010D8"/>
    <w:rsid w:val="11D309D2"/>
    <w:rsid w:val="125F78AF"/>
    <w:rsid w:val="12615F79"/>
    <w:rsid w:val="12655CD5"/>
    <w:rsid w:val="126918F3"/>
    <w:rsid w:val="1272151C"/>
    <w:rsid w:val="128051A5"/>
    <w:rsid w:val="128D521B"/>
    <w:rsid w:val="12B10F0A"/>
    <w:rsid w:val="12B6171F"/>
    <w:rsid w:val="12D644B4"/>
    <w:rsid w:val="12F13FA9"/>
    <w:rsid w:val="130A23C8"/>
    <w:rsid w:val="131150AE"/>
    <w:rsid w:val="1327476B"/>
    <w:rsid w:val="13635B3D"/>
    <w:rsid w:val="13895B34"/>
    <w:rsid w:val="13951726"/>
    <w:rsid w:val="13B04367"/>
    <w:rsid w:val="13E156B5"/>
    <w:rsid w:val="140046B9"/>
    <w:rsid w:val="14226CF3"/>
    <w:rsid w:val="14396509"/>
    <w:rsid w:val="143D248B"/>
    <w:rsid w:val="145D47D7"/>
    <w:rsid w:val="146B158C"/>
    <w:rsid w:val="149F1723"/>
    <w:rsid w:val="14AC7076"/>
    <w:rsid w:val="14BC1139"/>
    <w:rsid w:val="14BE7A99"/>
    <w:rsid w:val="14C77826"/>
    <w:rsid w:val="14DD2C3C"/>
    <w:rsid w:val="14EA78A7"/>
    <w:rsid w:val="15304A54"/>
    <w:rsid w:val="15453844"/>
    <w:rsid w:val="15554CAB"/>
    <w:rsid w:val="156C01B1"/>
    <w:rsid w:val="15C42D02"/>
    <w:rsid w:val="16072772"/>
    <w:rsid w:val="16087E1D"/>
    <w:rsid w:val="16144A8D"/>
    <w:rsid w:val="16337A87"/>
    <w:rsid w:val="16732854"/>
    <w:rsid w:val="167F48FB"/>
    <w:rsid w:val="169F7465"/>
    <w:rsid w:val="16C046B2"/>
    <w:rsid w:val="16C17636"/>
    <w:rsid w:val="16D163DC"/>
    <w:rsid w:val="16DC4F67"/>
    <w:rsid w:val="1707732C"/>
    <w:rsid w:val="175D5A1E"/>
    <w:rsid w:val="17701D14"/>
    <w:rsid w:val="17735226"/>
    <w:rsid w:val="17893B6A"/>
    <w:rsid w:val="17EE6055"/>
    <w:rsid w:val="18103797"/>
    <w:rsid w:val="181A144E"/>
    <w:rsid w:val="18261BD0"/>
    <w:rsid w:val="18357EE7"/>
    <w:rsid w:val="18583BD5"/>
    <w:rsid w:val="18763EF0"/>
    <w:rsid w:val="187F24CF"/>
    <w:rsid w:val="189F624C"/>
    <w:rsid w:val="18B75F76"/>
    <w:rsid w:val="18D3325C"/>
    <w:rsid w:val="18FA1E3B"/>
    <w:rsid w:val="191C025A"/>
    <w:rsid w:val="195D7CC9"/>
    <w:rsid w:val="196C6A7D"/>
    <w:rsid w:val="196D36B1"/>
    <w:rsid w:val="196F1A8B"/>
    <w:rsid w:val="19962611"/>
    <w:rsid w:val="199F4E4D"/>
    <w:rsid w:val="19AA220F"/>
    <w:rsid w:val="19AF1F1B"/>
    <w:rsid w:val="19C13E98"/>
    <w:rsid w:val="19D31C5D"/>
    <w:rsid w:val="1A092F59"/>
    <w:rsid w:val="1A1C66C0"/>
    <w:rsid w:val="1A2F0966"/>
    <w:rsid w:val="1A42393B"/>
    <w:rsid w:val="1A4C314F"/>
    <w:rsid w:val="1A705206"/>
    <w:rsid w:val="1A7418E9"/>
    <w:rsid w:val="1A9C3E84"/>
    <w:rsid w:val="1A9F7089"/>
    <w:rsid w:val="1AAD45DE"/>
    <w:rsid w:val="1ABC2D62"/>
    <w:rsid w:val="1B046F80"/>
    <w:rsid w:val="1B3267B5"/>
    <w:rsid w:val="1B40161D"/>
    <w:rsid w:val="1B441859"/>
    <w:rsid w:val="1B6606B1"/>
    <w:rsid w:val="1B6D7998"/>
    <w:rsid w:val="1B887D53"/>
    <w:rsid w:val="1B987165"/>
    <w:rsid w:val="1BD25A4D"/>
    <w:rsid w:val="1BD406A4"/>
    <w:rsid w:val="1BD8156F"/>
    <w:rsid w:val="1BE032A8"/>
    <w:rsid w:val="1C0121A1"/>
    <w:rsid w:val="1C0A5597"/>
    <w:rsid w:val="1C337BA6"/>
    <w:rsid w:val="1C4F05FC"/>
    <w:rsid w:val="1C53176C"/>
    <w:rsid w:val="1C5E7925"/>
    <w:rsid w:val="1CB6711D"/>
    <w:rsid w:val="1CF739BD"/>
    <w:rsid w:val="1CFD070F"/>
    <w:rsid w:val="1D034598"/>
    <w:rsid w:val="1D2C7A47"/>
    <w:rsid w:val="1D4D1050"/>
    <w:rsid w:val="1D4E4CB4"/>
    <w:rsid w:val="1D5F6196"/>
    <w:rsid w:val="1D6132A5"/>
    <w:rsid w:val="1D7B461A"/>
    <w:rsid w:val="1D850C79"/>
    <w:rsid w:val="1D85546D"/>
    <w:rsid w:val="1D8E56D5"/>
    <w:rsid w:val="1DA963EA"/>
    <w:rsid w:val="1DC37D43"/>
    <w:rsid w:val="1DCA4F1C"/>
    <w:rsid w:val="1DD85D04"/>
    <w:rsid w:val="1DE71BDB"/>
    <w:rsid w:val="1E217D0B"/>
    <w:rsid w:val="1E314496"/>
    <w:rsid w:val="1E7A43DA"/>
    <w:rsid w:val="1E91399D"/>
    <w:rsid w:val="1ED507CB"/>
    <w:rsid w:val="1EED5AEB"/>
    <w:rsid w:val="1EEF5BDB"/>
    <w:rsid w:val="1EFF058F"/>
    <w:rsid w:val="1F093E7B"/>
    <w:rsid w:val="1F1E4EF4"/>
    <w:rsid w:val="1F1F544D"/>
    <w:rsid w:val="1F3D7FEC"/>
    <w:rsid w:val="1F686DF4"/>
    <w:rsid w:val="1F881244"/>
    <w:rsid w:val="1FC234A0"/>
    <w:rsid w:val="1FC639F9"/>
    <w:rsid w:val="1FE7539E"/>
    <w:rsid w:val="20141B12"/>
    <w:rsid w:val="204C3A8E"/>
    <w:rsid w:val="20671BE0"/>
    <w:rsid w:val="20873E84"/>
    <w:rsid w:val="209146EB"/>
    <w:rsid w:val="20963CB8"/>
    <w:rsid w:val="20A765BF"/>
    <w:rsid w:val="20A81A1B"/>
    <w:rsid w:val="20A91994"/>
    <w:rsid w:val="20B07FB6"/>
    <w:rsid w:val="20B646FB"/>
    <w:rsid w:val="20CE64FB"/>
    <w:rsid w:val="211F34E2"/>
    <w:rsid w:val="213B74B1"/>
    <w:rsid w:val="21470E17"/>
    <w:rsid w:val="215A2310"/>
    <w:rsid w:val="21AE7EA6"/>
    <w:rsid w:val="21CE7086"/>
    <w:rsid w:val="21DE318A"/>
    <w:rsid w:val="21E2694E"/>
    <w:rsid w:val="21EF5B80"/>
    <w:rsid w:val="21F35F95"/>
    <w:rsid w:val="21F4659B"/>
    <w:rsid w:val="21FC7CC7"/>
    <w:rsid w:val="220060F0"/>
    <w:rsid w:val="22010E3A"/>
    <w:rsid w:val="22223F5A"/>
    <w:rsid w:val="222846A4"/>
    <w:rsid w:val="224F7DF7"/>
    <w:rsid w:val="2250723A"/>
    <w:rsid w:val="22576990"/>
    <w:rsid w:val="22787B97"/>
    <w:rsid w:val="22E81D71"/>
    <w:rsid w:val="22F4686C"/>
    <w:rsid w:val="22F47480"/>
    <w:rsid w:val="231443A8"/>
    <w:rsid w:val="23153A82"/>
    <w:rsid w:val="2342170A"/>
    <w:rsid w:val="23703E78"/>
    <w:rsid w:val="239A32F4"/>
    <w:rsid w:val="23AC3344"/>
    <w:rsid w:val="23D41EDB"/>
    <w:rsid w:val="23DE1C48"/>
    <w:rsid w:val="23FC12F9"/>
    <w:rsid w:val="240210CD"/>
    <w:rsid w:val="24316A9D"/>
    <w:rsid w:val="24651E29"/>
    <w:rsid w:val="247969E1"/>
    <w:rsid w:val="247C0775"/>
    <w:rsid w:val="2490309E"/>
    <w:rsid w:val="249B1A37"/>
    <w:rsid w:val="24A95C87"/>
    <w:rsid w:val="24BF09F7"/>
    <w:rsid w:val="24DC5FB0"/>
    <w:rsid w:val="24F11CD5"/>
    <w:rsid w:val="250A6914"/>
    <w:rsid w:val="251731D4"/>
    <w:rsid w:val="25210ED0"/>
    <w:rsid w:val="252D53FE"/>
    <w:rsid w:val="254F612B"/>
    <w:rsid w:val="2552256F"/>
    <w:rsid w:val="255E101F"/>
    <w:rsid w:val="256923F3"/>
    <w:rsid w:val="25826A39"/>
    <w:rsid w:val="25A8563D"/>
    <w:rsid w:val="25AF30A3"/>
    <w:rsid w:val="25C501D8"/>
    <w:rsid w:val="25DD03A3"/>
    <w:rsid w:val="25EC2D81"/>
    <w:rsid w:val="25ED641D"/>
    <w:rsid w:val="26122661"/>
    <w:rsid w:val="26B1544C"/>
    <w:rsid w:val="270F224B"/>
    <w:rsid w:val="277057A2"/>
    <w:rsid w:val="27710ADB"/>
    <w:rsid w:val="279B5E13"/>
    <w:rsid w:val="27B977B7"/>
    <w:rsid w:val="27C8469D"/>
    <w:rsid w:val="27D52B4D"/>
    <w:rsid w:val="27DD5EA5"/>
    <w:rsid w:val="27E425F4"/>
    <w:rsid w:val="27F154AD"/>
    <w:rsid w:val="27F2550E"/>
    <w:rsid w:val="28554B7F"/>
    <w:rsid w:val="285D07D7"/>
    <w:rsid w:val="28811531"/>
    <w:rsid w:val="28C066CF"/>
    <w:rsid w:val="28C8653B"/>
    <w:rsid w:val="28DC7F0B"/>
    <w:rsid w:val="28F028D0"/>
    <w:rsid w:val="28F06B5D"/>
    <w:rsid w:val="28F81923"/>
    <w:rsid w:val="290217CA"/>
    <w:rsid w:val="290A5C6F"/>
    <w:rsid w:val="29123CDD"/>
    <w:rsid w:val="291E3217"/>
    <w:rsid w:val="29206EB8"/>
    <w:rsid w:val="29595666"/>
    <w:rsid w:val="296465DA"/>
    <w:rsid w:val="296A5517"/>
    <w:rsid w:val="297D4BAB"/>
    <w:rsid w:val="29874881"/>
    <w:rsid w:val="29AE0397"/>
    <w:rsid w:val="29B51152"/>
    <w:rsid w:val="29E325E0"/>
    <w:rsid w:val="29ED6C5C"/>
    <w:rsid w:val="2A1D4C7F"/>
    <w:rsid w:val="2A452503"/>
    <w:rsid w:val="2A5C7555"/>
    <w:rsid w:val="2A6E01D1"/>
    <w:rsid w:val="2A840C26"/>
    <w:rsid w:val="2ABC3F94"/>
    <w:rsid w:val="2ABE364B"/>
    <w:rsid w:val="2ACD3FAF"/>
    <w:rsid w:val="2AE13F39"/>
    <w:rsid w:val="2AEE51DA"/>
    <w:rsid w:val="2B2124C9"/>
    <w:rsid w:val="2B730599"/>
    <w:rsid w:val="2BA03472"/>
    <w:rsid w:val="2BA936A8"/>
    <w:rsid w:val="2BC03B14"/>
    <w:rsid w:val="2BCE5F9D"/>
    <w:rsid w:val="2BEE242F"/>
    <w:rsid w:val="2C2C7301"/>
    <w:rsid w:val="2C315A5A"/>
    <w:rsid w:val="2C4B1C25"/>
    <w:rsid w:val="2C5B2F4F"/>
    <w:rsid w:val="2C6B6CDA"/>
    <w:rsid w:val="2CB16F30"/>
    <w:rsid w:val="2CB64F12"/>
    <w:rsid w:val="2CDC5992"/>
    <w:rsid w:val="2CF25F4F"/>
    <w:rsid w:val="2CFE6737"/>
    <w:rsid w:val="2D00232D"/>
    <w:rsid w:val="2D230ADF"/>
    <w:rsid w:val="2D4542D1"/>
    <w:rsid w:val="2D4A2E9E"/>
    <w:rsid w:val="2D7B4196"/>
    <w:rsid w:val="2D8105B3"/>
    <w:rsid w:val="2D90574A"/>
    <w:rsid w:val="2D994756"/>
    <w:rsid w:val="2D9E56F5"/>
    <w:rsid w:val="2DA37B6F"/>
    <w:rsid w:val="2DB71C8A"/>
    <w:rsid w:val="2DD07171"/>
    <w:rsid w:val="2DF13F20"/>
    <w:rsid w:val="2E041162"/>
    <w:rsid w:val="2E0E6DB8"/>
    <w:rsid w:val="2E1C5394"/>
    <w:rsid w:val="2E204D3E"/>
    <w:rsid w:val="2E205BA2"/>
    <w:rsid w:val="2E5B7980"/>
    <w:rsid w:val="2E643200"/>
    <w:rsid w:val="2E667F96"/>
    <w:rsid w:val="2E7F3812"/>
    <w:rsid w:val="2E8226AB"/>
    <w:rsid w:val="2EA11D6A"/>
    <w:rsid w:val="2EF97A69"/>
    <w:rsid w:val="2F28252A"/>
    <w:rsid w:val="2F386D2E"/>
    <w:rsid w:val="2F5170FC"/>
    <w:rsid w:val="2F7A3007"/>
    <w:rsid w:val="2F807842"/>
    <w:rsid w:val="2FA638D7"/>
    <w:rsid w:val="2FB76FDC"/>
    <w:rsid w:val="2FC040E2"/>
    <w:rsid w:val="2FD065E6"/>
    <w:rsid w:val="2FD96870"/>
    <w:rsid w:val="30130D8F"/>
    <w:rsid w:val="30147AD6"/>
    <w:rsid w:val="3048535B"/>
    <w:rsid w:val="30580BC9"/>
    <w:rsid w:val="305877C3"/>
    <w:rsid w:val="3071362F"/>
    <w:rsid w:val="30877B36"/>
    <w:rsid w:val="30B005FB"/>
    <w:rsid w:val="30D62322"/>
    <w:rsid w:val="30F92498"/>
    <w:rsid w:val="311B73A5"/>
    <w:rsid w:val="311E2ED7"/>
    <w:rsid w:val="3130023A"/>
    <w:rsid w:val="31554E03"/>
    <w:rsid w:val="315619EE"/>
    <w:rsid w:val="315C449C"/>
    <w:rsid w:val="31650D56"/>
    <w:rsid w:val="31962E87"/>
    <w:rsid w:val="31B82709"/>
    <w:rsid w:val="31D05482"/>
    <w:rsid w:val="31D13193"/>
    <w:rsid w:val="31D74337"/>
    <w:rsid w:val="31E6095B"/>
    <w:rsid w:val="31E81DAB"/>
    <w:rsid w:val="322D70EE"/>
    <w:rsid w:val="32400B34"/>
    <w:rsid w:val="32877139"/>
    <w:rsid w:val="3290455A"/>
    <w:rsid w:val="329E6876"/>
    <w:rsid w:val="32A83BE9"/>
    <w:rsid w:val="32C8399B"/>
    <w:rsid w:val="32DB179F"/>
    <w:rsid w:val="32EE71B8"/>
    <w:rsid w:val="32F337C8"/>
    <w:rsid w:val="331D184C"/>
    <w:rsid w:val="333015F2"/>
    <w:rsid w:val="33344A6C"/>
    <w:rsid w:val="334B6320"/>
    <w:rsid w:val="334D4969"/>
    <w:rsid w:val="335E60BF"/>
    <w:rsid w:val="336A36DB"/>
    <w:rsid w:val="33722150"/>
    <w:rsid w:val="33A1422B"/>
    <w:rsid w:val="33C2374A"/>
    <w:rsid w:val="33C56012"/>
    <w:rsid w:val="33D26ADA"/>
    <w:rsid w:val="33D934D4"/>
    <w:rsid w:val="33F44151"/>
    <w:rsid w:val="33F73917"/>
    <w:rsid w:val="33FE2F6A"/>
    <w:rsid w:val="340E07E5"/>
    <w:rsid w:val="34120880"/>
    <w:rsid w:val="34131C26"/>
    <w:rsid w:val="34235BF7"/>
    <w:rsid w:val="3424158E"/>
    <w:rsid w:val="3430064B"/>
    <w:rsid w:val="34592D57"/>
    <w:rsid w:val="346024BD"/>
    <w:rsid w:val="34924BE4"/>
    <w:rsid w:val="34B87469"/>
    <w:rsid w:val="35153A48"/>
    <w:rsid w:val="35831E3A"/>
    <w:rsid w:val="358C5FA8"/>
    <w:rsid w:val="358D15C4"/>
    <w:rsid w:val="35AB1391"/>
    <w:rsid w:val="35B246AB"/>
    <w:rsid w:val="35C15DF1"/>
    <w:rsid w:val="35C271DD"/>
    <w:rsid w:val="35E9748E"/>
    <w:rsid w:val="36074A7F"/>
    <w:rsid w:val="366D6646"/>
    <w:rsid w:val="36923549"/>
    <w:rsid w:val="36B75FBF"/>
    <w:rsid w:val="36BD0C45"/>
    <w:rsid w:val="36D3294D"/>
    <w:rsid w:val="371D40E4"/>
    <w:rsid w:val="37335AE2"/>
    <w:rsid w:val="373738C5"/>
    <w:rsid w:val="37425809"/>
    <w:rsid w:val="374E6232"/>
    <w:rsid w:val="37797999"/>
    <w:rsid w:val="37897FC0"/>
    <w:rsid w:val="378F49E7"/>
    <w:rsid w:val="37A6020D"/>
    <w:rsid w:val="37A8176E"/>
    <w:rsid w:val="37C72442"/>
    <w:rsid w:val="37E00298"/>
    <w:rsid w:val="37F07303"/>
    <w:rsid w:val="38373481"/>
    <w:rsid w:val="38482EC7"/>
    <w:rsid w:val="3885355F"/>
    <w:rsid w:val="38966B18"/>
    <w:rsid w:val="38A46FB1"/>
    <w:rsid w:val="38B302F9"/>
    <w:rsid w:val="38F12CD3"/>
    <w:rsid w:val="38F94775"/>
    <w:rsid w:val="392971ED"/>
    <w:rsid w:val="392E7D8B"/>
    <w:rsid w:val="39325651"/>
    <w:rsid w:val="39557F91"/>
    <w:rsid w:val="398A5B0B"/>
    <w:rsid w:val="399D7C02"/>
    <w:rsid w:val="39B23E88"/>
    <w:rsid w:val="39BC0E8B"/>
    <w:rsid w:val="39E55B53"/>
    <w:rsid w:val="3A0176FE"/>
    <w:rsid w:val="3A5E6D2B"/>
    <w:rsid w:val="3A6D29DE"/>
    <w:rsid w:val="3A872856"/>
    <w:rsid w:val="3AA22A11"/>
    <w:rsid w:val="3AD44252"/>
    <w:rsid w:val="3ADB44C6"/>
    <w:rsid w:val="3ADC526C"/>
    <w:rsid w:val="3AF87ACE"/>
    <w:rsid w:val="3AFB72D5"/>
    <w:rsid w:val="3B09602A"/>
    <w:rsid w:val="3B3763D1"/>
    <w:rsid w:val="3B5207D9"/>
    <w:rsid w:val="3B6A40EF"/>
    <w:rsid w:val="3B8561E0"/>
    <w:rsid w:val="3BA21F1F"/>
    <w:rsid w:val="3BE37D40"/>
    <w:rsid w:val="3BE96A91"/>
    <w:rsid w:val="3BF910A8"/>
    <w:rsid w:val="3C2F6E1E"/>
    <w:rsid w:val="3C3D4DEB"/>
    <w:rsid w:val="3C4F64BA"/>
    <w:rsid w:val="3C962485"/>
    <w:rsid w:val="3CBF485C"/>
    <w:rsid w:val="3CD120E9"/>
    <w:rsid w:val="3CD82402"/>
    <w:rsid w:val="3CDA245A"/>
    <w:rsid w:val="3CE33A12"/>
    <w:rsid w:val="3CFF653A"/>
    <w:rsid w:val="3D1E06B7"/>
    <w:rsid w:val="3D39094A"/>
    <w:rsid w:val="3D4965F0"/>
    <w:rsid w:val="3DBC7133"/>
    <w:rsid w:val="3DCE20C0"/>
    <w:rsid w:val="3DF84DB5"/>
    <w:rsid w:val="3E0016D8"/>
    <w:rsid w:val="3E211E94"/>
    <w:rsid w:val="3E3D452F"/>
    <w:rsid w:val="3E703177"/>
    <w:rsid w:val="3E892BF5"/>
    <w:rsid w:val="3EBD6E70"/>
    <w:rsid w:val="3EC31A33"/>
    <w:rsid w:val="3EDA0523"/>
    <w:rsid w:val="3EFF1743"/>
    <w:rsid w:val="3FAD7A8A"/>
    <w:rsid w:val="3FB672B0"/>
    <w:rsid w:val="3FC71203"/>
    <w:rsid w:val="3FE45841"/>
    <w:rsid w:val="3FE74571"/>
    <w:rsid w:val="40163EB0"/>
    <w:rsid w:val="40376F82"/>
    <w:rsid w:val="406C6D0C"/>
    <w:rsid w:val="407A6407"/>
    <w:rsid w:val="409922F9"/>
    <w:rsid w:val="409E0283"/>
    <w:rsid w:val="40A5483A"/>
    <w:rsid w:val="40BC4452"/>
    <w:rsid w:val="41093020"/>
    <w:rsid w:val="41175B2C"/>
    <w:rsid w:val="412A5860"/>
    <w:rsid w:val="413B36FB"/>
    <w:rsid w:val="414026C4"/>
    <w:rsid w:val="41986734"/>
    <w:rsid w:val="41A27FE8"/>
    <w:rsid w:val="4200449D"/>
    <w:rsid w:val="420E4F64"/>
    <w:rsid w:val="420E6F2F"/>
    <w:rsid w:val="423A3BCC"/>
    <w:rsid w:val="424E57D2"/>
    <w:rsid w:val="425F3C2F"/>
    <w:rsid w:val="4267663F"/>
    <w:rsid w:val="426923B8"/>
    <w:rsid w:val="429531AD"/>
    <w:rsid w:val="42B26C49"/>
    <w:rsid w:val="433A6FE6"/>
    <w:rsid w:val="433B1CF3"/>
    <w:rsid w:val="43480868"/>
    <w:rsid w:val="4350713C"/>
    <w:rsid w:val="435B71B9"/>
    <w:rsid w:val="436653E0"/>
    <w:rsid w:val="436F7EA2"/>
    <w:rsid w:val="437E00E5"/>
    <w:rsid w:val="439C0C1F"/>
    <w:rsid w:val="43BC4AF1"/>
    <w:rsid w:val="43C4431A"/>
    <w:rsid w:val="43F11CB3"/>
    <w:rsid w:val="43FA5F83"/>
    <w:rsid w:val="444E0EB1"/>
    <w:rsid w:val="4476700E"/>
    <w:rsid w:val="44B951CC"/>
    <w:rsid w:val="44CD14E0"/>
    <w:rsid w:val="44E43386"/>
    <w:rsid w:val="44F20B0B"/>
    <w:rsid w:val="45271B3B"/>
    <w:rsid w:val="452E5F4C"/>
    <w:rsid w:val="45612018"/>
    <w:rsid w:val="45670E08"/>
    <w:rsid w:val="45774DEB"/>
    <w:rsid w:val="45837939"/>
    <w:rsid w:val="458946E9"/>
    <w:rsid w:val="45A32B1B"/>
    <w:rsid w:val="45A47C0E"/>
    <w:rsid w:val="45AB653C"/>
    <w:rsid w:val="45D81C2A"/>
    <w:rsid w:val="45DD6E08"/>
    <w:rsid w:val="45FA1AC5"/>
    <w:rsid w:val="46247303"/>
    <w:rsid w:val="46553FB5"/>
    <w:rsid w:val="46577FD6"/>
    <w:rsid w:val="46780E1B"/>
    <w:rsid w:val="468679DC"/>
    <w:rsid w:val="468F13EF"/>
    <w:rsid w:val="46B37686"/>
    <w:rsid w:val="46D955A7"/>
    <w:rsid w:val="47133957"/>
    <w:rsid w:val="47172E19"/>
    <w:rsid w:val="472965B9"/>
    <w:rsid w:val="475B40DD"/>
    <w:rsid w:val="476B0980"/>
    <w:rsid w:val="47A07E0C"/>
    <w:rsid w:val="47E66F7D"/>
    <w:rsid w:val="4870272E"/>
    <w:rsid w:val="488D00C2"/>
    <w:rsid w:val="48CA5CCB"/>
    <w:rsid w:val="491B6924"/>
    <w:rsid w:val="493D423B"/>
    <w:rsid w:val="499B4497"/>
    <w:rsid w:val="499E41AD"/>
    <w:rsid w:val="49A944C5"/>
    <w:rsid w:val="49BF6CEC"/>
    <w:rsid w:val="49C176A8"/>
    <w:rsid w:val="49D100BC"/>
    <w:rsid w:val="49D62A28"/>
    <w:rsid w:val="49DC7715"/>
    <w:rsid w:val="49E27234"/>
    <w:rsid w:val="49F17862"/>
    <w:rsid w:val="4A023139"/>
    <w:rsid w:val="4A1D1CE5"/>
    <w:rsid w:val="4A476658"/>
    <w:rsid w:val="4A4A0D21"/>
    <w:rsid w:val="4A524E61"/>
    <w:rsid w:val="4A5D45FE"/>
    <w:rsid w:val="4A776AF8"/>
    <w:rsid w:val="4A7B576F"/>
    <w:rsid w:val="4AED53A1"/>
    <w:rsid w:val="4AF561A9"/>
    <w:rsid w:val="4B1F0B3A"/>
    <w:rsid w:val="4B40491C"/>
    <w:rsid w:val="4B68057D"/>
    <w:rsid w:val="4B6C4A8D"/>
    <w:rsid w:val="4B9C0CFF"/>
    <w:rsid w:val="4BB00E03"/>
    <w:rsid w:val="4BC17742"/>
    <w:rsid w:val="4BC60602"/>
    <w:rsid w:val="4BC82845"/>
    <w:rsid w:val="4BEB0573"/>
    <w:rsid w:val="4C183DE2"/>
    <w:rsid w:val="4C1B65EE"/>
    <w:rsid w:val="4C207ADF"/>
    <w:rsid w:val="4C431ECB"/>
    <w:rsid w:val="4C4A0649"/>
    <w:rsid w:val="4C5E1658"/>
    <w:rsid w:val="4C7B3413"/>
    <w:rsid w:val="4C7E5ECA"/>
    <w:rsid w:val="4C876AA5"/>
    <w:rsid w:val="4CA0731E"/>
    <w:rsid w:val="4CBF59F6"/>
    <w:rsid w:val="4CF15160"/>
    <w:rsid w:val="4CF24A97"/>
    <w:rsid w:val="4D0E00FB"/>
    <w:rsid w:val="4D0E4287"/>
    <w:rsid w:val="4D176606"/>
    <w:rsid w:val="4D5A3970"/>
    <w:rsid w:val="4D5D51E0"/>
    <w:rsid w:val="4DC077B7"/>
    <w:rsid w:val="4DDA2909"/>
    <w:rsid w:val="4DEC4FB0"/>
    <w:rsid w:val="4E075D8A"/>
    <w:rsid w:val="4E2D5B83"/>
    <w:rsid w:val="4E312EF6"/>
    <w:rsid w:val="4E4D7031"/>
    <w:rsid w:val="4E5011E5"/>
    <w:rsid w:val="4E782CE8"/>
    <w:rsid w:val="4EA54365"/>
    <w:rsid w:val="4EB55C9D"/>
    <w:rsid w:val="4EC00FAD"/>
    <w:rsid w:val="4EC310A1"/>
    <w:rsid w:val="4EFC1F79"/>
    <w:rsid w:val="4F3124AF"/>
    <w:rsid w:val="4F657548"/>
    <w:rsid w:val="4F713898"/>
    <w:rsid w:val="4F714FA1"/>
    <w:rsid w:val="4F71666C"/>
    <w:rsid w:val="4F843226"/>
    <w:rsid w:val="4F9715E7"/>
    <w:rsid w:val="4F9843DC"/>
    <w:rsid w:val="4F9C7E31"/>
    <w:rsid w:val="4FAE3B00"/>
    <w:rsid w:val="4FC62A8C"/>
    <w:rsid w:val="4FDF63AF"/>
    <w:rsid w:val="4FE20F0D"/>
    <w:rsid w:val="4FE51552"/>
    <w:rsid w:val="4FEF2870"/>
    <w:rsid w:val="4FF23FB7"/>
    <w:rsid w:val="502A737C"/>
    <w:rsid w:val="50486E6B"/>
    <w:rsid w:val="504A7CCC"/>
    <w:rsid w:val="50504C4B"/>
    <w:rsid w:val="505F2E33"/>
    <w:rsid w:val="508724BF"/>
    <w:rsid w:val="50962F12"/>
    <w:rsid w:val="509C6E7C"/>
    <w:rsid w:val="50C178EA"/>
    <w:rsid w:val="50D5635D"/>
    <w:rsid w:val="50DE156D"/>
    <w:rsid w:val="50F216B9"/>
    <w:rsid w:val="51150724"/>
    <w:rsid w:val="51281690"/>
    <w:rsid w:val="51316CB7"/>
    <w:rsid w:val="51493DDC"/>
    <w:rsid w:val="515E01CA"/>
    <w:rsid w:val="5162104E"/>
    <w:rsid w:val="5164091A"/>
    <w:rsid w:val="51671B3C"/>
    <w:rsid w:val="51704FC4"/>
    <w:rsid w:val="51A045FC"/>
    <w:rsid w:val="51B8054C"/>
    <w:rsid w:val="522E2CD6"/>
    <w:rsid w:val="5237602E"/>
    <w:rsid w:val="524B5F75"/>
    <w:rsid w:val="524C288E"/>
    <w:rsid w:val="528148FA"/>
    <w:rsid w:val="52BA7D67"/>
    <w:rsid w:val="52BE2228"/>
    <w:rsid w:val="52C8312A"/>
    <w:rsid w:val="52D15F58"/>
    <w:rsid w:val="52E85F14"/>
    <w:rsid w:val="52ED3E2D"/>
    <w:rsid w:val="52EE0433"/>
    <w:rsid w:val="537D5CC3"/>
    <w:rsid w:val="53915C12"/>
    <w:rsid w:val="539C2BF8"/>
    <w:rsid w:val="53A039CC"/>
    <w:rsid w:val="53A1505A"/>
    <w:rsid w:val="53A67E91"/>
    <w:rsid w:val="53F6441A"/>
    <w:rsid w:val="53F871E3"/>
    <w:rsid w:val="53FF2B7C"/>
    <w:rsid w:val="54063E08"/>
    <w:rsid w:val="543437E8"/>
    <w:rsid w:val="54D36D33"/>
    <w:rsid w:val="54D93CFE"/>
    <w:rsid w:val="54F73313"/>
    <w:rsid w:val="54F80955"/>
    <w:rsid w:val="552E2FF3"/>
    <w:rsid w:val="55432060"/>
    <w:rsid w:val="554963A1"/>
    <w:rsid w:val="555170A7"/>
    <w:rsid w:val="556C1DB7"/>
    <w:rsid w:val="55767011"/>
    <w:rsid w:val="5587536D"/>
    <w:rsid w:val="55992B5C"/>
    <w:rsid w:val="559B174B"/>
    <w:rsid w:val="55A90FF1"/>
    <w:rsid w:val="55CE0CF4"/>
    <w:rsid w:val="55F737FC"/>
    <w:rsid w:val="560D5577"/>
    <w:rsid w:val="56240488"/>
    <w:rsid w:val="562A61F8"/>
    <w:rsid w:val="562C6C60"/>
    <w:rsid w:val="56586B46"/>
    <w:rsid w:val="567C4958"/>
    <w:rsid w:val="568747F1"/>
    <w:rsid w:val="56876E58"/>
    <w:rsid w:val="56A96EE1"/>
    <w:rsid w:val="56B22A9C"/>
    <w:rsid w:val="56C8610C"/>
    <w:rsid w:val="56D17FC1"/>
    <w:rsid w:val="56E23C29"/>
    <w:rsid w:val="5742522B"/>
    <w:rsid w:val="57561251"/>
    <w:rsid w:val="5778511F"/>
    <w:rsid w:val="57797322"/>
    <w:rsid w:val="5781794F"/>
    <w:rsid w:val="57B72A76"/>
    <w:rsid w:val="57C3426C"/>
    <w:rsid w:val="57C948C4"/>
    <w:rsid w:val="57CE1F93"/>
    <w:rsid w:val="57D44FE9"/>
    <w:rsid w:val="57D63FE4"/>
    <w:rsid w:val="580C6F3F"/>
    <w:rsid w:val="584A5DFD"/>
    <w:rsid w:val="585F1368"/>
    <w:rsid w:val="587324D9"/>
    <w:rsid w:val="588743D1"/>
    <w:rsid w:val="5887701A"/>
    <w:rsid w:val="590638DD"/>
    <w:rsid w:val="59245C65"/>
    <w:rsid w:val="593D75EA"/>
    <w:rsid w:val="594A300A"/>
    <w:rsid w:val="5995729B"/>
    <w:rsid w:val="599A7EF6"/>
    <w:rsid w:val="59A87812"/>
    <w:rsid w:val="59C0439F"/>
    <w:rsid w:val="59C364A0"/>
    <w:rsid w:val="59FB5B93"/>
    <w:rsid w:val="5A397F0E"/>
    <w:rsid w:val="5A405C9C"/>
    <w:rsid w:val="5AA04906"/>
    <w:rsid w:val="5ABE2233"/>
    <w:rsid w:val="5B042C85"/>
    <w:rsid w:val="5B506763"/>
    <w:rsid w:val="5B555909"/>
    <w:rsid w:val="5B5F5AF4"/>
    <w:rsid w:val="5B6D0067"/>
    <w:rsid w:val="5B800A46"/>
    <w:rsid w:val="5BBF38D9"/>
    <w:rsid w:val="5BDF5D95"/>
    <w:rsid w:val="5BE8501F"/>
    <w:rsid w:val="5BFE7528"/>
    <w:rsid w:val="5C6043D4"/>
    <w:rsid w:val="5C6E6AF1"/>
    <w:rsid w:val="5CB27CF4"/>
    <w:rsid w:val="5CD56797"/>
    <w:rsid w:val="5CDB47DD"/>
    <w:rsid w:val="5CE3278A"/>
    <w:rsid w:val="5D0D6309"/>
    <w:rsid w:val="5D193678"/>
    <w:rsid w:val="5D7A4EAC"/>
    <w:rsid w:val="5D8A497E"/>
    <w:rsid w:val="5D980799"/>
    <w:rsid w:val="5DA545EC"/>
    <w:rsid w:val="5DA70138"/>
    <w:rsid w:val="5DA84284"/>
    <w:rsid w:val="5DC336AC"/>
    <w:rsid w:val="5DC80482"/>
    <w:rsid w:val="5DE30E18"/>
    <w:rsid w:val="5DEF2313"/>
    <w:rsid w:val="5E2467F1"/>
    <w:rsid w:val="5E305680"/>
    <w:rsid w:val="5E494A25"/>
    <w:rsid w:val="5E6858DF"/>
    <w:rsid w:val="5E7A3A51"/>
    <w:rsid w:val="5E7E4C76"/>
    <w:rsid w:val="5E9640DD"/>
    <w:rsid w:val="5E964AE5"/>
    <w:rsid w:val="5E9916CD"/>
    <w:rsid w:val="5EFDA2C0"/>
    <w:rsid w:val="5F1A2B43"/>
    <w:rsid w:val="5F1C702E"/>
    <w:rsid w:val="5F1F0DB8"/>
    <w:rsid w:val="5FB837BB"/>
    <w:rsid w:val="5FD70304"/>
    <w:rsid w:val="60035C06"/>
    <w:rsid w:val="603A5BD9"/>
    <w:rsid w:val="60785690"/>
    <w:rsid w:val="60CC405A"/>
    <w:rsid w:val="61033714"/>
    <w:rsid w:val="613C54E4"/>
    <w:rsid w:val="613D376A"/>
    <w:rsid w:val="61A66B65"/>
    <w:rsid w:val="61B75ED2"/>
    <w:rsid w:val="61E215D8"/>
    <w:rsid w:val="61EC70FA"/>
    <w:rsid w:val="62145A44"/>
    <w:rsid w:val="621B3775"/>
    <w:rsid w:val="62364782"/>
    <w:rsid w:val="6249107F"/>
    <w:rsid w:val="625E6E3F"/>
    <w:rsid w:val="6260280E"/>
    <w:rsid w:val="62614A02"/>
    <w:rsid w:val="626D1735"/>
    <w:rsid w:val="62AC6F9F"/>
    <w:rsid w:val="62AD3CE8"/>
    <w:rsid w:val="62B07A33"/>
    <w:rsid w:val="62C35B09"/>
    <w:rsid w:val="63445B40"/>
    <w:rsid w:val="63473BF7"/>
    <w:rsid w:val="635051A2"/>
    <w:rsid w:val="635A7DCF"/>
    <w:rsid w:val="6394356A"/>
    <w:rsid w:val="63A64685"/>
    <w:rsid w:val="63B31F26"/>
    <w:rsid w:val="63BA261B"/>
    <w:rsid w:val="63BA78C7"/>
    <w:rsid w:val="63BF56B3"/>
    <w:rsid w:val="63C61B2C"/>
    <w:rsid w:val="63D40BE9"/>
    <w:rsid w:val="63D7701A"/>
    <w:rsid w:val="63E935F6"/>
    <w:rsid w:val="63F10849"/>
    <w:rsid w:val="64064BCA"/>
    <w:rsid w:val="640F7236"/>
    <w:rsid w:val="64102431"/>
    <w:rsid w:val="642701CA"/>
    <w:rsid w:val="649851D8"/>
    <w:rsid w:val="64A5243A"/>
    <w:rsid w:val="64C8451E"/>
    <w:rsid w:val="64F531DE"/>
    <w:rsid w:val="64FB3632"/>
    <w:rsid w:val="650050A2"/>
    <w:rsid w:val="651E4E2C"/>
    <w:rsid w:val="652C1AF7"/>
    <w:rsid w:val="653603C7"/>
    <w:rsid w:val="65373578"/>
    <w:rsid w:val="653E395C"/>
    <w:rsid w:val="65482370"/>
    <w:rsid w:val="654B200F"/>
    <w:rsid w:val="65853E9A"/>
    <w:rsid w:val="65861CC7"/>
    <w:rsid w:val="65EF52A4"/>
    <w:rsid w:val="66E71120"/>
    <w:rsid w:val="66F63F6B"/>
    <w:rsid w:val="671F124A"/>
    <w:rsid w:val="673A2DBF"/>
    <w:rsid w:val="677A33C6"/>
    <w:rsid w:val="677A679C"/>
    <w:rsid w:val="677D6B8B"/>
    <w:rsid w:val="679325BB"/>
    <w:rsid w:val="67D27D5F"/>
    <w:rsid w:val="67DA328C"/>
    <w:rsid w:val="681F6961"/>
    <w:rsid w:val="684D55E2"/>
    <w:rsid w:val="68610A2F"/>
    <w:rsid w:val="68805514"/>
    <w:rsid w:val="68882CE8"/>
    <w:rsid w:val="68BE495C"/>
    <w:rsid w:val="68D628E5"/>
    <w:rsid w:val="68E87407"/>
    <w:rsid w:val="68F41FE7"/>
    <w:rsid w:val="69201173"/>
    <w:rsid w:val="69214A29"/>
    <w:rsid w:val="692F7608"/>
    <w:rsid w:val="693021A1"/>
    <w:rsid w:val="69316E2F"/>
    <w:rsid w:val="694E2071"/>
    <w:rsid w:val="69766163"/>
    <w:rsid w:val="697A3B33"/>
    <w:rsid w:val="69934D1F"/>
    <w:rsid w:val="69A635D9"/>
    <w:rsid w:val="69D44760"/>
    <w:rsid w:val="69DD0FAB"/>
    <w:rsid w:val="69DD7064"/>
    <w:rsid w:val="6A10225C"/>
    <w:rsid w:val="6A2B08BD"/>
    <w:rsid w:val="6A2D06EE"/>
    <w:rsid w:val="6A361939"/>
    <w:rsid w:val="6A3E4415"/>
    <w:rsid w:val="6A520EC7"/>
    <w:rsid w:val="6A627F82"/>
    <w:rsid w:val="6ACC1548"/>
    <w:rsid w:val="6ADE6729"/>
    <w:rsid w:val="6AE34377"/>
    <w:rsid w:val="6AF87E20"/>
    <w:rsid w:val="6B0A3E88"/>
    <w:rsid w:val="6B0E0190"/>
    <w:rsid w:val="6B145C79"/>
    <w:rsid w:val="6B285ACB"/>
    <w:rsid w:val="6B322639"/>
    <w:rsid w:val="6B476E8A"/>
    <w:rsid w:val="6B69336D"/>
    <w:rsid w:val="6B797260"/>
    <w:rsid w:val="6BC80F6B"/>
    <w:rsid w:val="6BCA714F"/>
    <w:rsid w:val="6BCD26D4"/>
    <w:rsid w:val="6BF72C3E"/>
    <w:rsid w:val="6C101972"/>
    <w:rsid w:val="6C253AA6"/>
    <w:rsid w:val="6C4B29AA"/>
    <w:rsid w:val="6C5B6D25"/>
    <w:rsid w:val="6C636C38"/>
    <w:rsid w:val="6C8256C6"/>
    <w:rsid w:val="6C8612D7"/>
    <w:rsid w:val="6C963990"/>
    <w:rsid w:val="6CC97CCC"/>
    <w:rsid w:val="6CD44334"/>
    <w:rsid w:val="6CE70398"/>
    <w:rsid w:val="6D0843F7"/>
    <w:rsid w:val="6D2F0B31"/>
    <w:rsid w:val="6D60017C"/>
    <w:rsid w:val="6D711620"/>
    <w:rsid w:val="6D9C260C"/>
    <w:rsid w:val="6DB34098"/>
    <w:rsid w:val="6DB545B6"/>
    <w:rsid w:val="6DB62B55"/>
    <w:rsid w:val="6DE02FB4"/>
    <w:rsid w:val="6DE34E05"/>
    <w:rsid w:val="6DE51FC5"/>
    <w:rsid w:val="6E0A23F1"/>
    <w:rsid w:val="6E514CED"/>
    <w:rsid w:val="6E94647B"/>
    <w:rsid w:val="6E963C85"/>
    <w:rsid w:val="6EA81F92"/>
    <w:rsid w:val="6EB563D5"/>
    <w:rsid w:val="6EC46A44"/>
    <w:rsid w:val="6EC866A3"/>
    <w:rsid w:val="6ED547AD"/>
    <w:rsid w:val="6ED92677"/>
    <w:rsid w:val="6EDC6E70"/>
    <w:rsid w:val="6EE70FE3"/>
    <w:rsid w:val="6EFA2466"/>
    <w:rsid w:val="6F0A08FB"/>
    <w:rsid w:val="6F225983"/>
    <w:rsid w:val="6F674E23"/>
    <w:rsid w:val="6F6F4C02"/>
    <w:rsid w:val="6F722C7F"/>
    <w:rsid w:val="6F887A72"/>
    <w:rsid w:val="6FA77D85"/>
    <w:rsid w:val="6FDB0306"/>
    <w:rsid w:val="6FE057DC"/>
    <w:rsid w:val="6FFA24A0"/>
    <w:rsid w:val="6FFC5590"/>
    <w:rsid w:val="700370F8"/>
    <w:rsid w:val="70113542"/>
    <w:rsid w:val="701E3F32"/>
    <w:rsid w:val="70214F0B"/>
    <w:rsid w:val="704E644D"/>
    <w:rsid w:val="706D1DD0"/>
    <w:rsid w:val="707B75D6"/>
    <w:rsid w:val="70856B87"/>
    <w:rsid w:val="709343BE"/>
    <w:rsid w:val="709963B9"/>
    <w:rsid w:val="70A44F98"/>
    <w:rsid w:val="70B527F5"/>
    <w:rsid w:val="70CD6084"/>
    <w:rsid w:val="70D527EE"/>
    <w:rsid w:val="70FA04FB"/>
    <w:rsid w:val="70FD2BA3"/>
    <w:rsid w:val="710350A4"/>
    <w:rsid w:val="710A2FFD"/>
    <w:rsid w:val="712124C9"/>
    <w:rsid w:val="713D76E6"/>
    <w:rsid w:val="715B5300"/>
    <w:rsid w:val="717D085B"/>
    <w:rsid w:val="71A00ED1"/>
    <w:rsid w:val="71D27F8A"/>
    <w:rsid w:val="71D91E4C"/>
    <w:rsid w:val="72156D80"/>
    <w:rsid w:val="72553024"/>
    <w:rsid w:val="725C4192"/>
    <w:rsid w:val="726A2AAA"/>
    <w:rsid w:val="72812E38"/>
    <w:rsid w:val="72A66B8C"/>
    <w:rsid w:val="72B040CF"/>
    <w:rsid w:val="72D667EB"/>
    <w:rsid w:val="73010625"/>
    <w:rsid w:val="73122968"/>
    <w:rsid w:val="7314192A"/>
    <w:rsid w:val="731F5D5E"/>
    <w:rsid w:val="73214252"/>
    <w:rsid w:val="7395275D"/>
    <w:rsid w:val="73A63FDB"/>
    <w:rsid w:val="73B54C02"/>
    <w:rsid w:val="73C26134"/>
    <w:rsid w:val="73C51AD5"/>
    <w:rsid w:val="73D2046F"/>
    <w:rsid w:val="73D514BE"/>
    <w:rsid w:val="73EA4F0A"/>
    <w:rsid w:val="73F349CB"/>
    <w:rsid w:val="74092A38"/>
    <w:rsid w:val="741E793C"/>
    <w:rsid w:val="745E3944"/>
    <w:rsid w:val="748A47CE"/>
    <w:rsid w:val="74986FD1"/>
    <w:rsid w:val="74A5140C"/>
    <w:rsid w:val="74B15C1F"/>
    <w:rsid w:val="74D769FD"/>
    <w:rsid w:val="74F87672"/>
    <w:rsid w:val="750D12BC"/>
    <w:rsid w:val="753C46CD"/>
    <w:rsid w:val="755D4D06"/>
    <w:rsid w:val="75722D56"/>
    <w:rsid w:val="75812F99"/>
    <w:rsid w:val="75BA64AB"/>
    <w:rsid w:val="75BE5576"/>
    <w:rsid w:val="76284CE1"/>
    <w:rsid w:val="762B2453"/>
    <w:rsid w:val="7635099D"/>
    <w:rsid w:val="76384882"/>
    <w:rsid w:val="76954AA4"/>
    <w:rsid w:val="76B348A4"/>
    <w:rsid w:val="76DA52BB"/>
    <w:rsid w:val="76EE28B0"/>
    <w:rsid w:val="76FA74A7"/>
    <w:rsid w:val="76FF5E37"/>
    <w:rsid w:val="77065D6D"/>
    <w:rsid w:val="77115533"/>
    <w:rsid w:val="771D0ED8"/>
    <w:rsid w:val="77320B63"/>
    <w:rsid w:val="77711D3F"/>
    <w:rsid w:val="77762421"/>
    <w:rsid w:val="77B56B1F"/>
    <w:rsid w:val="77C6537F"/>
    <w:rsid w:val="77C67389"/>
    <w:rsid w:val="77D594F3"/>
    <w:rsid w:val="77F04FBF"/>
    <w:rsid w:val="780D320A"/>
    <w:rsid w:val="780E07AA"/>
    <w:rsid w:val="780F09F4"/>
    <w:rsid w:val="782D7408"/>
    <w:rsid w:val="78372D2A"/>
    <w:rsid w:val="78377641"/>
    <w:rsid w:val="78A90480"/>
    <w:rsid w:val="78CE6947"/>
    <w:rsid w:val="78EB5E55"/>
    <w:rsid w:val="79416BCE"/>
    <w:rsid w:val="795426F8"/>
    <w:rsid w:val="79904614"/>
    <w:rsid w:val="79AC16A8"/>
    <w:rsid w:val="79BE058A"/>
    <w:rsid w:val="79BF473F"/>
    <w:rsid w:val="79CD2C51"/>
    <w:rsid w:val="79E65AC0"/>
    <w:rsid w:val="79E93558"/>
    <w:rsid w:val="7A0C4A21"/>
    <w:rsid w:val="7A2849FF"/>
    <w:rsid w:val="7A364017"/>
    <w:rsid w:val="7A435828"/>
    <w:rsid w:val="7A541AD7"/>
    <w:rsid w:val="7A6574A8"/>
    <w:rsid w:val="7A6D7F90"/>
    <w:rsid w:val="7A793AF9"/>
    <w:rsid w:val="7A8265E1"/>
    <w:rsid w:val="7AEE23C9"/>
    <w:rsid w:val="7AF71D2E"/>
    <w:rsid w:val="7B0D0591"/>
    <w:rsid w:val="7B0E3521"/>
    <w:rsid w:val="7B2917FD"/>
    <w:rsid w:val="7B3530E9"/>
    <w:rsid w:val="7B5F1CEF"/>
    <w:rsid w:val="7B686D42"/>
    <w:rsid w:val="7B6D73E5"/>
    <w:rsid w:val="7B827A6B"/>
    <w:rsid w:val="7B841746"/>
    <w:rsid w:val="7BCE4A5E"/>
    <w:rsid w:val="7BDD00F3"/>
    <w:rsid w:val="7BDD2EF3"/>
    <w:rsid w:val="7BE14791"/>
    <w:rsid w:val="7C285372"/>
    <w:rsid w:val="7C2C7358"/>
    <w:rsid w:val="7C5B33D6"/>
    <w:rsid w:val="7C6C5AC7"/>
    <w:rsid w:val="7CC6544B"/>
    <w:rsid w:val="7CEE135B"/>
    <w:rsid w:val="7CF95827"/>
    <w:rsid w:val="7D0239FF"/>
    <w:rsid w:val="7D1312C2"/>
    <w:rsid w:val="7D204AD7"/>
    <w:rsid w:val="7D3923AB"/>
    <w:rsid w:val="7D5E40CD"/>
    <w:rsid w:val="7D665EAB"/>
    <w:rsid w:val="7D723DBE"/>
    <w:rsid w:val="7D782ED3"/>
    <w:rsid w:val="7D8112DE"/>
    <w:rsid w:val="7D921699"/>
    <w:rsid w:val="7DC258E9"/>
    <w:rsid w:val="7DC3176B"/>
    <w:rsid w:val="7DCD56F2"/>
    <w:rsid w:val="7E0062F9"/>
    <w:rsid w:val="7E265025"/>
    <w:rsid w:val="7E3C3380"/>
    <w:rsid w:val="7E7541EA"/>
    <w:rsid w:val="7E827C9D"/>
    <w:rsid w:val="7E8E610F"/>
    <w:rsid w:val="7EB4618D"/>
    <w:rsid w:val="7EED1AD4"/>
    <w:rsid w:val="7F001CE7"/>
    <w:rsid w:val="7F002A43"/>
    <w:rsid w:val="7F2E1EF2"/>
    <w:rsid w:val="7F392B36"/>
    <w:rsid w:val="7F5A0714"/>
    <w:rsid w:val="7F690B9A"/>
    <w:rsid w:val="7F6C6A68"/>
    <w:rsid w:val="7F836FE0"/>
    <w:rsid w:val="7FA06540"/>
    <w:rsid w:val="7FE47E50"/>
    <w:rsid w:val="7FF83459"/>
    <w:rsid w:val="DDCF0DDA"/>
    <w:rsid w:val="E1FBBD76"/>
    <w:rsid w:val="EF393CCF"/>
    <w:rsid w:val="FF3F08D2"/>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nhideWhenUsed="0" w:uiPriority="0" w:semiHidden="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nhideWhenUsed="0" w:uiPriority="0" w:semiHidden="0" w:name="toc 1" w:locked="1"/>
    <w:lsdException w:qFormat="1"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iPriority="0" w:semiHidden="0" w:name="caption" w:locked="1"/>
    <w:lsdException w:qFormat="1" w:uiPriority="99"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unhideWhenUsed="0"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qFormat="1"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qFormat="1" w:unhideWhenUsed="0" w:uiPriority="0" w:semiHidden="0" w:name="Body Text First Indent" w:locked="1"/>
    <w:lsdException w:qFormat="1"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qFormat="1"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nhideWhenUsed="0" w:uiPriority="0" w:name="Normal Table"/>
    <w:lsdException w:qFormat="1" w:unhideWhenUsed="0" w:uiPriority="0" w:name="annotation subject"/>
    <w:lsdException w:unhideWhenUsed="0" w:uiPriority="0" w:semiHidden="0" w:name="Table Simple 1" w:locked="1"/>
    <w:lsdException w:unhideWhenUsed="0" w:uiPriority="0" w:semiHidden="0" w:name="Table Simple 2" w:locked="1"/>
    <w:lsdException w:unhideWhenUsed="0" w:uiPriority="0" w:semiHidden="0" w:name="Table Simple 3" w:locked="1"/>
    <w:lsdException w:unhideWhenUsed="0" w:uiPriority="0" w:semiHidden="0" w:name="Table Classic 1" w:locked="1"/>
    <w:lsdException w:unhideWhenUsed="0" w:uiPriority="0" w:semiHidden="0" w:name="Table Classic 2" w:locked="1"/>
    <w:lsdException w:unhideWhenUsed="0" w:uiPriority="0" w:semiHidden="0" w:name="Table Classic 3" w:locked="1"/>
    <w:lsdException w:unhideWhenUsed="0" w:uiPriority="0" w:semiHidden="0" w:name="Table Classic 4" w:locked="1"/>
    <w:lsdException w:unhideWhenUsed="0" w:uiPriority="0" w:semiHidden="0" w:name="Table Colorful 1" w:locked="1"/>
    <w:lsdException w:unhideWhenUsed="0" w:uiPriority="0" w:semiHidden="0" w:name="Table Colorful 2" w:locked="1"/>
    <w:lsdException w:unhideWhenUsed="0" w:uiPriority="0" w:semiHidden="0" w:name="Table Colorful 3" w:locked="1"/>
    <w:lsdException w:unhideWhenUsed="0" w:uiPriority="0" w:semiHidden="0" w:name="Table Columns 1" w:locked="1"/>
    <w:lsdException w:unhideWhenUsed="0" w:uiPriority="0" w:semiHidden="0" w:name="Table Columns 2" w:locked="1"/>
    <w:lsdException w:unhideWhenUsed="0" w:uiPriority="0" w:semiHidden="0" w:name="Table Columns 3" w:locked="1"/>
    <w:lsdException w:unhideWhenUsed="0" w:uiPriority="0" w:semiHidden="0" w:name="Table Columns 4" w:locked="1"/>
    <w:lsdException w:unhideWhenUsed="0" w:uiPriority="0" w:semiHidden="0" w:name="Table Columns 5" w:locked="1"/>
    <w:lsdException w:unhideWhenUsed="0" w:uiPriority="0" w:semiHidden="0" w:name="Table Grid 1" w:locked="1"/>
    <w:lsdException w:unhideWhenUsed="0" w:uiPriority="0" w:semiHidden="0" w:name="Table Grid 2" w:locked="1"/>
    <w:lsdException w:unhideWhenUsed="0" w:uiPriority="0" w:semiHidden="0" w:name="Table Grid 3" w:locked="1"/>
    <w:lsdException w:unhideWhenUsed="0" w:uiPriority="0" w:semiHidden="0" w:name="Table Grid 4" w:locked="1"/>
    <w:lsdException w:unhideWhenUsed="0" w:uiPriority="0" w:semiHidden="0" w:name="Table Grid 5" w:locked="1"/>
    <w:lsdException w:unhideWhenUsed="0" w:uiPriority="0" w:semiHidden="0" w:name="Table Grid 6" w:locked="1"/>
    <w:lsdException w:unhideWhenUsed="0" w:uiPriority="0" w:semiHidden="0" w:name="Table Grid 7" w:locked="1"/>
    <w:lsdException w:unhideWhenUsed="0" w:uiPriority="0" w:semiHidden="0" w:name="Table Grid 8" w:locked="1"/>
    <w:lsdException w:unhideWhenUsed="0" w:uiPriority="0" w:semiHidden="0" w:name="Table List 1" w:locked="1"/>
    <w:lsdException w:unhideWhenUsed="0" w:uiPriority="0" w:semiHidden="0" w:name="Table List 2" w:locked="1"/>
    <w:lsdException w:unhideWhenUsed="0" w:uiPriority="0" w:semiHidden="0" w:name="Table List 3" w:locked="1"/>
    <w:lsdException w:unhideWhenUsed="0" w:uiPriority="0" w:semiHidden="0" w:name="Table List 4" w:locked="1"/>
    <w:lsdException w:unhideWhenUsed="0" w:uiPriority="0" w:semiHidden="0" w:name="Table List 5" w:locked="1"/>
    <w:lsdException w:unhideWhenUsed="0" w:uiPriority="0" w:semiHidden="0" w:name="Table List 6" w:locked="1"/>
    <w:lsdException w:unhideWhenUsed="0" w:uiPriority="0" w:semiHidden="0" w:name="Table List 7" w:locked="1"/>
    <w:lsdException w:unhideWhenUsed="0" w:uiPriority="0" w:semiHidden="0" w:name="Table List 8" w:locked="1"/>
    <w:lsdException w:unhideWhenUsed="0" w:uiPriority="0" w:semiHidden="0" w:name="Table 3D effects 1" w:locked="1"/>
    <w:lsdException w:unhideWhenUsed="0" w:uiPriority="0" w:semiHidden="0" w:name="Table 3D effects 2" w:locked="1"/>
    <w:lsdException w:unhideWhenUsed="0" w:uiPriority="0" w:semiHidden="0" w:name="Table 3D effects 3" w:locked="1"/>
    <w:lsdException w:unhideWhenUsed="0" w:uiPriority="0" w:semiHidden="0" w:name="Table Contemporary" w:locked="1"/>
    <w:lsdException w:unhideWhenUsed="0" w:uiPriority="0" w:semiHidden="0" w:name="Table Elegant" w:locked="1"/>
    <w:lsdException w:unhideWhenUsed="0" w:uiPriority="0" w:semiHidden="0" w:name="Table Professional" w:locked="1"/>
    <w:lsdException w:unhideWhenUsed="0" w:uiPriority="0" w:semiHidden="0" w:name="Table Subtle 1" w:locked="1"/>
    <w:lsdException w:unhideWhenUsed="0" w:uiPriority="0" w:semiHidden="0" w:name="Table Subtle 2" w:locked="1"/>
    <w:lsdException w:unhideWhenUsed="0" w:uiPriority="0" w:semiHidden="0" w:name="Table Web 1" w:locked="1"/>
    <w:lsdException w:unhideWhenUsed="0" w:uiPriority="0" w:semiHidden="0" w:name="Table Web 2" w:locked="1"/>
    <w:lsdException w:unhideWhenUsed="0" w:uiPriority="0" w:semiHidden="0" w:name="Table Web 3" w:locked="1"/>
    <w:lsdException w:qFormat="1" w:unhideWhenUsed="0" w:uiPriority="0" w:name="Balloon Text"/>
    <w:lsdException w:qFormat="1" w:unhideWhenUsed="0" w:uiPriority="0" w:semiHidden="0" w:name="Table Grid"/>
    <w:lsdException w:unhideWhenUsed="0" w:uiPriority="0" w:semiHidden="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link w:val="83"/>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4">
    <w:name w:val="heading 1"/>
    <w:basedOn w:val="1"/>
    <w:next w:val="1"/>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5">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6">
    <w:name w:val="heading 3"/>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paragraph" w:styleId="7">
    <w:name w:val="heading 4"/>
    <w:basedOn w:val="1"/>
    <w:next w:val="1"/>
    <w:qFormat/>
    <w:locked/>
    <w:uiPriority w:val="0"/>
    <w:pPr>
      <w:keepNext/>
      <w:keepLines/>
      <w:spacing w:before="100" w:beforeLines="0" w:after="100" w:afterLines="0" w:line="377" w:lineRule="auto"/>
      <w:ind w:firstLine="766" w:firstLineChars="200"/>
      <w:outlineLvl w:val="3"/>
    </w:pPr>
    <w:rPr>
      <w:rFonts w:ascii="Arial" w:hAnsi="Arial" w:eastAsia="黑体"/>
      <w:b/>
      <w:bCs/>
      <w:szCs w:val="28"/>
    </w:rPr>
  </w:style>
  <w:style w:type="character" w:default="1" w:styleId="32">
    <w:name w:val="Default Paragraph Font"/>
    <w:semiHidden/>
    <w:qFormat/>
    <w:uiPriority w:val="0"/>
  </w:style>
  <w:style w:type="table" w:default="1" w:styleId="30">
    <w:name w:val="Normal Table"/>
    <w:semiHidden/>
    <w:qFormat/>
    <w:uiPriority w:val="0"/>
    <w:tblPr>
      <w:tblCellMar>
        <w:top w:w="0" w:type="dxa"/>
        <w:left w:w="108" w:type="dxa"/>
        <w:bottom w:w="0" w:type="dxa"/>
        <w:right w:w="108" w:type="dxa"/>
      </w:tblCellMar>
    </w:tblPr>
  </w:style>
  <w:style w:type="paragraph" w:styleId="2">
    <w:name w:val="Body Text First Indent 2"/>
    <w:basedOn w:val="3"/>
    <w:next w:val="1"/>
    <w:qFormat/>
    <w:locked/>
    <w:uiPriority w:val="0"/>
    <w:pPr>
      <w:tabs>
        <w:tab w:val="left" w:pos="420"/>
        <w:tab w:val="left" w:pos="870"/>
        <w:tab w:val="left" w:pos="3150"/>
      </w:tabs>
      <w:autoSpaceDE w:val="0"/>
      <w:autoSpaceDN w:val="0"/>
      <w:adjustRightInd w:val="0"/>
      <w:spacing w:before="60" w:beforeLines="25" w:line="336" w:lineRule="auto"/>
      <w:ind w:firstLine="527"/>
      <w:textAlignment w:val="baseline"/>
    </w:pPr>
    <w:rPr>
      <w:rFonts w:ascii="宋体"/>
      <w:sz w:val="24"/>
      <w:szCs w:val="28"/>
    </w:rPr>
  </w:style>
  <w:style w:type="paragraph" w:styleId="3">
    <w:name w:val="Body Text Indent"/>
    <w:basedOn w:val="1"/>
    <w:next w:val="2"/>
    <w:link w:val="45"/>
    <w:qFormat/>
    <w:uiPriority w:val="0"/>
    <w:pPr>
      <w:spacing w:after="120"/>
      <w:ind w:left="420" w:leftChars="200"/>
    </w:pPr>
    <w:rPr>
      <w:kern w:val="0"/>
      <w:sz w:val="24"/>
      <w:szCs w:val="20"/>
    </w:rPr>
  </w:style>
  <w:style w:type="paragraph" w:styleId="8">
    <w:name w:val="table of authorities"/>
    <w:basedOn w:val="1"/>
    <w:next w:val="1"/>
    <w:qFormat/>
    <w:locked/>
    <w:uiPriority w:val="0"/>
    <w:pPr>
      <w:ind w:left="420" w:leftChars="200" w:firstLine="0"/>
    </w:pPr>
  </w:style>
  <w:style w:type="paragraph" w:styleId="9">
    <w:name w:val="Normal Indent"/>
    <w:basedOn w:val="1"/>
    <w:qFormat/>
    <w:locked/>
    <w:uiPriority w:val="0"/>
    <w:pPr>
      <w:spacing w:line="520" w:lineRule="exact"/>
      <w:ind w:firstLine="624"/>
    </w:pPr>
    <w:rPr>
      <w:sz w:val="28"/>
    </w:rPr>
  </w:style>
  <w:style w:type="paragraph" w:styleId="10">
    <w:name w:val="caption"/>
    <w:basedOn w:val="1"/>
    <w:next w:val="1"/>
    <w:unhideWhenUsed/>
    <w:qFormat/>
    <w:locked/>
    <w:uiPriority w:val="0"/>
    <w:rPr>
      <w:rFonts w:ascii="Cambria" w:hAnsi="Cambria" w:eastAsia="黑体"/>
      <w:sz w:val="20"/>
    </w:rPr>
  </w:style>
  <w:style w:type="paragraph" w:styleId="11">
    <w:name w:val="annotation text"/>
    <w:basedOn w:val="1"/>
    <w:link w:val="42"/>
    <w:semiHidden/>
    <w:qFormat/>
    <w:uiPriority w:val="0"/>
    <w:pPr>
      <w:jc w:val="left"/>
    </w:pPr>
    <w:rPr>
      <w:kern w:val="0"/>
      <w:sz w:val="24"/>
      <w:szCs w:val="20"/>
    </w:rPr>
  </w:style>
  <w:style w:type="paragraph" w:styleId="12">
    <w:name w:val="Body Text"/>
    <w:basedOn w:val="1"/>
    <w:next w:val="13"/>
    <w:link w:val="43"/>
    <w:qFormat/>
    <w:uiPriority w:val="0"/>
    <w:pPr>
      <w:widowControl/>
      <w:snapToGrid w:val="0"/>
      <w:spacing w:before="60" w:after="160" w:line="259" w:lineRule="auto"/>
      <w:ind w:right="113"/>
    </w:pPr>
    <w:rPr>
      <w:kern w:val="0"/>
      <w:sz w:val="18"/>
      <w:szCs w:val="20"/>
    </w:rPr>
  </w:style>
  <w:style w:type="paragraph" w:customStyle="1" w:styleId="13">
    <w:name w:val="Normal (Web)1"/>
    <w:basedOn w:val="1"/>
    <w:next w:val="14"/>
    <w:qFormat/>
    <w:uiPriority w:val="0"/>
    <w:pPr>
      <w:widowControl/>
      <w:jc w:val="left"/>
    </w:pPr>
    <w:rPr>
      <w:rFonts w:ascii="宋体" w:cs="Times New Roman"/>
      <w:kern w:val="0"/>
      <w:sz w:val="24"/>
      <w:szCs w:val="21"/>
    </w:rPr>
  </w:style>
  <w:style w:type="paragraph" w:customStyle="1" w:styleId="14">
    <w:name w:val="Date1"/>
    <w:basedOn w:val="1"/>
    <w:next w:val="1"/>
    <w:qFormat/>
    <w:uiPriority w:val="0"/>
    <w:pPr>
      <w:ind w:left="2500" w:leftChars="2500"/>
    </w:pPr>
  </w:style>
  <w:style w:type="paragraph" w:styleId="15">
    <w:name w:val="Plain Text"/>
    <w:basedOn w:val="1"/>
    <w:next w:val="1"/>
    <w:qFormat/>
    <w:locked/>
    <w:uiPriority w:val="0"/>
    <w:rPr>
      <w:rFonts w:ascii="宋体" w:hAnsi="Courier New" w:cs="Courier New"/>
      <w:szCs w:val="21"/>
    </w:rPr>
  </w:style>
  <w:style w:type="paragraph" w:styleId="16">
    <w:name w:val="List Bullet 5"/>
    <w:basedOn w:val="1"/>
    <w:qFormat/>
    <w:locked/>
    <w:uiPriority w:val="0"/>
    <w:pPr>
      <w:numPr>
        <w:ilvl w:val="0"/>
        <w:numId w:val="1"/>
      </w:numPr>
    </w:pPr>
  </w:style>
  <w:style w:type="paragraph" w:styleId="17">
    <w:name w:val="Date"/>
    <w:basedOn w:val="1"/>
    <w:next w:val="1"/>
    <w:link w:val="46"/>
    <w:qFormat/>
    <w:uiPriority w:val="0"/>
    <w:pPr>
      <w:ind w:left="100" w:leftChars="2500"/>
    </w:pPr>
    <w:rPr>
      <w:kern w:val="0"/>
      <w:sz w:val="24"/>
      <w:szCs w:val="20"/>
    </w:rPr>
  </w:style>
  <w:style w:type="paragraph" w:styleId="18">
    <w:name w:val="Body Text Indent 2"/>
    <w:basedOn w:val="1"/>
    <w:next w:val="1"/>
    <w:qFormat/>
    <w:locked/>
    <w:uiPriority w:val="0"/>
    <w:pPr>
      <w:spacing w:line="400" w:lineRule="exact"/>
      <w:ind w:firstLine="480" w:firstLineChars="200"/>
    </w:pPr>
    <w:rPr>
      <w:rFonts w:ascii="Times New Roman" w:hAnsi="Times New Roman" w:eastAsia="宋体" w:cs="Times New Roman"/>
      <w:sz w:val="24"/>
    </w:rPr>
  </w:style>
  <w:style w:type="paragraph" w:styleId="19">
    <w:name w:val="Balloon Text"/>
    <w:basedOn w:val="1"/>
    <w:link w:val="47"/>
    <w:semiHidden/>
    <w:qFormat/>
    <w:uiPriority w:val="0"/>
    <w:rPr>
      <w:kern w:val="0"/>
      <w:sz w:val="18"/>
      <w:szCs w:val="20"/>
    </w:rPr>
  </w:style>
  <w:style w:type="paragraph" w:styleId="20">
    <w:name w:val="footer"/>
    <w:basedOn w:val="1"/>
    <w:link w:val="48"/>
    <w:qFormat/>
    <w:uiPriority w:val="99"/>
    <w:pPr>
      <w:tabs>
        <w:tab w:val="center" w:pos="4153"/>
        <w:tab w:val="right" w:pos="8306"/>
      </w:tabs>
      <w:snapToGrid w:val="0"/>
      <w:jc w:val="left"/>
    </w:pPr>
    <w:rPr>
      <w:kern w:val="0"/>
      <w:sz w:val="18"/>
      <w:szCs w:val="20"/>
    </w:rPr>
  </w:style>
  <w:style w:type="paragraph" w:styleId="21">
    <w:name w:val="header"/>
    <w:basedOn w:val="1"/>
    <w:next w:val="12"/>
    <w:link w:val="49"/>
    <w:qFormat/>
    <w:uiPriority w:val="0"/>
    <w:pPr>
      <w:pBdr>
        <w:bottom w:val="single" w:color="auto" w:sz="6" w:space="1"/>
      </w:pBdr>
      <w:tabs>
        <w:tab w:val="center" w:pos="4153"/>
        <w:tab w:val="right" w:pos="8306"/>
      </w:tabs>
      <w:snapToGrid w:val="0"/>
      <w:jc w:val="center"/>
    </w:pPr>
    <w:rPr>
      <w:kern w:val="0"/>
      <w:sz w:val="18"/>
      <w:szCs w:val="20"/>
    </w:rPr>
  </w:style>
  <w:style w:type="paragraph" w:styleId="22">
    <w:name w:val="toc 1"/>
    <w:basedOn w:val="1"/>
    <w:next w:val="1"/>
    <w:qFormat/>
    <w:locked/>
    <w:uiPriority w:val="0"/>
    <w:pPr>
      <w:spacing w:line="360" w:lineRule="auto"/>
    </w:pPr>
    <w:rPr>
      <w:rFonts w:ascii="Times New Roman" w:hAnsi="Times New Roman" w:eastAsia="宋体" w:cs="Times New Roman"/>
      <w:b/>
      <w:sz w:val="24"/>
    </w:rPr>
  </w:style>
  <w:style w:type="paragraph" w:styleId="23">
    <w:name w:val="table of figures"/>
    <w:basedOn w:val="1"/>
    <w:next w:val="1"/>
    <w:unhideWhenUsed/>
    <w:qFormat/>
    <w:locked/>
    <w:uiPriority w:val="99"/>
    <w:pPr>
      <w:ind w:left="200" w:leftChars="200" w:hanging="200" w:hangingChars="200"/>
    </w:pPr>
    <w:rPr>
      <w:szCs w:val="20"/>
    </w:rPr>
  </w:style>
  <w:style w:type="paragraph" w:styleId="24">
    <w:name w:val="toc 2"/>
    <w:basedOn w:val="1"/>
    <w:next w:val="1"/>
    <w:qFormat/>
    <w:locked/>
    <w:uiPriority w:val="0"/>
    <w:pPr>
      <w:ind w:left="420" w:leftChars="200"/>
    </w:pPr>
  </w:style>
  <w:style w:type="paragraph" w:styleId="25">
    <w:name w:val="Message Header"/>
    <w:basedOn w:val="1"/>
    <w:qFormat/>
    <w:locked/>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cs="Arial"/>
      <w:shd w:val="pct20" w:color="auto" w:fill="auto"/>
    </w:rPr>
  </w:style>
  <w:style w:type="paragraph" w:styleId="26">
    <w:name w:val="Normal (Web)"/>
    <w:basedOn w:val="1"/>
    <w:link w:val="50"/>
    <w:qFormat/>
    <w:uiPriority w:val="0"/>
    <w:pPr>
      <w:widowControl/>
      <w:spacing w:before="100" w:beforeAutospacing="1" w:after="100" w:afterAutospacing="1"/>
      <w:jc w:val="left"/>
    </w:pPr>
    <w:rPr>
      <w:rFonts w:ascii="宋体" w:hAnsi="宋体"/>
      <w:kern w:val="0"/>
      <w:sz w:val="24"/>
      <w:szCs w:val="20"/>
    </w:rPr>
  </w:style>
  <w:style w:type="paragraph" w:styleId="27">
    <w:name w:val="annotation subject"/>
    <w:basedOn w:val="11"/>
    <w:next w:val="11"/>
    <w:link w:val="51"/>
    <w:semiHidden/>
    <w:qFormat/>
    <w:uiPriority w:val="0"/>
    <w:rPr>
      <w:b/>
      <w:sz w:val="24"/>
      <w:szCs w:val="20"/>
    </w:rPr>
  </w:style>
  <w:style w:type="paragraph" w:styleId="28">
    <w:name w:val="Body Text First Indent"/>
    <w:basedOn w:val="12"/>
    <w:next w:val="29"/>
    <w:qFormat/>
    <w:locked/>
    <w:uiPriority w:val="0"/>
    <w:pPr>
      <w:ind w:firstLine="420" w:firstLineChars="100"/>
    </w:pPr>
  </w:style>
  <w:style w:type="paragraph" w:customStyle="1" w:styleId="29">
    <w:name w:val="样式 正文首行缩进 + 首行缩进:  2 字符1"/>
    <w:basedOn w:val="28"/>
    <w:next w:val="22"/>
    <w:qFormat/>
    <w:uiPriority w:val="0"/>
    <w:pPr>
      <w:spacing w:after="0" w:line="360" w:lineRule="auto"/>
      <w:ind w:firstLine="480" w:firstLineChars="200"/>
    </w:pPr>
    <w:rPr>
      <w:sz w:val="24"/>
      <w:szCs w:val="24"/>
    </w:rPr>
  </w:style>
  <w:style w:type="table" w:styleId="31">
    <w:name w:val="Table Grid"/>
    <w:basedOn w:val="30"/>
    <w:qFormat/>
    <w:uiPriority w:val="0"/>
    <w:rPr>
      <w:lang w:val="en-US" w:eastAsia="zh-CN" w:bidi="ar-SA"/>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3">
    <w:name w:val="page number"/>
    <w:basedOn w:val="32"/>
    <w:qFormat/>
    <w:locked/>
    <w:uiPriority w:val="0"/>
  </w:style>
  <w:style w:type="character" w:styleId="34">
    <w:name w:val="Hyperlink"/>
    <w:basedOn w:val="32"/>
    <w:qFormat/>
    <w:locked/>
    <w:uiPriority w:val="0"/>
    <w:rPr>
      <w:color w:val="333333"/>
      <w:u w:val="single"/>
    </w:rPr>
  </w:style>
  <w:style w:type="character" w:styleId="35">
    <w:name w:val="annotation reference"/>
    <w:semiHidden/>
    <w:qFormat/>
    <w:uiPriority w:val="0"/>
    <w:rPr>
      <w:sz w:val="21"/>
    </w:rPr>
  </w:style>
  <w:style w:type="paragraph" w:customStyle="1" w:styleId="36">
    <w:name w:val="样式 正文11 + 首行缩进:  2 字符"/>
    <w:basedOn w:val="37"/>
    <w:qFormat/>
    <w:uiPriority w:val="0"/>
    <w:pPr>
      <w:spacing w:line="500" w:lineRule="exact"/>
      <w:ind w:firstLine="560" w:firstLineChars="200"/>
    </w:pPr>
    <w:rPr>
      <w:rFonts w:ascii="宋体" w:hAnsi="宋体" w:cs="宋体"/>
      <w:color w:val="FF0000"/>
      <w:sz w:val="28"/>
      <w:szCs w:val="20"/>
    </w:rPr>
  </w:style>
  <w:style w:type="paragraph" w:customStyle="1" w:styleId="37">
    <w:name w:val="O.K.1"/>
    <w:basedOn w:val="5"/>
    <w:qFormat/>
    <w:uiPriority w:val="0"/>
    <w:pPr>
      <w:ind w:firstLine="482"/>
    </w:pPr>
  </w:style>
  <w:style w:type="paragraph" w:customStyle="1" w:styleId="38">
    <w:name w:val="Default"/>
    <w:basedOn w:val="39"/>
    <w:next w:val="1"/>
    <w:qFormat/>
    <w:uiPriority w:val="99"/>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39">
    <w:name w:val="纯文本1"/>
    <w:basedOn w:val="1"/>
    <w:qFormat/>
    <w:uiPriority w:val="0"/>
    <w:pPr>
      <w:adjustRightInd w:val="0"/>
    </w:pPr>
    <w:rPr>
      <w:rFonts w:ascii="宋体" w:hAnsi="Courier New"/>
      <w:szCs w:val="20"/>
    </w:rPr>
  </w:style>
  <w:style w:type="paragraph" w:customStyle="1" w:styleId="40">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paragraph" w:customStyle="1" w:styleId="41">
    <w:name w:val="BodyText"/>
    <w:basedOn w:val="1"/>
    <w:qFormat/>
    <w:uiPriority w:val="0"/>
    <w:pPr>
      <w:spacing w:after="120"/>
      <w:jc w:val="both"/>
      <w:textAlignment w:val="baseline"/>
    </w:pPr>
  </w:style>
  <w:style w:type="character" w:customStyle="1" w:styleId="42">
    <w:name w:val="批注文字 Char"/>
    <w:link w:val="11"/>
    <w:qFormat/>
    <w:locked/>
    <w:uiPriority w:val="0"/>
    <w:rPr>
      <w:rFonts w:ascii="Times New Roman" w:hAnsi="Times New Roman" w:eastAsia="宋体"/>
      <w:sz w:val="24"/>
    </w:rPr>
  </w:style>
  <w:style w:type="character" w:customStyle="1" w:styleId="43">
    <w:name w:val="正文文本 Char"/>
    <w:link w:val="12"/>
    <w:qFormat/>
    <w:locked/>
    <w:uiPriority w:val="0"/>
    <w:rPr>
      <w:sz w:val="18"/>
    </w:rPr>
  </w:style>
  <w:style w:type="paragraph" w:customStyle="1" w:styleId="44">
    <w:name w:val="xl27"/>
    <w:basedOn w:val="1"/>
    <w:qFormat/>
    <w:uiPriority w:val="0"/>
    <w:pPr>
      <w:widowControl/>
      <w:pBdr>
        <w:bottom w:val="single" w:color="auto" w:sz="4" w:space="0"/>
        <w:right w:val="single" w:color="auto" w:sz="4" w:space="0"/>
      </w:pBdr>
      <w:spacing w:before="100" w:beforeAutospacing="1" w:after="100" w:afterAutospacing="1"/>
      <w:jc w:val="center"/>
    </w:pPr>
    <w:rPr>
      <w:kern w:val="0"/>
      <w:szCs w:val="21"/>
    </w:rPr>
  </w:style>
  <w:style w:type="character" w:customStyle="1" w:styleId="45">
    <w:name w:val="正文文本缩进 Char"/>
    <w:link w:val="3"/>
    <w:semiHidden/>
    <w:qFormat/>
    <w:locked/>
    <w:uiPriority w:val="0"/>
    <w:rPr>
      <w:rFonts w:ascii="Times New Roman" w:hAnsi="Times New Roman" w:eastAsia="宋体"/>
      <w:sz w:val="24"/>
    </w:rPr>
  </w:style>
  <w:style w:type="character" w:customStyle="1" w:styleId="46">
    <w:name w:val="日期 Char"/>
    <w:link w:val="17"/>
    <w:qFormat/>
    <w:locked/>
    <w:uiPriority w:val="0"/>
    <w:rPr>
      <w:rFonts w:ascii="Times New Roman" w:hAnsi="Times New Roman" w:eastAsia="宋体"/>
      <w:sz w:val="24"/>
    </w:rPr>
  </w:style>
  <w:style w:type="character" w:customStyle="1" w:styleId="47">
    <w:name w:val="批注框文本 Char"/>
    <w:link w:val="19"/>
    <w:semiHidden/>
    <w:qFormat/>
    <w:locked/>
    <w:uiPriority w:val="0"/>
    <w:rPr>
      <w:rFonts w:ascii="Times New Roman" w:hAnsi="Times New Roman" w:eastAsia="宋体"/>
      <w:sz w:val="18"/>
    </w:rPr>
  </w:style>
  <w:style w:type="character" w:customStyle="1" w:styleId="48">
    <w:name w:val="页脚 Char"/>
    <w:link w:val="20"/>
    <w:qFormat/>
    <w:locked/>
    <w:uiPriority w:val="99"/>
    <w:rPr>
      <w:sz w:val="18"/>
    </w:rPr>
  </w:style>
  <w:style w:type="character" w:customStyle="1" w:styleId="49">
    <w:name w:val="页眉 Char"/>
    <w:link w:val="21"/>
    <w:qFormat/>
    <w:locked/>
    <w:uiPriority w:val="0"/>
    <w:rPr>
      <w:sz w:val="18"/>
    </w:rPr>
  </w:style>
  <w:style w:type="character" w:customStyle="1" w:styleId="50">
    <w:name w:val="普通(网站) Char"/>
    <w:link w:val="26"/>
    <w:qFormat/>
    <w:locked/>
    <w:uiPriority w:val="0"/>
    <w:rPr>
      <w:rFonts w:ascii="宋体" w:hAnsi="宋体" w:eastAsia="宋体"/>
      <w:sz w:val="24"/>
    </w:rPr>
  </w:style>
  <w:style w:type="character" w:customStyle="1" w:styleId="51">
    <w:name w:val="批注主题 Char"/>
    <w:link w:val="27"/>
    <w:semiHidden/>
    <w:qFormat/>
    <w:locked/>
    <w:uiPriority w:val="0"/>
    <w:rPr>
      <w:rFonts w:ascii="Times New Roman" w:hAnsi="Times New Roman" w:eastAsia="宋体"/>
      <w:b/>
      <w:kern w:val="2"/>
      <w:sz w:val="24"/>
    </w:rPr>
  </w:style>
  <w:style w:type="character" w:customStyle="1" w:styleId="52">
    <w:name w:val="正文文本 字符1"/>
    <w:semiHidden/>
    <w:qFormat/>
    <w:uiPriority w:val="0"/>
    <w:rPr>
      <w:rFonts w:ascii="Times New Roman" w:hAnsi="Times New Roman" w:eastAsia="宋体"/>
      <w:sz w:val="24"/>
    </w:rPr>
  </w:style>
  <w:style w:type="character" w:customStyle="1" w:styleId="53">
    <w:name w:val="日期 字符"/>
    <w:semiHidden/>
    <w:qFormat/>
    <w:uiPriority w:val="0"/>
    <w:rPr>
      <w:rFonts w:ascii="Times New Roman" w:hAnsi="Times New Roman" w:eastAsia="宋体"/>
      <w:sz w:val="24"/>
    </w:rPr>
  </w:style>
  <w:style w:type="character" w:customStyle="1" w:styleId="54">
    <w:name w:val="页脚 字符"/>
    <w:basedOn w:val="32"/>
    <w:qFormat/>
    <w:uiPriority w:val="99"/>
  </w:style>
  <w:style w:type="character" w:customStyle="1" w:styleId="55">
    <w:name w:val="批注文字 字符1"/>
    <w:semiHidden/>
    <w:qFormat/>
    <w:uiPriority w:val="0"/>
    <w:rPr>
      <w:rFonts w:ascii="Times New Roman" w:hAnsi="Times New Roman" w:eastAsia="宋体"/>
      <w:sz w:val="24"/>
    </w:rPr>
  </w:style>
  <w:style w:type="character" w:customStyle="1" w:styleId="56">
    <w:name w:val="表格 Char"/>
    <w:link w:val="57"/>
    <w:qFormat/>
    <w:locked/>
    <w:uiPriority w:val="0"/>
    <w:rPr>
      <w:rFonts w:ascii="宋体"/>
      <w:sz w:val="21"/>
    </w:rPr>
  </w:style>
  <w:style w:type="paragraph" w:customStyle="1" w:styleId="57">
    <w:name w:val="表格"/>
    <w:basedOn w:val="9"/>
    <w:next w:val="9"/>
    <w:link w:val="56"/>
    <w:qFormat/>
    <w:uiPriority w:val="0"/>
    <w:pPr>
      <w:adjustRightInd w:val="0"/>
      <w:snapToGrid w:val="0"/>
      <w:spacing w:beforeLines="10" w:afterLines="10" w:line="259" w:lineRule="auto"/>
      <w:jc w:val="center"/>
    </w:pPr>
    <w:rPr>
      <w:rFonts w:ascii="宋体"/>
      <w:kern w:val="0"/>
      <w:szCs w:val="20"/>
    </w:rPr>
  </w:style>
  <w:style w:type="paragraph" w:customStyle="1" w:styleId="58">
    <w:name w:val="正文缩进2"/>
    <w:basedOn w:val="1"/>
    <w:qFormat/>
    <w:uiPriority w:val="0"/>
    <w:pPr>
      <w:spacing w:line="520" w:lineRule="exact"/>
      <w:ind w:firstLine="624"/>
    </w:pPr>
    <w:rPr>
      <w:sz w:val="28"/>
    </w:rPr>
  </w:style>
  <w:style w:type="paragraph" w:customStyle="1" w:styleId="59">
    <w:name w:val="【表头】"/>
    <w:basedOn w:val="1"/>
    <w:qFormat/>
    <w:uiPriority w:val="0"/>
    <w:pPr>
      <w:spacing w:line="500" w:lineRule="atLeast"/>
      <w:ind w:firstLine="425" w:firstLineChars="177"/>
      <w:jc w:val="center"/>
    </w:pPr>
    <w:rPr>
      <w:rFonts w:ascii="宋体" w:hAnsi="宋体" w:cs="Times New Roman"/>
      <w:b/>
      <w:kern w:val="0"/>
      <w:sz w:val="20"/>
      <w:szCs w:val="21"/>
    </w:rPr>
  </w:style>
  <w:style w:type="paragraph" w:customStyle="1" w:styleId="60">
    <w:name w:val="【表中文字】"/>
    <w:basedOn w:val="1"/>
    <w:qFormat/>
    <w:uiPriority w:val="0"/>
    <w:pPr>
      <w:jc w:val="center"/>
    </w:pPr>
    <w:rPr>
      <w:rFonts w:cs="Times New Roman"/>
    </w:rPr>
  </w:style>
  <w:style w:type="paragraph" w:customStyle="1" w:styleId="61">
    <w:name w:val="普通(网站)2"/>
    <w:basedOn w:val="1"/>
    <w:qFormat/>
    <w:uiPriority w:val="0"/>
    <w:pPr>
      <w:widowControl/>
      <w:spacing w:before="100" w:beforeAutospacing="1" w:after="100" w:afterAutospacing="1"/>
      <w:jc w:val="left"/>
    </w:pPr>
    <w:rPr>
      <w:rFonts w:ascii="宋体" w:hAnsi="宋体"/>
      <w:sz w:val="24"/>
      <w:szCs w:val="20"/>
    </w:rPr>
  </w:style>
  <w:style w:type="paragraph" w:customStyle="1" w:styleId="62">
    <w:name w:val="正文缩进1"/>
    <w:basedOn w:val="1"/>
    <w:qFormat/>
    <w:uiPriority w:val="0"/>
    <w:pPr>
      <w:spacing w:line="520" w:lineRule="exact"/>
      <w:ind w:firstLine="624"/>
    </w:pPr>
    <w:rPr>
      <w:sz w:val="28"/>
    </w:rPr>
  </w:style>
  <w:style w:type="paragraph" w:customStyle="1" w:styleId="63">
    <w:name w:val="页脚1"/>
    <w:basedOn w:val="1"/>
    <w:qFormat/>
    <w:uiPriority w:val="0"/>
    <w:pPr>
      <w:tabs>
        <w:tab w:val="center" w:pos="4153"/>
        <w:tab w:val="right" w:pos="8306"/>
      </w:tabs>
      <w:snapToGrid w:val="0"/>
      <w:jc w:val="left"/>
    </w:pPr>
    <w:rPr>
      <w:sz w:val="18"/>
    </w:rPr>
  </w:style>
  <w:style w:type="paragraph" w:customStyle="1" w:styleId="64">
    <w:name w:val="表表头"/>
    <w:basedOn w:val="1"/>
    <w:qFormat/>
    <w:uiPriority w:val="0"/>
    <w:pPr>
      <w:ind w:firstLine="0" w:firstLineChars="0"/>
      <w:jc w:val="center"/>
    </w:pPr>
    <w:rPr>
      <w:rFonts w:eastAsia="黑体"/>
    </w:rPr>
  </w:style>
  <w:style w:type="paragraph" w:customStyle="1" w:styleId="65">
    <w:name w:val="p0"/>
    <w:basedOn w:val="1"/>
    <w:qFormat/>
    <w:uiPriority w:val="0"/>
    <w:pPr>
      <w:widowControl/>
    </w:pPr>
    <w:rPr>
      <w:kern w:val="0"/>
      <w:szCs w:val="21"/>
    </w:rPr>
  </w:style>
  <w:style w:type="paragraph" w:customStyle="1" w:styleId="66">
    <w:name w:val="空行"/>
    <w:basedOn w:val="1"/>
    <w:next w:val="28"/>
    <w:qFormat/>
    <w:uiPriority w:val="0"/>
    <w:pPr>
      <w:topLinePunct/>
      <w:adjustRightInd w:val="0"/>
      <w:snapToGrid w:val="0"/>
      <w:jc w:val="center"/>
    </w:pPr>
    <w:rPr>
      <w:kern w:val="0"/>
      <w:sz w:val="28"/>
    </w:rPr>
  </w:style>
  <w:style w:type="paragraph" w:customStyle="1" w:styleId="6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68">
    <w:name w:val="内容"/>
    <w:basedOn w:val="1"/>
    <w:qFormat/>
    <w:uiPriority w:val="0"/>
    <w:pPr>
      <w:spacing w:before="156" w:beforeLines="50" w:after="156" w:afterLines="50"/>
      <w:ind w:firstLine="200" w:firstLineChars="200"/>
    </w:pPr>
    <w:rPr>
      <w:rFonts w:cs="Times New Roman"/>
      <w:color w:val="000000"/>
      <w:sz w:val="24"/>
    </w:rPr>
  </w:style>
  <w:style w:type="paragraph" w:customStyle="1" w:styleId="69">
    <w:name w:val="样式3"/>
    <w:basedOn w:val="1"/>
    <w:qFormat/>
    <w:uiPriority w:val="0"/>
    <w:pPr>
      <w:adjustRightInd w:val="0"/>
      <w:snapToGrid w:val="0"/>
      <w:spacing w:before="10" w:beforeLines="10" w:after="10" w:afterLines="10" w:line="240" w:lineRule="auto"/>
      <w:ind w:firstLine="0" w:firstLineChars="0"/>
      <w:jc w:val="center"/>
    </w:pPr>
    <w:rPr>
      <w:rFonts w:ascii="宋体" w:hAnsi="宋体" w:eastAsia="宋体"/>
    </w:rPr>
  </w:style>
  <w:style w:type="paragraph" w:customStyle="1" w:styleId="70">
    <w:name w:val="报告书正文"/>
    <w:basedOn w:val="18"/>
    <w:qFormat/>
    <w:uiPriority w:val="0"/>
    <w:pPr>
      <w:adjustRightInd w:val="0"/>
      <w:snapToGrid w:val="0"/>
      <w:spacing w:line="360" w:lineRule="auto"/>
      <w:ind w:firstLine="425"/>
      <w:textAlignment w:val="baseline"/>
    </w:pPr>
    <w:rPr>
      <w:rFonts w:ascii="Arial" w:hAnsi="Arial" w:eastAsia="宋体" w:cs="Times New Roman"/>
    </w:rPr>
  </w:style>
  <w:style w:type="paragraph" w:customStyle="1" w:styleId="71">
    <w:name w:val="_Style 4"/>
    <w:qFormat/>
    <w:uiPriority w:val="0"/>
    <w:pPr>
      <w:widowControl w:val="0"/>
      <w:spacing w:line="440" w:lineRule="exact"/>
      <w:jc w:val="both"/>
    </w:pPr>
    <w:rPr>
      <w:rFonts w:ascii="Times New Roman" w:hAnsi="Times New Roman" w:eastAsia="仿宋_GB2312" w:cs="Times New Roman"/>
      <w:kern w:val="2"/>
      <w:sz w:val="24"/>
      <w:szCs w:val="24"/>
      <w:lang w:val="en-US" w:eastAsia="zh-CN" w:bidi="ar-SA"/>
    </w:rPr>
  </w:style>
  <w:style w:type="paragraph" w:customStyle="1" w:styleId="72">
    <w:name w:val="正文----------------"/>
    <w:basedOn w:val="1"/>
    <w:qFormat/>
    <w:uiPriority w:val="0"/>
    <w:pPr>
      <w:spacing w:line="440" w:lineRule="exact"/>
      <w:ind w:firstLine="544" w:firstLineChars="200"/>
    </w:pPr>
    <w:rPr>
      <w:rFonts w:ascii="Times New Roman" w:hAnsi="Times New Roman" w:eastAsia="宋体" w:cs="宋体"/>
      <w:spacing w:val="16"/>
      <w:sz w:val="24"/>
    </w:rPr>
  </w:style>
  <w:style w:type="character" w:customStyle="1" w:styleId="73">
    <w:name w:val="font01"/>
    <w:basedOn w:val="32"/>
    <w:qFormat/>
    <w:uiPriority w:val="0"/>
    <w:rPr>
      <w:rFonts w:hint="eastAsia" w:ascii="宋体" w:hAnsi="宋体" w:eastAsia="宋体" w:cs="宋体"/>
      <w:color w:val="000000"/>
      <w:sz w:val="39"/>
      <w:szCs w:val="39"/>
      <w:u w:val="none"/>
    </w:rPr>
  </w:style>
  <w:style w:type="paragraph" w:customStyle="1" w:styleId="74">
    <w:name w:val="Table Paragraph"/>
    <w:basedOn w:val="1"/>
    <w:qFormat/>
    <w:uiPriority w:val="0"/>
    <w:pPr>
      <w:jc w:val="center"/>
    </w:pPr>
  </w:style>
  <w:style w:type="paragraph" w:customStyle="1" w:styleId="75">
    <w:name w:val="Normal Indent1"/>
    <w:basedOn w:val="1"/>
    <w:qFormat/>
    <w:uiPriority w:val="0"/>
    <w:pPr>
      <w:ind w:firstLine="420"/>
    </w:pPr>
    <w:rPr>
      <w:sz w:val="24"/>
    </w:rPr>
  </w:style>
  <w:style w:type="paragraph" w:customStyle="1" w:styleId="76">
    <w:name w:val="样式1"/>
    <w:basedOn w:val="22"/>
    <w:qFormat/>
    <w:uiPriority w:val="0"/>
    <w:pPr>
      <w:widowControl/>
      <w:tabs>
        <w:tab w:val="right" w:leader="hyphen" w:pos="9060"/>
      </w:tabs>
      <w:spacing w:line="360" w:lineRule="auto"/>
      <w:ind w:firstLine="200" w:firstLineChars="200"/>
      <w:jc w:val="left"/>
    </w:pPr>
    <w:rPr>
      <w:rFonts w:ascii="宋体" w:hAnsi="宋体" w:eastAsia="宋体"/>
      <w:bCs/>
      <w:kern w:val="0"/>
      <w:sz w:val="24"/>
      <w:szCs w:val="20"/>
    </w:rPr>
  </w:style>
  <w:style w:type="paragraph" w:customStyle="1" w:styleId="77">
    <w:name w:val="11111"/>
    <w:basedOn w:val="1"/>
    <w:next w:val="1"/>
    <w:qFormat/>
    <w:uiPriority w:val="0"/>
    <w:pPr>
      <w:spacing w:line="360" w:lineRule="auto"/>
      <w:ind w:firstLine="200" w:firstLineChars="200"/>
    </w:pPr>
    <w:rPr>
      <w:rFonts w:ascii="宋体" w:hAnsi="宋体" w:cs="宋体"/>
      <w:sz w:val="24"/>
    </w:rPr>
  </w:style>
  <w:style w:type="paragraph" w:customStyle="1" w:styleId="78">
    <w:name w:val="正文00"/>
    <w:basedOn w:val="1"/>
    <w:qFormat/>
    <w:uiPriority w:val="0"/>
    <w:pPr>
      <w:widowControl/>
      <w:spacing w:line="425" w:lineRule="atLeast"/>
      <w:ind w:left="107" w:leftChars="51" w:right="124" w:rightChars="59" w:firstLine="480"/>
      <w:textAlignment w:val="baseline"/>
    </w:pPr>
    <w:rPr>
      <w:kern w:val="0"/>
      <w:sz w:val="28"/>
      <w:szCs w:val="24"/>
    </w:rPr>
  </w:style>
  <w:style w:type="character" w:customStyle="1" w:styleId="79">
    <w:name w:val="font21"/>
    <w:basedOn w:val="32"/>
    <w:qFormat/>
    <w:uiPriority w:val="0"/>
    <w:rPr>
      <w:rFonts w:hint="default" w:ascii="Times New Roman" w:hAnsi="Times New Roman" w:cs="Times New Roman"/>
      <w:color w:val="000000"/>
      <w:sz w:val="22"/>
      <w:szCs w:val="22"/>
      <w:u w:val="none"/>
    </w:rPr>
  </w:style>
  <w:style w:type="paragraph" w:customStyle="1" w:styleId="80">
    <w:name w:val="正文11"/>
    <w:qFormat/>
    <w:uiPriority w:val="0"/>
    <w:pPr>
      <w:widowControl w:val="0"/>
      <w:adjustRightInd w:val="0"/>
      <w:spacing w:line="360" w:lineRule="atLeast"/>
    </w:pPr>
    <w:rPr>
      <w:rFonts w:ascii="宋体" w:hAnsi="Times New Roman" w:eastAsia="宋体" w:cs="Times New Roman"/>
      <w:sz w:val="24"/>
      <w:lang w:val="en-US" w:eastAsia="zh-CN" w:bidi="ar-SA"/>
    </w:rPr>
  </w:style>
  <w:style w:type="paragraph" w:customStyle="1" w:styleId="81">
    <w:name w:val="a正文"/>
    <w:basedOn w:val="1"/>
    <w:qFormat/>
    <w:uiPriority w:val="0"/>
    <w:pPr>
      <w:spacing w:line="520" w:lineRule="exact"/>
      <w:ind w:firstLine="200" w:firstLineChars="200"/>
    </w:pPr>
    <w:rPr>
      <w:rFonts w:ascii="Times New Roman" w:hAnsi="Times New Roman" w:eastAsia="宋体"/>
      <w:kern w:val="0"/>
      <w:sz w:val="24"/>
      <w:szCs w:val="21"/>
    </w:rPr>
  </w:style>
  <w:style w:type="paragraph" w:customStyle="1" w:styleId="82">
    <w:name w:val="WPSOffice手动目录 1"/>
    <w:qFormat/>
    <w:uiPriority w:val="0"/>
    <w:pPr>
      <w:ind w:leftChars="0"/>
    </w:pPr>
    <w:rPr>
      <w:rFonts w:ascii="Times New Roman" w:hAnsi="Times New Roman" w:eastAsia="宋体" w:cs="Times New Roman"/>
      <w:sz w:val="20"/>
      <w:szCs w:val="20"/>
    </w:rPr>
  </w:style>
  <w:style w:type="character" w:customStyle="1" w:styleId="83">
    <w:name w:val="NormalCharacter"/>
    <w:link w:val="1"/>
    <w:qFormat/>
    <w:uiPriority w:val="0"/>
    <w:rPr>
      <w:rFonts w:ascii="Times New Roman" w:hAnsi="Times New Roman" w:eastAsia="宋体" w:cs="Times New Roman"/>
      <w:kern w:val="2"/>
      <w:sz w:val="21"/>
      <w:szCs w:val="24"/>
      <w:lang w:val="en-US" w:eastAsia="zh-CN" w:bidi="ar-SA"/>
    </w:rPr>
  </w:style>
  <w:style w:type="paragraph" w:customStyle="1" w:styleId="84">
    <w:name w:val="报告表格"/>
    <w:basedOn w:val="1"/>
    <w:next w:val="85"/>
    <w:qFormat/>
    <w:uiPriority w:val="0"/>
    <w:pPr>
      <w:autoSpaceDE w:val="0"/>
      <w:autoSpaceDN w:val="0"/>
      <w:adjustRightInd w:val="0"/>
      <w:spacing w:line="240" w:lineRule="auto"/>
      <w:ind w:firstLine="0" w:firstLineChars="0"/>
      <w:jc w:val="center"/>
      <w:textAlignment w:val="bottom"/>
    </w:pPr>
    <w:rPr>
      <w:kern w:val="0"/>
      <w:sz w:val="21"/>
      <w:szCs w:val="21"/>
    </w:rPr>
  </w:style>
  <w:style w:type="paragraph" w:customStyle="1" w:styleId="85">
    <w:name w:val="报告书"/>
    <w:basedOn w:val="1"/>
    <w:qFormat/>
    <w:uiPriority w:val="0"/>
    <w:pPr>
      <w:autoSpaceDE w:val="0"/>
      <w:autoSpaceDN w:val="0"/>
      <w:adjustRightInd w:val="0"/>
      <w:ind w:firstLine="505"/>
      <w:jc w:val="left"/>
      <w:textAlignment w:val="bottom"/>
    </w:pPr>
    <w:rPr>
      <w:kern w:val="0"/>
    </w:rPr>
  </w:style>
  <w:style w:type="paragraph" w:customStyle="1" w:styleId="86">
    <w:name w:val="样式 黑体 居中 行距: 1.5 倍行距"/>
    <w:basedOn w:val="1"/>
    <w:qFormat/>
    <w:uiPriority w:val="0"/>
    <w:pPr>
      <w:spacing w:line="360" w:lineRule="auto"/>
      <w:jc w:val="center"/>
    </w:pPr>
    <w:rPr>
      <w:rFonts w:ascii="黑体" w:hAnsi="黑体" w:eastAsia="黑体"/>
      <w:kern w:val="0"/>
      <w:sz w:val="24"/>
      <w:szCs w:val="20"/>
    </w:rPr>
  </w:style>
  <w:style w:type="paragraph" w:customStyle="1" w:styleId="87">
    <w:name w:val="环评报告正文"/>
    <w:basedOn w:val="1"/>
    <w:qFormat/>
    <w:uiPriority w:val="0"/>
    <w:pPr>
      <w:spacing w:line="360" w:lineRule="auto"/>
      <w:ind w:firstLine="480" w:firstLineChars="200"/>
    </w:pPr>
    <w:rPr>
      <w:rFonts w:ascii="宋体" w:hAnsi="宋体"/>
      <w:bCs/>
      <w:sz w:val="24"/>
      <w:szCs w:val="20"/>
    </w:rPr>
  </w:style>
  <w:style w:type="paragraph" w:customStyle="1" w:styleId="88">
    <w:name w:val="样式"/>
    <w:basedOn w:val="1"/>
    <w:next w:val="1"/>
    <w:qFormat/>
    <w:uiPriority w:val="0"/>
    <w:pPr>
      <w:snapToGrid/>
      <w:ind w:firstLine="480"/>
    </w:pPr>
    <w:rPr>
      <w:rFonts w:ascii="宋体" w:hAnsi="宋体" w:eastAsia="宋体" w:cs="宋体"/>
      <w:kern w:val="10"/>
      <w:szCs w:val="20"/>
    </w:rPr>
  </w:style>
  <w:style w:type="paragraph" w:customStyle="1" w:styleId="89">
    <w:name w:val="表格填充项"/>
    <w:basedOn w:val="1"/>
    <w:qFormat/>
    <w:uiPriority w:val="0"/>
    <w:pPr>
      <w:spacing w:line="240" w:lineRule="atLeast"/>
      <w:jc w:val="center"/>
    </w:pPr>
    <w:rPr>
      <w:rFonts w:ascii="宋体" w:hAnsi="宋体" w:cs="Times New Roman"/>
      <w:b/>
      <w:szCs w:val="24"/>
    </w:rPr>
  </w:style>
  <w:style w:type="paragraph" w:customStyle="1" w:styleId="90">
    <w:name w:val="TOC2"/>
    <w:basedOn w:val="1"/>
    <w:next w:val="1"/>
    <w:qFormat/>
    <w:uiPriority w:val="0"/>
    <w:pPr>
      <w:widowControl/>
      <w:spacing w:after="100" w:line="276" w:lineRule="auto"/>
      <w:ind w:left="220"/>
      <w:jc w:val="left"/>
      <w:textAlignment w:val="baseline"/>
    </w:pPr>
    <w:rPr>
      <w:rFonts w:ascii="Calibri" w:hAnsi="Calibri"/>
      <w:kern w:val="0"/>
      <w:sz w:val="22"/>
      <w:szCs w:val="22"/>
    </w:rPr>
  </w:style>
  <w:style w:type="paragraph" w:customStyle="1" w:styleId="91">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92">
    <w:name w:val="【正文】"/>
    <w:basedOn w:val="1"/>
    <w:next w:val="25"/>
    <w:qFormat/>
    <w:uiPriority w:val="0"/>
    <w:pPr>
      <w:spacing w:line="360" w:lineRule="auto"/>
      <w:ind w:firstLine="480" w:firstLineChars="200"/>
    </w:pPr>
    <w:rPr>
      <w:sz w:val="24"/>
    </w:rPr>
  </w:style>
  <w:style w:type="paragraph" w:customStyle="1" w:styleId="93">
    <w:name w:val="表头1"/>
    <w:basedOn w:val="94"/>
    <w:next w:val="1"/>
    <w:qFormat/>
    <w:uiPriority w:val="0"/>
  </w:style>
  <w:style w:type="paragraph" w:customStyle="1" w:styleId="94">
    <w:name w:val="表头"/>
    <w:basedOn w:val="95"/>
    <w:next w:val="15"/>
    <w:qFormat/>
    <w:uiPriority w:val="0"/>
    <w:rPr>
      <w:rFonts w:eastAsia="黑体"/>
    </w:rPr>
  </w:style>
  <w:style w:type="paragraph" w:customStyle="1" w:styleId="95">
    <w:name w:val="样式4"/>
    <w:basedOn w:val="1"/>
    <w:qFormat/>
    <w:uiPriority w:val="0"/>
    <w:pPr>
      <w:adjustRightInd w:val="0"/>
      <w:snapToGrid w:val="0"/>
      <w:jc w:val="center"/>
    </w:pPr>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theme" Target="theme/theme1.xml"/><Relationship Id="rId74" Type="http://schemas.openxmlformats.org/officeDocument/2006/relationships/fontTable" Target="fontTable.xml"/><Relationship Id="rId73" Type="http://schemas.openxmlformats.org/officeDocument/2006/relationships/numbering" Target="numbering.xml"/><Relationship Id="rId72" Type="http://schemas.openxmlformats.org/officeDocument/2006/relationships/customXml" Target="../customXml/item1.xml"/><Relationship Id="rId71" Type="http://schemas.openxmlformats.org/officeDocument/2006/relationships/image" Target="media/image59.png"/><Relationship Id="rId70" Type="http://schemas.openxmlformats.org/officeDocument/2006/relationships/image" Target="media/image58.png"/><Relationship Id="rId7" Type="http://schemas.openxmlformats.org/officeDocument/2006/relationships/footer" Target="footer5.xml"/><Relationship Id="rId69" Type="http://schemas.openxmlformats.org/officeDocument/2006/relationships/image" Target="media/image57.png"/><Relationship Id="rId68" Type="http://schemas.openxmlformats.org/officeDocument/2006/relationships/image" Target="media/image56.png"/><Relationship Id="rId67" Type="http://schemas.openxmlformats.org/officeDocument/2006/relationships/image" Target="media/image55.png"/><Relationship Id="rId66" Type="http://schemas.openxmlformats.org/officeDocument/2006/relationships/image" Target="media/image54.png"/><Relationship Id="rId65" Type="http://schemas.openxmlformats.org/officeDocument/2006/relationships/image" Target="media/image53.png"/><Relationship Id="rId64" Type="http://schemas.openxmlformats.org/officeDocument/2006/relationships/image" Target="media/image52.png"/><Relationship Id="rId63" Type="http://schemas.openxmlformats.org/officeDocument/2006/relationships/image" Target="media/image51.png"/><Relationship Id="rId62" Type="http://schemas.openxmlformats.org/officeDocument/2006/relationships/image" Target="media/image50.pn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footer" Target="footer4.xml"/><Relationship Id="rId59" Type="http://schemas.openxmlformats.org/officeDocument/2006/relationships/image" Target="media/image47.png"/><Relationship Id="rId58" Type="http://schemas.openxmlformats.org/officeDocument/2006/relationships/image" Target="media/image46.png"/><Relationship Id="rId57" Type="http://schemas.openxmlformats.org/officeDocument/2006/relationships/image" Target="media/image45.png"/><Relationship Id="rId56" Type="http://schemas.openxmlformats.org/officeDocument/2006/relationships/image" Target="media/image44.png"/><Relationship Id="rId55" Type="http://schemas.openxmlformats.org/officeDocument/2006/relationships/image" Target="media/image43.png"/><Relationship Id="rId54" Type="http://schemas.openxmlformats.org/officeDocument/2006/relationships/image" Target="media/image42.png"/><Relationship Id="rId53" Type="http://schemas.openxmlformats.org/officeDocument/2006/relationships/image" Target="media/image41.jpe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footer" Target="foot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jpe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jpeg"/><Relationship Id="rId40" Type="http://schemas.openxmlformats.org/officeDocument/2006/relationships/image" Target="media/image28.png"/><Relationship Id="rId4" Type="http://schemas.openxmlformats.org/officeDocument/2006/relationships/footer" Target="footer2.xml"/><Relationship Id="rId39" Type="http://schemas.openxmlformats.org/officeDocument/2006/relationships/image" Target="media/image27.jpeg"/><Relationship Id="rId38" Type="http://schemas.openxmlformats.org/officeDocument/2006/relationships/image" Target="media/image26.jpeg"/><Relationship Id="rId37" Type="http://schemas.openxmlformats.org/officeDocument/2006/relationships/image" Target="media/image25.jpeg"/><Relationship Id="rId36" Type="http://schemas.openxmlformats.org/officeDocument/2006/relationships/image" Target="media/image24.jpe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png"/><Relationship Id="rId3" Type="http://schemas.openxmlformats.org/officeDocument/2006/relationships/footer" Target="foot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wmf"/><Relationship Id="rId23" Type="http://schemas.openxmlformats.org/officeDocument/2006/relationships/oleObject" Target="embeddings/oleObject4.bin"/><Relationship Id="rId22" Type="http://schemas.openxmlformats.org/officeDocument/2006/relationships/image" Target="media/image11.wmf"/><Relationship Id="rId21" Type="http://schemas.openxmlformats.org/officeDocument/2006/relationships/oleObject" Target="embeddings/oleObject3.bin"/><Relationship Id="rId20" Type="http://schemas.openxmlformats.org/officeDocument/2006/relationships/image" Target="media/image10.jpeg"/><Relationship Id="rId2" Type="http://schemas.openxmlformats.org/officeDocument/2006/relationships/settings" Target="settings.xml"/><Relationship Id="rId19" Type="http://schemas.openxmlformats.org/officeDocument/2006/relationships/image" Target="media/image9.jpe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emf"/><Relationship Id="rId15" Type="http://schemas.openxmlformats.org/officeDocument/2006/relationships/oleObject" Target="embeddings/oleObject2.bin"/><Relationship Id="rId14" Type="http://schemas.openxmlformats.org/officeDocument/2006/relationships/image" Target="media/image5.emf"/><Relationship Id="rId13" Type="http://schemas.openxmlformats.org/officeDocument/2006/relationships/oleObject" Target="embeddings/oleObject1.bin"/><Relationship Id="rId12" Type="http://schemas.openxmlformats.org/officeDocument/2006/relationships/image" Target="media/image4.png"/><Relationship Id="rId11" Type="http://schemas.openxmlformats.org/officeDocument/2006/relationships/image" Target="media/image3.png"/><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home/greatwall/C:\home\greatwall\C:\home\greatwall\C:\home\greatwall\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Info spid="_x0000_s1028"/>
    <customShpInfo spid="_x0000_s1029"/>
  </customShpExts>
  <extobjs>
    <extobj name="ECB019B1-382A-4266-B25C-5B523AA43C14-1">
      <extobjdata type="ECB019B1-382A-4266-B25C-5B523AA43C14" data="ewoJIkZpbGVJZCIgOiAiMTc5MTkwMDU2NTUyIiwKCSJHcm91cElkIiA6ICIxNzUwMjM2OTU3IiwKCSJJbWFnZSIgOiAiaVZCT1J3MEtHZ29BQUFBTlNVaEVVZ0FBQUxZQUFBQjBDQVlBQUFBbzBNaTdBQUFBQ1hCSVdYTUFBQXNUQUFBTEV3RUFtcHdZQUFBQkNVbEVRVlI0bk8zZE1RckNRQlJGMFltNG9nUzBkOTl1SUJEU3VKK3hGZFRLd0I4ZjUyemd2K0l5WmRJYUFBQUFBQUFBQUFBQUFBQUFBQUFBQUFBQUFBQUFBQUFBQUFBQUFBQUFBQUJBbEtsNndDL21lYjYzMW03Vk8zalhlMS8zZmI5VzNUOVZIVDZJcUFjMVRkT2w4djY1OHZoUnRtMnJuc0NMWlZtcUovejlpdzBmQ1p0SXdpYVNzSWtrYkNJSm0wakNKcEt3aVNSc0lnbWJTTUlta3JDSkpHd2lDWnRJd2lhU3NJa2tiQ0lKbTBqQ0pwS3dpU1JzSWdtYlNNSW1rckNKSkd3aUNadEl3aWFTc0lra2JDSUptMGpDSnBLd2lTUnNJa1g4MFdDRUwrZ3pscjkrc1h2dmEvVUd2bnBVRHdBQUFBQUFBQUFBQUFBQUFBQUFBQUFBQUFBQUFBQ0c5QVN6THhEL040emRKZ0FBQUFCSlJVNUVya0pnZ2c9PSIsCgkiVGhlbWUiIDogIiIsCgkiVHlwZSIgOiAiZmxvdyIsCgkiVmVyc2lvbiIgOiAiIgp9Cg=="/>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86</Pages>
  <Words>8762</Words>
  <Characters>9491</Characters>
  <Lines>13</Lines>
  <Paragraphs>3</Paragraphs>
  <TotalTime>29</TotalTime>
  <ScaleCrop>false</ScaleCrop>
  <LinksUpToDate>false</LinksUpToDate>
  <CharactersWithSpaces>9802</CharactersWithSpaces>
  <Application>WPS Office_12.8.2.20327_F1E327BC-269C-435d-A152-05C5408002CA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2020-12-26T01:29:00Z</dcterms:created>
  <dc:creator>lhj</dc:creator>
  <cp:lastModifiedBy>根本停不下来1412307144</cp:lastModifiedBy>
  <cp:lastPrinted>2022-03-20T02:20:00Z</cp:lastPrinted>
  <dcterms:modified xsi:type="dcterms:W3CDTF">2026-05-26T14:15:11Z</dcterms:modified>
  <dc:title>附件2</dc:title>
  <cp:revision>37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2052-12.8.2.20327</vt:lpwstr>
  </property>
  <property fmtid="{D5CDD505-2E9C-101B-9397-08002B2CF9AE}" pid="3" name="ICV">
    <vt:lpwstr>BBB89B26536A35746F3A156A8117CC07_43</vt:lpwstr>
  </property>
  <property fmtid="{D5CDD505-2E9C-101B-9397-08002B2CF9AE}" pid="4" name="KSOTemplateDocerSaveRecord">
    <vt:lpwstr>eyJoZGlkIjoiYWExYmVjOWYwYTlhYzdjYTdiOGE4MWRlZWZiYTFlZDMiLCJ1c2VySWQiOiIzMDM2NzE0NjEifQ==</vt:lpwstr>
  </property>
</Properties>
</file>