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52B81">
      <w:pPr>
        <w:ind w:firstLine="1082"/>
        <w:jc w:val="center"/>
        <w:rPr>
          <w:rFonts w:eastAsia="黑体"/>
          <w:b/>
          <w:color w:val="auto"/>
          <w:sz w:val="52"/>
          <w:szCs w:val="52"/>
          <w:highlight w:val="none"/>
        </w:rPr>
      </w:pPr>
      <w:r>
        <w:rPr>
          <w:rFonts w:hint="eastAsia" w:eastAsia="黑体"/>
          <w:b/>
          <w:color w:val="auto"/>
          <w:sz w:val="52"/>
          <w:szCs w:val="52"/>
          <w:highlight w:val="none"/>
        </w:rPr>
        <w:tab/>
      </w:r>
    </w:p>
    <w:p w14:paraId="0D7E42CF">
      <w:pPr>
        <w:ind w:firstLine="1082"/>
        <w:jc w:val="center"/>
        <w:rPr>
          <w:rFonts w:eastAsia="黑体"/>
          <w:b/>
          <w:color w:val="auto"/>
          <w:sz w:val="52"/>
          <w:szCs w:val="52"/>
          <w:highlight w:val="none"/>
        </w:rPr>
      </w:pPr>
    </w:p>
    <w:p w14:paraId="56D7B86B">
      <w:pPr>
        <w:ind w:firstLine="1082"/>
        <w:jc w:val="center"/>
        <w:rPr>
          <w:rFonts w:eastAsia="黑体"/>
          <w:b/>
          <w:color w:val="auto"/>
          <w:sz w:val="52"/>
          <w:szCs w:val="52"/>
          <w:highlight w:val="none"/>
        </w:rPr>
      </w:pPr>
    </w:p>
    <w:p w14:paraId="3ED0871F">
      <w:pPr>
        <w:ind w:firstLine="1082"/>
        <w:jc w:val="center"/>
        <w:rPr>
          <w:rFonts w:eastAsia="黑体"/>
          <w:b/>
          <w:color w:val="auto"/>
          <w:sz w:val="52"/>
          <w:szCs w:val="52"/>
          <w:highlight w:val="none"/>
        </w:rPr>
      </w:pPr>
    </w:p>
    <w:p w14:paraId="219C66E2">
      <w:pPr>
        <w:ind w:firstLine="1082"/>
        <w:jc w:val="center"/>
        <w:rPr>
          <w:rFonts w:eastAsia="黑体"/>
          <w:b/>
          <w:color w:val="auto"/>
          <w:sz w:val="52"/>
          <w:szCs w:val="52"/>
          <w:highlight w:val="none"/>
        </w:rPr>
      </w:pPr>
    </w:p>
    <w:p w14:paraId="6E2418FC">
      <w:pPr>
        <w:ind w:firstLine="1082"/>
        <w:jc w:val="center"/>
        <w:rPr>
          <w:rFonts w:eastAsia="黑体"/>
          <w:b/>
          <w:color w:val="auto"/>
          <w:sz w:val="52"/>
          <w:szCs w:val="52"/>
          <w:highlight w:val="none"/>
        </w:rPr>
      </w:pPr>
    </w:p>
    <w:p w14:paraId="6CE524C5">
      <w:pPr>
        <w:ind w:firstLine="0" w:firstLineChars="0"/>
        <w:jc w:val="center"/>
        <w:rPr>
          <w:rFonts w:hint="eastAsia" w:eastAsia="黑体"/>
          <w:b/>
          <w:color w:val="auto"/>
          <w:sz w:val="44"/>
          <w:szCs w:val="44"/>
          <w:highlight w:val="none"/>
          <w:lang w:eastAsia="zh-CN"/>
        </w:rPr>
      </w:pPr>
      <w:r>
        <w:rPr>
          <w:rFonts w:hint="eastAsia" w:eastAsia="黑体"/>
          <w:b/>
          <w:color w:val="auto"/>
          <w:sz w:val="44"/>
          <w:szCs w:val="44"/>
          <w:highlight w:val="none"/>
          <w:lang w:eastAsia="zh-CN"/>
        </w:rPr>
        <w:t>鸡西市鸡冠区2025年农村供水保障工程</w:t>
      </w:r>
    </w:p>
    <w:p w14:paraId="64692859">
      <w:pPr>
        <w:ind w:firstLine="0" w:firstLineChars="0"/>
        <w:jc w:val="center"/>
        <w:rPr>
          <w:rFonts w:eastAsia="黑体"/>
          <w:b/>
          <w:color w:val="auto"/>
          <w:sz w:val="44"/>
          <w:szCs w:val="44"/>
          <w:highlight w:val="none"/>
        </w:rPr>
      </w:pPr>
      <w:r>
        <w:rPr>
          <w:rFonts w:eastAsia="黑体"/>
          <w:b/>
          <w:color w:val="auto"/>
          <w:sz w:val="44"/>
          <w:szCs w:val="44"/>
          <w:highlight w:val="none"/>
        </w:rPr>
        <w:t>地下水</w:t>
      </w:r>
      <w:r>
        <w:rPr>
          <w:rFonts w:hint="eastAsia" w:eastAsia="黑体"/>
          <w:b/>
          <w:color w:val="auto"/>
          <w:sz w:val="44"/>
          <w:szCs w:val="44"/>
          <w:highlight w:val="none"/>
        </w:rPr>
        <w:t>环境影响专项</w:t>
      </w:r>
      <w:r>
        <w:rPr>
          <w:rFonts w:eastAsia="黑体"/>
          <w:b/>
          <w:color w:val="auto"/>
          <w:sz w:val="44"/>
          <w:szCs w:val="44"/>
          <w:highlight w:val="none"/>
        </w:rPr>
        <w:t>评价</w:t>
      </w:r>
    </w:p>
    <w:p w14:paraId="74F2FAC9">
      <w:pPr>
        <w:ind w:firstLine="681"/>
        <w:jc w:val="center"/>
        <w:rPr>
          <w:b/>
          <w:color w:val="auto"/>
          <w:sz w:val="32"/>
          <w:szCs w:val="32"/>
          <w:highlight w:val="none"/>
        </w:rPr>
      </w:pPr>
    </w:p>
    <w:p w14:paraId="1CDFE7AD">
      <w:pPr>
        <w:ind w:firstLine="681"/>
        <w:jc w:val="center"/>
        <w:rPr>
          <w:b/>
          <w:color w:val="auto"/>
          <w:sz w:val="32"/>
          <w:szCs w:val="32"/>
          <w:highlight w:val="none"/>
        </w:rPr>
      </w:pPr>
    </w:p>
    <w:p w14:paraId="7EBB44DB">
      <w:pPr>
        <w:ind w:firstLine="681"/>
        <w:jc w:val="center"/>
        <w:rPr>
          <w:b/>
          <w:color w:val="auto"/>
          <w:sz w:val="32"/>
          <w:szCs w:val="32"/>
          <w:highlight w:val="none"/>
        </w:rPr>
      </w:pPr>
    </w:p>
    <w:p w14:paraId="54C409ED">
      <w:pPr>
        <w:ind w:firstLine="681"/>
        <w:jc w:val="center"/>
        <w:rPr>
          <w:b/>
          <w:color w:val="auto"/>
          <w:sz w:val="32"/>
          <w:szCs w:val="32"/>
          <w:highlight w:val="none"/>
        </w:rPr>
      </w:pPr>
    </w:p>
    <w:p w14:paraId="06ACAD33">
      <w:pPr>
        <w:ind w:firstLine="681"/>
        <w:jc w:val="center"/>
        <w:rPr>
          <w:b/>
          <w:color w:val="auto"/>
          <w:sz w:val="32"/>
          <w:szCs w:val="32"/>
          <w:highlight w:val="none"/>
        </w:rPr>
      </w:pPr>
    </w:p>
    <w:p w14:paraId="1CD5408C">
      <w:pPr>
        <w:ind w:firstLine="681"/>
        <w:jc w:val="center"/>
        <w:rPr>
          <w:b/>
          <w:color w:val="auto"/>
          <w:sz w:val="32"/>
          <w:szCs w:val="32"/>
          <w:highlight w:val="none"/>
        </w:rPr>
      </w:pPr>
    </w:p>
    <w:p w14:paraId="6B304EE6">
      <w:pPr>
        <w:ind w:firstLine="681"/>
        <w:jc w:val="center"/>
        <w:rPr>
          <w:b/>
          <w:color w:val="auto"/>
          <w:sz w:val="32"/>
          <w:szCs w:val="32"/>
          <w:highlight w:val="none"/>
        </w:rPr>
      </w:pPr>
    </w:p>
    <w:p w14:paraId="34C9B310">
      <w:pPr>
        <w:ind w:firstLine="681"/>
        <w:jc w:val="center"/>
        <w:rPr>
          <w:b/>
          <w:color w:val="auto"/>
          <w:sz w:val="32"/>
          <w:szCs w:val="32"/>
          <w:highlight w:val="none"/>
        </w:rPr>
      </w:pPr>
    </w:p>
    <w:p w14:paraId="7910D165">
      <w:pPr>
        <w:ind w:firstLine="0" w:firstLineChars="0"/>
        <w:rPr>
          <w:b/>
          <w:color w:val="auto"/>
          <w:sz w:val="32"/>
          <w:szCs w:val="32"/>
          <w:highlight w:val="none"/>
        </w:rPr>
      </w:pPr>
    </w:p>
    <w:p w14:paraId="555EAF6D">
      <w:pPr>
        <w:ind w:firstLine="0" w:firstLineChars="0"/>
        <w:rPr>
          <w:b/>
          <w:color w:val="auto"/>
          <w:sz w:val="32"/>
          <w:szCs w:val="32"/>
          <w:highlight w:val="none"/>
        </w:rPr>
      </w:pPr>
    </w:p>
    <w:p w14:paraId="200DF8C7">
      <w:pPr>
        <w:ind w:firstLine="0" w:firstLineChars="0"/>
        <w:jc w:val="center"/>
        <w:rPr>
          <w:b/>
          <w:color w:val="auto"/>
          <w:sz w:val="32"/>
          <w:szCs w:val="32"/>
          <w:highlight w:val="none"/>
        </w:rPr>
      </w:pPr>
      <w:r>
        <w:rPr>
          <w:b/>
          <w:color w:val="auto"/>
          <w:sz w:val="32"/>
          <w:szCs w:val="32"/>
          <w:highlight w:val="none"/>
        </w:rPr>
        <w:t>20</w:t>
      </w:r>
      <w:r>
        <w:rPr>
          <w:rFonts w:hint="eastAsia"/>
          <w:b/>
          <w:color w:val="auto"/>
          <w:sz w:val="32"/>
          <w:szCs w:val="32"/>
          <w:highlight w:val="none"/>
        </w:rPr>
        <w:t>2</w:t>
      </w:r>
      <w:r>
        <w:rPr>
          <w:rFonts w:hint="eastAsia"/>
          <w:b/>
          <w:color w:val="auto"/>
          <w:sz w:val="32"/>
          <w:szCs w:val="32"/>
          <w:highlight w:val="none"/>
          <w:lang w:val="en-US" w:eastAsia="zh-CN"/>
        </w:rPr>
        <w:t>6</w:t>
      </w:r>
      <w:r>
        <w:rPr>
          <w:b/>
          <w:color w:val="auto"/>
          <w:sz w:val="32"/>
          <w:szCs w:val="32"/>
          <w:highlight w:val="none"/>
        </w:rPr>
        <w:t>年</w:t>
      </w:r>
      <w:r>
        <w:rPr>
          <w:rFonts w:hint="eastAsia"/>
          <w:b/>
          <w:color w:val="auto"/>
          <w:sz w:val="32"/>
          <w:szCs w:val="32"/>
          <w:highlight w:val="none"/>
          <w:lang w:val="en-US" w:eastAsia="zh-CN"/>
        </w:rPr>
        <w:t>8</w:t>
      </w:r>
      <w:r>
        <w:rPr>
          <w:b/>
          <w:color w:val="auto"/>
          <w:sz w:val="32"/>
          <w:szCs w:val="32"/>
          <w:highlight w:val="none"/>
        </w:rPr>
        <w:t>月</w:t>
      </w:r>
    </w:p>
    <w:p w14:paraId="693D2882">
      <w:pPr>
        <w:ind w:firstLine="0" w:firstLineChars="0"/>
        <w:rPr>
          <w:b/>
          <w:color w:val="auto"/>
          <w:sz w:val="32"/>
          <w:szCs w:val="32"/>
          <w:highlight w:val="none"/>
        </w:rPr>
      </w:pPr>
    </w:p>
    <w:p w14:paraId="0EEED612">
      <w:pPr>
        <w:ind w:firstLineChars="77"/>
        <w:rPr>
          <w:color w:val="auto"/>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418" w:bottom="1440" w:left="1418" w:header="851" w:footer="992" w:gutter="0"/>
          <w:cols w:space="425" w:num="1"/>
          <w:titlePg/>
          <w:docGrid w:type="linesAndChars" w:linePitch="326" w:charSpace="3920"/>
        </w:sectPr>
      </w:pPr>
    </w:p>
    <w:p w14:paraId="1A812F8D">
      <w:pPr>
        <w:pStyle w:val="4"/>
        <w:rPr>
          <w:color w:val="auto"/>
          <w:highlight w:val="none"/>
        </w:rPr>
      </w:pPr>
      <w:bookmarkStart w:id="0" w:name="_Toc159594614"/>
      <w:r>
        <w:rPr>
          <w:rFonts w:hint="eastAsia"/>
          <w:color w:val="auto"/>
          <w:highlight w:val="none"/>
        </w:rPr>
        <w:t>1.1评价由来</w:t>
      </w:r>
      <w:bookmarkEnd w:id="0"/>
    </w:p>
    <w:p w14:paraId="50F4B282">
      <w:pPr>
        <w:ind w:firstLine="523" w:firstLineChars="218"/>
        <w:rPr>
          <w:rFonts w:hAnsi="宋体"/>
          <w:color w:val="auto"/>
          <w:highlight w:val="none"/>
        </w:rPr>
      </w:pPr>
      <w:r>
        <w:rPr>
          <w:rFonts w:hint="eastAsia" w:hAnsi="宋体"/>
          <w:color w:val="auto"/>
          <w:highlight w:val="none"/>
        </w:rPr>
        <w:t>本项目新建2口水源水井，井径</w:t>
      </w:r>
      <w:r>
        <w:rPr>
          <w:rFonts w:hint="eastAsia" w:hAnsi="宋体"/>
          <w:color w:val="auto"/>
          <w:highlight w:val="none"/>
          <w:lang w:val="en-US" w:eastAsia="zh-CN"/>
        </w:rPr>
        <w:t>0.6</w:t>
      </w:r>
      <w:r>
        <w:rPr>
          <w:rFonts w:hint="eastAsia" w:hAnsi="宋体"/>
          <w:color w:val="auto"/>
          <w:highlight w:val="none"/>
        </w:rPr>
        <w:t>米，井深</w:t>
      </w:r>
      <w:r>
        <w:rPr>
          <w:rFonts w:hint="eastAsia" w:hAnsi="宋体"/>
          <w:color w:val="auto"/>
          <w:highlight w:val="none"/>
          <w:lang w:val="en-US" w:eastAsia="zh-CN"/>
        </w:rPr>
        <w:t>80</w:t>
      </w:r>
      <w:r>
        <w:rPr>
          <w:rFonts w:hint="eastAsia" w:hAnsi="宋体"/>
          <w:color w:val="auto"/>
          <w:highlight w:val="none"/>
        </w:rPr>
        <w:t>米。原有水源井废弃。</w:t>
      </w:r>
    </w:p>
    <w:p w14:paraId="414DCC90">
      <w:pPr>
        <w:ind w:firstLine="523" w:firstLineChars="218"/>
        <w:rPr>
          <w:rFonts w:hAnsi="宋体"/>
          <w:color w:val="auto"/>
          <w:highlight w:val="none"/>
        </w:rPr>
      </w:pPr>
      <w:r>
        <w:rPr>
          <w:rFonts w:hint="eastAsia" w:hAnsi="宋体"/>
          <w:color w:val="auto"/>
          <w:highlight w:val="none"/>
        </w:rPr>
        <w:t>根据《建设项目环境影响报告表编制技术指南（生态影响类）</w:t>
      </w:r>
      <w:r>
        <w:rPr>
          <w:rFonts w:hint="eastAsia" w:hAnsi="宋体"/>
          <w:color w:val="auto"/>
          <w:highlight w:val="none"/>
          <w:lang w:eastAsia="zh-CN"/>
        </w:rPr>
        <w:t>（试行）》</w:t>
      </w:r>
      <w:r>
        <w:rPr>
          <w:rFonts w:hint="eastAsia" w:hAnsi="宋体"/>
          <w:color w:val="auto"/>
          <w:highlight w:val="none"/>
        </w:rPr>
        <w:t>中表1专项设置原则表可知，应进行地下水评价。</w:t>
      </w:r>
    </w:p>
    <w:p w14:paraId="13B62AEF">
      <w:pPr>
        <w:ind w:firstLine="0" w:firstLineChars="0"/>
        <w:jc w:val="center"/>
        <w:rPr>
          <w:b/>
          <w:color w:val="auto"/>
          <w:highlight w:val="none"/>
        </w:rPr>
      </w:pPr>
      <w:r>
        <w:rPr>
          <w:rFonts w:hAnsi="宋体"/>
          <w:b/>
          <w:color w:val="auto"/>
          <w:highlight w:val="none"/>
        </w:rPr>
        <w:t>表</w:t>
      </w:r>
      <w:r>
        <w:rPr>
          <w:b/>
          <w:color w:val="auto"/>
          <w:highlight w:val="none"/>
        </w:rPr>
        <w:t>1建设项目环境影响报告表编制技术指南</w:t>
      </w:r>
    </w:p>
    <w:tbl>
      <w:tblPr>
        <w:tblStyle w:val="20"/>
        <w:tblW w:w="8789"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0" w:type="dxa"/>
          <w:bottom w:w="0" w:type="dxa"/>
          <w:right w:w="0" w:type="dxa"/>
        </w:tblCellMar>
      </w:tblPr>
      <w:tblGrid>
        <w:gridCol w:w="3122"/>
        <w:gridCol w:w="5667"/>
      </w:tblGrid>
      <w:tr w14:paraId="5CC0DF4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jc w:val="center"/>
        </w:trPr>
        <w:tc>
          <w:tcPr>
            <w:tcW w:w="1776" w:type="pct"/>
            <w:vAlign w:val="center"/>
          </w:tcPr>
          <w:p w14:paraId="242D0E74">
            <w:pPr>
              <w:spacing w:line="240" w:lineRule="auto"/>
              <w:ind w:firstLine="0" w:firstLineChars="0"/>
              <w:jc w:val="center"/>
              <w:rPr>
                <w:b/>
                <w:color w:val="auto"/>
                <w:sz w:val="21"/>
                <w:szCs w:val="21"/>
                <w:highlight w:val="none"/>
              </w:rPr>
            </w:pPr>
            <w:r>
              <w:rPr>
                <w:rFonts w:hint="eastAsia" w:hAnsi="宋体"/>
                <w:b/>
                <w:color w:val="auto"/>
                <w:sz w:val="21"/>
                <w:szCs w:val="21"/>
                <w:highlight w:val="none"/>
              </w:rPr>
              <w:t>专项评价的类别</w:t>
            </w:r>
          </w:p>
        </w:tc>
        <w:tc>
          <w:tcPr>
            <w:tcW w:w="3224" w:type="pct"/>
            <w:vAlign w:val="center"/>
          </w:tcPr>
          <w:p w14:paraId="054D4D1D">
            <w:pPr>
              <w:spacing w:line="240" w:lineRule="auto"/>
              <w:ind w:firstLine="0" w:firstLineChars="0"/>
              <w:jc w:val="center"/>
              <w:rPr>
                <w:b/>
                <w:color w:val="auto"/>
                <w:sz w:val="21"/>
                <w:szCs w:val="21"/>
                <w:highlight w:val="none"/>
              </w:rPr>
            </w:pPr>
            <w:r>
              <w:rPr>
                <w:rFonts w:hint="eastAsia" w:hAnsi="宋体"/>
                <w:b/>
                <w:color w:val="auto"/>
                <w:sz w:val="21"/>
                <w:szCs w:val="21"/>
                <w:highlight w:val="none"/>
              </w:rPr>
              <w:t>涉及项目类别</w:t>
            </w:r>
          </w:p>
        </w:tc>
      </w:tr>
      <w:tr w14:paraId="2E11051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jc w:val="center"/>
        </w:trPr>
        <w:tc>
          <w:tcPr>
            <w:tcW w:w="1776" w:type="pct"/>
            <w:vAlign w:val="center"/>
          </w:tcPr>
          <w:p w14:paraId="5D548222">
            <w:pPr>
              <w:spacing w:line="240" w:lineRule="auto"/>
              <w:ind w:firstLine="0" w:firstLineChars="0"/>
              <w:jc w:val="center"/>
              <w:rPr>
                <w:color w:val="auto"/>
                <w:sz w:val="21"/>
                <w:szCs w:val="21"/>
                <w:highlight w:val="none"/>
              </w:rPr>
            </w:pPr>
            <w:r>
              <w:rPr>
                <w:rFonts w:hint="eastAsia"/>
                <w:color w:val="auto"/>
                <w:sz w:val="21"/>
                <w:szCs w:val="21"/>
                <w:highlight w:val="none"/>
              </w:rPr>
              <w:t>地下水</w:t>
            </w:r>
          </w:p>
        </w:tc>
        <w:tc>
          <w:tcPr>
            <w:tcW w:w="3224" w:type="pct"/>
            <w:vAlign w:val="center"/>
          </w:tcPr>
          <w:p w14:paraId="17690F9E">
            <w:pPr>
              <w:spacing w:line="240" w:lineRule="auto"/>
              <w:ind w:firstLine="0" w:firstLineChars="0"/>
              <w:jc w:val="center"/>
              <w:rPr>
                <w:color w:val="auto"/>
                <w:sz w:val="21"/>
                <w:szCs w:val="21"/>
                <w:highlight w:val="none"/>
              </w:rPr>
            </w:pPr>
            <w:r>
              <w:rPr>
                <w:rFonts w:hint="eastAsia"/>
                <w:color w:val="auto"/>
                <w:sz w:val="21"/>
                <w:szCs w:val="21"/>
                <w:highlight w:val="none"/>
              </w:rPr>
              <w:t>地下水（含矿泉水）开采：全部</w:t>
            </w:r>
          </w:p>
        </w:tc>
      </w:tr>
    </w:tbl>
    <w:p w14:paraId="5151C517">
      <w:pPr>
        <w:pStyle w:val="4"/>
        <w:rPr>
          <w:color w:val="auto"/>
          <w:highlight w:val="none"/>
        </w:rPr>
      </w:pPr>
      <w:bookmarkStart w:id="1" w:name="_Toc159594615"/>
      <w:r>
        <w:rPr>
          <w:rFonts w:hint="eastAsia"/>
          <w:color w:val="auto"/>
          <w:highlight w:val="none"/>
        </w:rPr>
        <w:t>1.2编制依据</w:t>
      </w:r>
      <w:bookmarkEnd w:id="1"/>
    </w:p>
    <w:p w14:paraId="03C31EA6">
      <w:pPr>
        <w:ind w:firstLine="518"/>
        <w:rPr>
          <w:rFonts w:eastAsiaTheme="minorEastAsia"/>
          <w:snapToGrid w:val="0"/>
          <w:color w:val="auto"/>
          <w:kern w:val="0"/>
          <w:highlight w:val="none"/>
        </w:rPr>
      </w:pPr>
      <w:bookmarkStart w:id="2" w:name="_Toc233779584"/>
      <w:bookmarkStart w:id="3" w:name="_Toc15991627"/>
      <w:bookmarkStart w:id="4" w:name="_Toc524431281"/>
      <w:r>
        <w:rPr>
          <w:rFonts w:eastAsiaTheme="minorEastAsia"/>
          <w:snapToGrid w:val="0"/>
          <w:color w:val="auto"/>
          <w:kern w:val="0"/>
          <w:highlight w:val="none"/>
        </w:rPr>
        <w:t>（1）《中华人民共和国环境保护法》</w:t>
      </w:r>
      <w:r>
        <w:rPr>
          <w:rFonts w:hint="eastAsia" w:eastAsiaTheme="minorEastAsia"/>
          <w:snapToGrid w:val="0"/>
          <w:color w:val="auto"/>
          <w:kern w:val="0"/>
          <w:highlight w:val="none"/>
          <w:lang w:eastAsia="zh-CN"/>
        </w:rPr>
        <w:t>（</w:t>
      </w:r>
      <w:r>
        <w:rPr>
          <w:rFonts w:eastAsiaTheme="minorEastAsia"/>
          <w:snapToGrid w:val="0"/>
          <w:color w:val="auto"/>
          <w:kern w:val="0"/>
          <w:highlight w:val="none"/>
        </w:rPr>
        <w:t>2015年1月1日</w:t>
      </w:r>
      <w:r>
        <w:rPr>
          <w:rFonts w:hint="eastAsia" w:eastAsiaTheme="minorEastAsia"/>
          <w:snapToGrid w:val="0"/>
          <w:color w:val="auto"/>
          <w:kern w:val="0"/>
          <w:highlight w:val="none"/>
          <w:lang w:eastAsia="zh-CN"/>
        </w:rPr>
        <w:t>）</w:t>
      </w:r>
      <w:r>
        <w:rPr>
          <w:rFonts w:eastAsiaTheme="minorEastAsia"/>
          <w:snapToGrid w:val="0"/>
          <w:color w:val="auto"/>
          <w:kern w:val="0"/>
          <w:highlight w:val="none"/>
        </w:rPr>
        <w:t>。</w:t>
      </w:r>
    </w:p>
    <w:p w14:paraId="43569C20">
      <w:pPr>
        <w:ind w:firstLine="518"/>
        <w:rPr>
          <w:rFonts w:eastAsiaTheme="minorEastAsia"/>
          <w:snapToGrid w:val="0"/>
          <w:color w:val="auto"/>
          <w:kern w:val="0"/>
          <w:highlight w:val="none"/>
        </w:rPr>
      </w:pPr>
      <w:r>
        <w:rPr>
          <w:rFonts w:eastAsiaTheme="minorEastAsia"/>
          <w:snapToGrid w:val="0"/>
          <w:color w:val="auto"/>
          <w:kern w:val="0"/>
          <w:highlight w:val="none"/>
        </w:rPr>
        <w:t>（2）《中华人民共和国环境影响评价法》（修订）</w:t>
      </w:r>
      <w:r>
        <w:rPr>
          <w:rFonts w:hint="eastAsia" w:eastAsiaTheme="minorEastAsia"/>
          <w:snapToGrid w:val="0"/>
          <w:color w:val="auto"/>
          <w:kern w:val="0"/>
          <w:highlight w:val="none"/>
          <w:lang w:eastAsia="zh-CN"/>
        </w:rPr>
        <w:t>（</w:t>
      </w:r>
      <w:r>
        <w:rPr>
          <w:rFonts w:eastAsiaTheme="minorEastAsia"/>
          <w:snapToGrid w:val="0"/>
          <w:color w:val="auto"/>
          <w:kern w:val="0"/>
          <w:highlight w:val="none"/>
        </w:rPr>
        <w:t>2018年12月29日</w:t>
      </w:r>
      <w:r>
        <w:rPr>
          <w:rFonts w:hint="eastAsia" w:eastAsiaTheme="minorEastAsia"/>
          <w:snapToGrid w:val="0"/>
          <w:color w:val="auto"/>
          <w:kern w:val="0"/>
          <w:highlight w:val="none"/>
          <w:lang w:eastAsia="zh-CN"/>
        </w:rPr>
        <w:t>）</w:t>
      </w:r>
      <w:r>
        <w:rPr>
          <w:rFonts w:eastAsiaTheme="minorEastAsia"/>
          <w:snapToGrid w:val="0"/>
          <w:color w:val="auto"/>
          <w:kern w:val="0"/>
          <w:highlight w:val="none"/>
        </w:rPr>
        <w:t>。</w:t>
      </w:r>
    </w:p>
    <w:p w14:paraId="3F6DF280">
      <w:pPr>
        <w:ind w:firstLine="518"/>
        <w:rPr>
          <w:rFonts w:eastAsiaTheme="minorEastAsia"/>
          <w:snapToGrid w:val="0"/>
          <w:color w:val="auto"/>
          <w:kern w:val="0"/>
          <w:highlight w:val="none"/>
        </w:rPr>
      </w:pPr>
      <w:r>
        <w:rPr>
          <w:rFonts w:eastAsiaTheme="minorEastAsia"/>
          <w:snapToGrid w:val="0"/>
          <w:color w:val="auto"/>
          <w:kern w:val="0"/>
          <w:highlight w:val="none"/>
        </w:rPr>
        <w:t>（3）《中华人民共和国水污染防治法》</w:t>
      </w:r>
      <w:r>
        <w:rPr>
          <w:rFonts w:hint="eastAsia" w:eastAsiaTheme="minorEastAsia"/>
          <w:snapToGrid w:val="0"/>
          <w:color w:val="auto"/>
          <w:kern w:val="0"/>
          <w:highlight w:val="none"/>
          <w:lang w:eastAsia="zh-CN"/>
        </w:rPr>
        <w:t>（</w:t>
      </w:r>
      <w:r>
        <w:rPr>
          <w:rFonts w:eastAsiaTheme="minorEastAsia"/>
          <w:snapToGrid w:val="0"/>
          <w:color w:val="auto"/>
          <w:kern w:val="0"/>
          <w:highlight w:val="none"/>
        </w:rPr>
        <w:t>2018年1月1日</w:t>
      </w:r>
      <w:r>
        <w:rPr>
          <w:rFonts w:hint="eastAsia" w:eastAsiaTheme="minorEastAsia"/>
          <w:snapToGrid w:val="0"/>
          <w:color w:val="auto"/>
          <w:kern w:val="0"/>
          <w:highlight w:val="none"/>
          <w:lang w:eastAsia="zh-CN"/>
        </w:rPr>
        <w:t>）</w:t>
      </w:r>
      <w:r>
        <w:rPr>
          <w:rFonts w:eastAsiaTheme="minorEastAsia"/>
          <w:snapToGrid w:val="0"/>
          <w:color w:val="auto"/>
          <w:kern w:val="0"/>
          <w:highlight w:val="none"/>
        </w:rPr>
        <w:t>。</w:t>
      </w:r>
    </w:p>
    <w:p w14:paraId="7D9AE4EC">
      <w:pPr>
        <w:ind w:firstLine="518"/>
        <w:rPr>
          <w:rFonts w:eastAsiaTheme="minorEastAsia"/>
          <w:snapToGrid w:val="0"/>
          <w:color w:val="auto"/>
          <w:kern w:val="0"/>
          <w:highlight w:val="none"/>
        </w:rPr>
      </w:pPr>
      <w:r>
        <w:rPr>
          <w:rFonts w:hint="eastAsia" w:eastAsiaTheme="minorEastAsia"/>
          <w:snapToGrid w:val="0"/>
          <w:color w:val="auto"/>
          <w:kern w:val="0"/>
          <w:highlight w:val="none"/>
          <w:lang w:eastAsia="zh-CN"/>
        </w:rPr>
        <w:t>（4）</w:t>
      </w:r>
      <w:r>
        <w:rPr>
          <w:rFonts w:eastAsiaTheme="minorEastAsia"/>
          <w:snapToGrid w:val="0"/>
          <w:color w:val="auto"/>
          <w:kern w:val="0"/>
          <w:highlight w:val="none"/>
        </w:rPr>
        <w:t>《水污染防治行动计划》（国务院</w:t>
      </w:r>
      <w:r>
        <w:rPr>
          <w:rFonts w:hint="eastAsia" w:eastAsiaTheme="minorEastAsia"/>
          <w:snapToGrid w:val="0"/>
          <w:color w:val="auto"/>
          <w:kern w:val="0"/>
          <w:highlight w:val="none"/>
          <w:lang w:eastAsia="zh-CN"/>
        </w:rPr>
        <w:t>，</w:t>
      </w:r>
      <w:r>
        <w:rPr>
          <w:rFonts w:eastAsiaTheme="minorEastAsia"/>
          <w:snapToGrid w:val="0"/>
          <w:color w:val="auto"/>
          <w:kern w:val="0"/>
          <w:highlight w:val="none"/>
        </w:rPr>
        <w:t>2015年4月16日</w:t>
      </w:r>
      <w:r>
        <w:rPr>
          <w:rFonts w:hint="eastAsia" w:eastAsiaTheme="minorEastAsia"/>
          <w:snapToGrid w:val="0"/>
          <w:color w:val="auto"/>
          <w:kern w:val="0"/>
          <w:highlight w:val="none"/>
          <w:lang w:eastAsia="zh-CN"/>
        </w:rPr>
        <w:t>）。</w:t>
      </w:r>
    </w:p>
    <w:p w14:paraId="648DCDFE">
      <w:pPr>
        <w:ind w:firstLine="518"/>
        <w:rPr>
          <w:rFonts w:eastAsiaTheme="minorEastAsia"/>
          <w:snapToGrid w:val="0"/>
          <w:color w:val="auto"/>
          <w:kern w:val="0"/>
          <w:highlight w:val="none"/>
        </w:rPr>
      </w:pPr>
      <w:r>
        <w:rPr>
          <w:rFonts w:hint="eastAsia" w:eastAsiaTheme="minorEastAsia"/>
          <w:snapToGrid w:val="0"/>
          <w:color w:val="auto"/>
          <w:kern w:val="0"/>
          <w:highlight w:val="none"/>
          <w:lang w:val="en-US" w:eastAsia="zh-CN"/>
        </w:rPr>
        <w:t>（5）</w:t>
      </w:r>
      <w:r>
        <w:rPr>
          <w:rFonts w:eastAsiaTheme="minorEastAsia"/>
          <w:snapToGrid w:val="0"/>
          <w:color w:val="auto"/>
          <w:kern w:val="0"/>
          <w:highlight w:val="none"/>
        </w:rPr>
        <w:t>《建设项目环境影响评价分类管理名录（2021年版）》（生态环境部部令第16号</w:t>
      </w:r>
      <w:r>
        <w:rPr>
          <w:rFonts w:hint="eastAsia" w:eastAsiaTheme="minorEastAsia"/>
          <w:snapToGrid w:val="0"/>
          <w:color w:val="auto"/>
          <w:kern w:val="0"/>
          <w:highlight w:val="none"/>
          <w:lang w:eastAsia="zh-CN"/>
        </w:rPr>
        <w:t>，</w:t>
      </w:r>
      <w:r>
        <w:rPr>
          <w:rFonts w:eastAsiaTheme="minorEastAsia"/>
          <w:snapToGrid w:val="0"/>
          <w:color w:val="auto"/>
          <w:kern w:val="0"/>
          <w:highlight w:val="none"/>
        </w:rPr>
        <w:t>2021.01.01）。</w:t>
      </w:r>
    </w:p>
    <w:p w14:paraId="4D740B3B">
      <w:pPr>
        <w:ind w:firstLine="518"/>
        <w:rPr>
          <w:rFonts w:eastAsiaTheme="minorEastAsia"/>
          <w:snapToGrid w:val="0"/>
          <w:color w:val="auto"/>
          <w:kern w:val="0"/>
          <w:highlight w:val="none"/>
        </w:rPr>
      </w:pPr>
      <w:r>
        <w:rPr>
          <w:rFonts w:eastAsiaTheme="minorEastAsia"/>
          <w:snapToGrid w:val="0"/>
          <w:color w:val="auto"/>
          <w:kern w:val="0"/>
          <w:highlight w:val="none"/>
        </w:rPr>
        <w:t>（</w:t>
      </w:r>
      <w:r>
        <w:rPr>
          <w:rFonts w:hint="eastAsia" w:eastAsiaTheme="minorEastAsia"/>
          <w:snapToGrid w:val="0"/>
          <w:color w:val="auto"/>
          <w:kern w:val="0"/>
          <w:highlight w:val="none"/>
          <w:lang w:val="en-US" w:eastAsia="zh-CN"/>
        </w:rPr>
        <w:t>6</w:t>
      </w:r>
      <w:r>
        <w:rPr>
          <w:rFonts w:eastAsiaTheme="minorEastAsia"/>
          <w:snapToGrid w:val="0"/>
          <w:color w:val="auto"/>
          <w:kern w:val="0"/>
          <w:highlight w:val="none"/>
        </w:rPr>
        <w:t>）国务院第682号令《建设项目环境保护管理条例》，2017年10月1日</w:t>
      </w:r>
      <w:r>
        <w:rPr>
          <w:rFonts w:eastAsiaTheme="minorEastAsia"/>
          <w:bCs/>
          <w:snapToGrid w:val="0"/>
          <w:color w:val="auto"/>
          <w:kern w:val="0"/>
          <w:highlight w:val="none"/>
        </w:rPr>
        <w:t>。</w:t>
      </w:r>
    </w:p>
    <w:p w14:paraId="5201C4AF">
      <w:pPr>
        <w:ind w:firstLine="518"/>
        <w:rPr>
          <w:rFonts w:eastAsiaTheme="minorEastAsia"/>
          <w:snapToGrid w:val="0"/>
          <w:color w:val="auto"/>
          <w:kern w:val="0"/>
          <w:highlight w:val="none"/>
        </w:rPr>
      </w:pPr>
      <w:r>
        <w:rPr>
          <w:rFonts w:eastAsiaTheme="minorEastAsia"/>
          <w:snapToGrid w:val="0"/>
          <w:color w:val="auto"/>
          <w:kern w:val="0"/>
          <w:highlight w:val="none"/>
        </w:rPr>
        <w:t>（</w:t>
      </w:r>
      <w:r>
        <w:rPr>
          <w:rFonts w:hint="eastAsia" w:eastAsiaTheme="minorEastAsia"/>
          <w:snapToGrid w:val="0"/>
          <w:color w:val="auto"/>
          <w:kern w:val="0"/>
          <w:highlight w:val="none"/>
          <w:lang w:val="en-US" w:eastAsia="zh-CN"/>
        </w:rPr>
        <w:t>7</w:t>
      </w:r>
      <w:r>
        <w:rPr>
          <w:rFonts w:eastAsiaTheme="minorEastAsia"/>
          <w:snapToGrid w:val="0"/>
          <w:color w:val="auto"/>
          <w:kern w:val="0"/>
          <w:highlight w:val="none"/>
        </w:rPr>
        <w:t>）</w:t>
      </w:r>
      <w:r>
        <w:rPr>
          <w:rFonts w:hint="eastAsia" w:eastAsiaTheme="minorEastAsia"/>
          <w:bCs/>
          <w:snapToGrid w:val="0"/>
          <w:color w:val="auto"/>
          <w:kern w:val="0"/>
          <w:highlight w:val="none"/>
        </w:rPr>
        <w:t>《地下水管理条例》（中华人民共和国国务院令第7</w:t>
      </w:r>
      <w:r>
        <w:rPr>
          <w:rFonts w:eastAsiaTheme="minorEastAsia"/>
          <w:bCs/>
          <w:snapToGrid w:val="0"/>
          <w:color w:val="auto"/>
          <w:kern w:val="0"/>
          <w:highlight w:val="none"/>
        </w:rPr>
        <w:t>48</w:t>
      </w:r>
      <w:r>
        <w:rPr>
          <w:rFonts w:hint="eastAsia" w:eastAsiaTheme="minorEastAsia"/>
          <w:bCs/>
          <w:snapToGrid w:val="0"/>
          <w:color w:val="auto"/>
          <w:kern w:val="0"/>
          <w:highlight w:val="none"/>
        </w:rPr>
        <w:t>号）。</w:t>
      </w:r>
    </w:p>
    <w:p w14:paraId="57B6E15B">
      <w:pPr>
        <w:ind w:firstLine="518"/>
        <w:rPr>
          <w:rFonts w:eastAsiaTheme="minorEastAsia"/>
          <w:snapToGrid w:val="0"/>
          <w:color w:val="auto"/>
          <w:kern w:val="0"/>
          <w:highlight w:val="none"/>
        </w:rPr>
      </w:pPr>
      <w:r>
        <w:rPr>
          <w:rFonts w:hint="eastAsia" w:eastAsiaTheme="minorEastAsia"/>
          <w:bCs/>
          <w:snapToGrid w:val="0"/>
          <w:color w:val="auto"/>
          <w:kern w:val="0"/>
          <w:highlight w:val="none"/>
        </w:rPr>
        <w:t>（</w:t>
      </w:r>
      <w:r>
        <w:rPr>
          <w:rFonts w:hint="eastAsia" w:eastAsiaTheme="minorEastAsia"/>
          <w:bCs/>
          <w:snapToGrid w:val="0"/>
          <w:color w:val="auto"/>
          <w:kern w:val="0"/>
          <w:highlight w:val="none"/>
          <w:lang w:val="en-US" w:eastAsia="zh-CN"/>
        </w:rPr>
        <w:t>8</w:t>
      </w:r>
      <w:r>
        <w:rPr>
          <w:rFonts w:hint="eastAsia" w:eastAsiaTheme="minorEastAsia"/>
          <w:bCs/>
          <w:snapToGrid w:val="0"/>
          <w:color w:val="auto"/>
          <w:kern w:val="0"/>
          <w:highlight w:val="none"/>
        </w:rPr>
        <w:t>）</w:t>
      </w:r>
      <w:r>
        <w:rPr>
          <w:rFonts w:eastAsiaTheme="minorEastAsia"/>
          <w:snapToGrid w:val="0"/>
          <w:color w:val="auto"/>
          <w:kern w:val="0"/>
          <w:highlight w:val="none"/>
        </w:rPr>
        <w:t>《建设项目环境影响评价技术导则 总纲》（HJ2.1-2016）。</w:t>
      </w:r>
    </w:p>
    <w:p w14:paraId="125B3EC9">
      <w:pPr>
        <w:ind w:firstLine="518"/>
        <w:rPr>
          <w:rFonts w:eastAsiaTheme="minorEastAsia"/>
          <w:snapToGrid w:val="0"/>
          <w:color w:val="auto"/>
          <w:kern w:val="0"/>
          <w:highlight w:val="none"/>
        </w:rPr>
      </w:pPr>
      <w:r>
        <w:rPr>
          <w:rFonts w:eastAsiaTheme="minorEastAsia"/>
          <w:snapToGrid w:val="0"/>
          <w:color w:val="auto"/>
          <w:kern w:val="0"/>
          <w:highlight w:val="none"/>
        </w:rPr>
        <w:t>（</w:t>
      </w:r>
      <w:r>
        <w:rPr>
          <w:rFonts w:hint="eastAsia" w:eastAsiaTheme="minorEastAsia"/>
          <w:snapToGrid w:val="0"/>
          <w:color w:val="auto"/>
          <w:kern w:val="0"/>
          <w:highlight w:val="none"/>
          <w:lang w:val="en-US" w:eastAsia="zh-CN"/>
        </w:rPr>
        <w:t>9</w:t>
      </w:r>
      <w:r>
        <w:rPr>
          <w:rFonts w:eastAsiaTheme="minorEastAsia"/>
          <w:snapToGrid w:val="0"/>
          <w:color w:val="auto"/>
          <w:kern w:val="0"/>
          <w:highlight w:val="none"/>
        </w:rPr>
        <w:t>）《环境影响评价技术导则 地下水环境》（HJ610-2016）。</w:t>
      </w:r>
    </w:p>
    <w:p w14:paraId="7480E7BD">
      <w:pPr>
        <w:ind w:firstLine="518"/>
        <w:rPr>
          <w:rFonts w:eastAsiaTheme="minorEastAsia"/>
          <w:snapToGrid w:val="0"/>
          <w:color w:val="auto"/>
          <w:kern w:val="0"/>
          <w:highlight w:val="none"/>
        </w:rPr>
      </w:pPr>
      <w:r>
        <w:rPr>
          <w:rFonts w:eastAsiaTheme="minorEastAsia"/>
          <w:snapToGrid w:val="0"/>
          <w:color w:val="auto"/>
          <w:kern w:val="0"/>
          <w:highlight w:val="none"/>
        </w:rPr>
        <w:t>（</w:t>
      </w:r>
      <w:r>
        <w:rPr>
          <w:rFonts w:hint="eastAsia" w:eastAsiaTheme="minorEastAsia"/>
          <w:snapToGrid w:val="0"/>
          <w:color w:val="auto"/>
          <w:kern w:val="0"/>
          <w:highlight w:val="none"/>
        </w:rPr>
        <w:t>1</w:t>
      </w:r>
      <w:r>
        <w:rPr>
          <w:rFonts w:hint="eastAsia" w:eastAsiaTheme="minorEastAsia"/>
          <w:snapToGrid w:val="0"/>
          <w:color w:val="auto"/>
          <w:kern w:val="0"/>
          <w:highlight w:val="none"/>
          <w:lang w:val="en-US" w:eastAsia="zh-CN"/>
        </w:rPr>
        <w:t>0</w:t>
      </w:r>
      <w:r>
        <w:rPr>
          <w:rFonts w:eastAsiaTheme="minorEastAsia"/>
          <w:snapToGrid w:val="0"/>
          <w:color w:val="auto"/>
          <w:kern w:val="0"/>
          <w:highlight w:val="none"/>
        </w:rPr>
        <w:t>）《排污单位自行监测技术指南 总则》（HJ 819-2017）。</w:t>
      </w:r>
    </w:p>
    <w:bookmarkEnd w:id="2"/>
    <w:bookmarkEnd w:id="3"/>
    <w:bookmarkEnd w:id="4"/>
    <w:p w14:paraId="5BBC7459">
      <w:pPr>
        <w:pStyle w:val="4"/>
        <w:rPr>
          <w:color w:val="auto"/>
          <w:highlight w:val="none"/>
        </w:rPr>
      </w:pPr>
      <w:bookmarkStart w:id="5" w:name="_Toc159594616"/>
      <w:r>
        <w:rPr>
          <w:rFonts w:hint="eastAsia"/>
          <w:color w:val="auto"/>
          <w:highlight w:val="none"/>
        </w:rPr>
        <w:t>1.3评价基本任务</w:t>
      </w:r>
      <w:bookmarkEnd w:id="5"/>
    </w:p>
    <w:p w14:paraId="7A571FDD">
      <w:pPr>
        <w:ind w:firstLine="518"/>
        <w:rPr>
          <w:color w:val="auto"/>
          <w:highlight w:val="none"/>
        </w:rPr>
      </w:pPr>
      <w:r>
        <w:rPr>
          <w:rFonts w:hint="eastAsia"/>
          <w:color w:val="auto"/>
          <w:highlight w:val="none"/>
        </w:rPr>
        <w:t>地下水环境影响评价应按</w:t>
      </w:r>
      <w:r>
        <w:rPr>
          <w:color w:val="auto"/>
          <w:highlight w:val="none"/>
        </w:rPr>
        <w:t>《环境影响评价技术导则</w:t>
      </w:r>
      <w:r>
        <w:rPr>
          <w:rFonts w:hint="eastAsia"/>
          <w:color w:val="auto"/>
          <w:highlight w:val="none"/>
        </w:rPr>
        <w:t>—</w:t>
      </w:r>
      <w:r>
        <w:rPr>
          <w:color w:val="auto"/>
          <w:highlight w:val="none"/>
        </w:rPr>
        <w:t>地下水环境》（HJ610-2016）</w:t>
      </w:r>
      <w:r>
        <w:rPr>
          <w:rFonts w:hint="eastAsia"/>
          <w:color w:val="auto"/>
          <w:highlight w:val="none"/>
        </w:rPr>
        <w:t>划分的评价工作等级开展相应评价工作，基本任务包括：识别地下水环境影响，确定地下水环境影响评价工作等级；开展地下水环境现状调查，完成地下水环境现状监测与评价；预测和评价建设项目对地下水水质可能造成的直接影响，提出有针对性的地下水污染防控措施与对策。</w:t>
      </w:r>
    </w:p>
    <w:p w14:paraId="7B0CA101">
      <w:pPr>
        <w:pStyle w:val="4"/>
        <w:rPr>
          <w:color w:val="auto"/>
          <w:highlight w:val="none"/>
        </w:rPr>
      </w:pPr>
      <w:bookmarkStart w:id="6" w:name="_Toc159594617"/>
      <w:r>
        <w:rPr>
          <w:rFonts w:hint="eastAsia"/>
          <w:color w:val="auto"/>
          <w:highlight w:val="none"/>
        </w:rPr>
        <w:t>1.4工作程序</w:t>
      </w:r>
      <w:bookmarkEnd w:id="6"/>
    </w:p>
    <w:p w14:paraId="4CE9C418">
      <w:pPr>
        <w:ind w:firstLine="117" w:firstLineChars="49"/>
        <w:rPr>
          <w:color w:val="auto"/>
          <w:highlight w:val="none"/>
        </w:rPr>
      </w:pPr>
      <w:r>
        <w:rPr>
          <w:rFonts w:hint="eastAsia"/>
          <w:color w:val="auto"/>
          <w:highlight w:val="none"/>
        </w:rPr>
        <w:drawing>
          <wp:inline distT="0" distB="0" distL="0" distR="0">
            <wp:extent cx="6130925" cy="5499735"/>
            <wp:effectExtent l="19050" t="0" r="2882" b="0"/>
            <wp:docPr id="31" name="图片 31" descr="D:\360Downloads\Bin\img9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D:\360Downloads\Bin\img975.jpg"/>
                    <pic:cNvPicPr>
                      <a:picLocks noChangeAspect="1" noChangeArrowheads="1"/>
                    </pic:cNvPicPr>
                  </pic:nvPicPr>
                  <pic:blipFill>
                    <a:blip r:embed="rId19" cstate="print"/>
                    <a:srcRect t="10725" r="1024" b="19950"/>
                    <a:stretch>
                      <a:fillRect/>
                    </a:stretch>
                  </pic:blipFill>
                  <pic:spPr>
                    <a:xfrm>
                      <a:off x="0" y="0"/>
                      <a:ext cx="6132935" cy="5501588"/>
                    </a:xfrm>
                    <a:prstGeom prst="rect">
                      <a:avLst/>
                    </a:prstGeom>
                    <a:noFill/>
                    <a:ln w="9525">
                      <a:noFill/>
                      <a:miter lim="800000"/>
                      <a:headEnd/>
                      <a:tailEnd/>
                    </a:ln>
                  </pic:spPr>
                </pic:pic>
              </a:graphicData>
            </a:graphic>
          </wp:inline>
        </w:drawing>
      </w:r>
    </w:p>
    <w:p w14:paraId="25E6F933">
      <w:pPr>
        <w:ind w:firstLine="118" w:firstLineChars="49"/>
        <w:jc w:val="center"/>
        <w:rPr>
          <w:b/>
          <w:color w:val="auto"/>
          <w:highlight w:val="none"/>
        </w:rPr>
      </w:pPr>
      <w:r>
        <w:rPr>
          <w:rFonts w:hint="eastAsia"/>
          <w:b/>
          <w:color w:val="auto"/>
          <w:highlight w:val="none"/>
        </w:rPr>
        <w:t>图1地下水环境影响评价工程序图</w:t>
      </w:r>
    </w:p>
    <w:p w14:paraId="1E46B31A">
      <w:pPr>
        <w:pStyle w:val="4"/>
        <w:rPr>
          <w:color w:val="auto"/>
          <w:highlight w:val="none"/>
        </w:rPr>
      </w:pPr>
      <w:bookmarkStart w:id="7" w:name="_Toc159594618"/>
      <w:r>
        <w:rPr>
          <w:rFonts w:hint="eastAsia"/>
          <w:color w:val="auto"/>
          <w:highlight w:val="none"/>
        </w:rPr>
        <w:t>1.5环境影响识别</w:t>
      </w:r>
      <w:bookmarkEnd w:id="7"/>
    </w:p>
    <w:p w14:paraId="26FBB1BA">
      <w:pPr>
        <w:keepNext w:val="0"/>
        <w:keepLines w:val="0"/>
        <w:pageBreakBefore w:val="0"/>
        <w:widowControl w:val="0"/>
        <w:kinsoku/>
        <w:wordWrap/>
        <w:overflowPunct/>
        <w:topLinePunct w:val="0"/>
        <w:autoSpaceDE/>
        <w:autoSpaceDN/>
        <w:bidi w:val="0"/>
        <w:adjustRightInd/>
        <w:snapToGrid/>
        <w:ind w:firstLine="480" w:firstLineChars="200"/>
        <w:textAlignment w:val="auto"/>
        <w:rPr>
          <w:rFonts w:ascii="宋体" w:hAnsi="宋体"/>
          <w:color w:val="auto"/>
          <w:highlight w:val="none"/>
        </w:rPr>
      </w:pPr>
      <w:r>
        <w:rPr>
          <w:rFonts w:ascii="宋体" w:hAnsi="宋体"/>
          <w:color w:val="auto"/>
          <w:highlight w:val="none"/>
        </w:rPr>
        <w:t>评价区内无国家、省、市级自然保护区、风景游览区、名胜古迹、疗养院以及重要的政治文化设施。</w:t>
      </w:r>
    </w:p>
    <w:p w14:paraId="01CC2477">
      <w:pPr>
        <w:pStyle w:val="2"/>
        <w:keepNext/>
        <w:keepLines/>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ascii="宋体" w:hAnsi="宋体" w:eastAsia="宋体" w:cs="Times New Roman"/>
          <w:b w:val="0"/>
          <w:bCs w:val="0"/>
          <w:color w:val="auto"/>
          <w:kern w:val="2"/>
          <w:sz w:val="24"/>
          <w:szCs w:val="24"/>
          <w:highlight w:val="none"/>
          <w:lang w:val="en-US" w:eastAsia="zh-CN" w:bidi="ar-SA"/>
        </w:rPr>
      </w:pPr>
      <w:r>
        <w:rPr>
          <w:rFonts w:hint="eastAsia" w:ascii="宋体" w:hAnsi="宋体" w:eastAsia="宋体" w:cs="Times New Roman"/>
          <w:b w:val="0"/>
          <w:bCs w:val="0"/>
          <w:color w:val="auto"/>
          <w:kern w:val="2"/>
          <w:sz w:val="24"/>
          <w:szCs w:val="24"/>
          <w:highlight w:val="none"/>
          <w:lang w:val="en-US" w:eastAsia="zh-CN" w:bidi="ar-SA"/>
        </w:rPr>
        <w:t>本项目施工期较短，对地下水影响较小。本项目为地下水开采工程，运行期不会对地下水水质造成影响，重点评价运行期对地下水水位的影响</w:t>
      </w:r>
      <w:r>
        <w:rPr>
          <w:rFonts w:ascii="宋体" w:hAnsi="宋体" w:eastAsia="宋体" w:cs="Times New Roman"/>
          <w:b w:val="0"/>
          <w:bCs w:val="0"/>
          <w:color w:val="auto"/>
          <w:kern w:val="2"/>
          <w:sz w:val="24"/>
          <w:szCs w:val="24"/>
          <w:highlight w:val="none"/>
          <w:lang w:val="en-US" w:eastAsia="zh-CN" w:bidi="ar-SA"/>
        </w:rPr>
        <w:t>。</w:t>
      </w:r>
    </w:p>
    <w:p w14:paraId="4A566E0E">
      <w:pPr>
        <w:pStyle w:val="4"/>
        <w:rPr>
          <w:color w:val="auto"/>
          <w:highlight w:val="none"/>
        </w:rPr>
      </w:pPr>
      <w:bookmarkStart w:id="8" w:name="_Toc159594619"/>
      <w:r>
        <w:rPr>
          <w:rFonts w:hint="eastAsia"/>
          <w:color w:val="auto"/>
          <w:highlight w:val="none"/>
        </w:rPr>
        <w:t>1.6评价工作等级</w:t>
      </w:r>
      <w:bookmarkEnd w:id="8"/>
    </w:p>
    <w:p w14:paraId="2C82CBAB">
      <w:pPr>
        <w:ind w:firstLine="523" w:firstLineChars="218"/>
        <w:rPr>
          <w:rFonts w:ascii="宋体" w:hAnsi="宋体"/>
          <w:color w:val="auto"/>
          <w:highlight w:val="none"/>
        </w:rPr>
      </w:pPr>
      <w:r>
        <w:rPr>
          <w:color w:val="auto"/>
          <w:highlight w:val="none"/>
        </w:rPr>
        <w:t>根据《环境影响评价技术导则—地下水环境》（HJ610-2016）要求，建设项目地下水环境影响评价工作等级的划分应根据“建设项目地下水环境影响评价行业分类”和“建设项目所在区域和地下水环境敏感程度”划分</w:t>
      </w:r>
      <w:r>
        <w:rPr>
          <w:rFonts w:ascii="宋体" w:hAnsi="宋体"/>
          <w:color w:val="auto"/>
          <w:highlight w:val="none"/>
        </w:rPr>
        <w:t>。</w:t>
      </w:r>
    </w:p>
    <w:p w14:paraId="17C9DE55">
      <w:pPr>
        <w:ind w:firstLine="0" w:firstLineChars="0"/>
        <w:jc w:val="center"/>
        <w:rPr>
          <w:b/>
          <w:color w:val="auto"/>
          <w:highlight w:val="none"/>
        </w:rPr>
      </w:pPr>
      <w:r>
        <w:rPr>
          <w:rFonts w:hAnsi="宋体"/>
          <w:b/>
          <w:color w:val="auto"/>
          <w:highlight w:val="none"/>
        </w:rPr>
        <w:t>表</w:t>
      </w:r>
      <w:r>
        <w:rPr>
          <w:rFonts w:hint="eastAsia"/>
          <w:b/>
          <w:color w:val="auto"/>
          <w:highlight w:val="none"/>
        </w:rPr>
        <w:t>2</w:t>
      </w:r>
      <w:r>
        <w:rPr>
          <w:rFonts w:hAnsi="宋体"/>
          <w:b/>
          <w:color w:val="auto"/>
          <w:highlight w:val="none"/>
        </w:rPr>
        <w:t>地下水环境敏感程度分级表</w:t>
      </w:r>
    </w:p>
    <w:tbl>
      <w:tblPr>
        <w:tblStyle w:val="20"/>
        <w:tblW w:w="8789"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7596"/>
      </w:tblGrid>
      <w:tr w14:paraId="2828BB3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14:paraId="54F98A5D">
            <w:pPr>
              <w:spacing w:line="240" w:lineRule="auto"/>
              <w:ind w:firstLine="0" w:firstLineChars="0"/>
              <w:jc w:val="center"/>
              <w:rPr>
                <w:b/>
                <w:color w:val="auto"/>
                <w:sz w:val="21"/>
                <w:szCs w:val="21"/>
                <w:highlight w:val="none"/>
              </w:rPr>
            </w:pPr>
            <w:r>
              <w:rPr>
                <w:rFonts w:hAnsi="宋体"/>
                <w:b/>
                <w:color w:val="auto"/>
                <w:sz w:val="21"/>
                <w:szCs w:val="21"/>
                <w:highlight w:val="none"/>
              </w:rPr>
              <w:t>敏感程度</w:t>
            </w:r>
          </w:p>
        </w:tc>
        <w:tc>
          <w:tcPr>
            <w:tcW w:w="8044" w:type="dxa"/>
            <w:vAlign w:val="center"/>
          </w:tcPr>
          <w:p w14:paraId="02EBD296">
            <w:pPr>
              <w:spacing w:line="240" w:lineRule="auto"/>
              <w:ind w:firstLine="0" w:firstLineChars="0"/>
              <w:jc w:val="center"/>
              <w:rPr>
                <w:b/>
                <w:color w:val="auto"/>
                <w:sz w:val="21"/>
                <w:szCs w:val="21"/>
                <w:highlight w:val="none"/>
              </w:rPr>
            </w:pPr>
            <w:r>
              <w:rPr>
                <w:rFonts w:hAnsi="宋体"/>
                <w:b/>
                <w:color w:val="auto"/>
                <w:sz w:val="21"/>
                <w:szCs w:val="21"/>
                <w:highlight w:val="none"/>
              </w:rPr>
              <w:t>地下水环境敏感特征</w:t>
            </w:r>
          </w:p>
        </w:tc>
      </w:tr>
      <w:tr w14:paraId="5508C4D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14:paraId="047BAB55">
            <w:pPr>
              <w:spacing w:line="240" w:lineRule="auto"/>
              <w:ind w:firstLine="0" w:firstLineChars="0"/>
              <w:jc w:val="center"/>
              <w:rPr>
                <w:b/>
                <w:color w:val="auto"/>
                <w:sz w:val="21"/>
                <w:szCs w:val="21"/>
                <w:highlight w:val="none"/>
              </w:rPr>
            </w:pPr>
            <w:r>
              <w:rPr>
                <w:rFonts w:hAnsi="宋体"/>
                <w:b/>
                <w:color w:val="auto"/>
                <w:sz w:val="21"/>
                <w:szCs w:val="21"/>
                <w:highlight w:val="none"/>
              </w:rPr>
              <w:t>敏感</w:t>
            </w:r>
          </w:p>
        </w:tc>
        <w:tc>
          <w:tcPr>
            <w:tcW w:w="8044" w:type="dxa"/>
            <w:vAlign w:val="center"/>
          </w:tcPr>
          <w:p w14:paraId="64C687A1">
            <w:pPr>
              <w:spacing w:line="240" w:lineRule="auto"/>
              <w:ind w:firstLine="0" w:firstLineChars="0"/>
              <w:rPr>
                <w:color w:val="auto"/>
                <w:sz w:val="21"/>
                <w:szCs w:val="21"/>
                <w:highlight w:val="none"/>
              </w:rPr>
            </w:pPr>
            <w:r>
              <w:rPr>
                <w:rFonts w:hAnsi="宋体"/>
                <w:color w:val="auto"/>
                <w:sz w:val="21"/>
                <w:szCs w:val="21"/>
                <w:highlight w:val="none"/>
              </w:rPr>
              <w:t>集中式饮用水水源（包括已建成的在用、备用、应急水源，在建和规划的饮用水水源）准保护区；除集中式饮用水水源以外的国家或地方政府设定的与地下水环境相关的其它保护区，如热水、矿泉水、温泉等特殊地下水资源保护区。</w:t>
            </w:r>
          </w:p>
        </w:tc>
      </w:tr>
      <w:tr w14:paraId="15568C2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14:paraId="4D7A9B5D">
            <w:pPr>
              <w:spacing w:line="240" w:lineRule="auto"/>
              <w:ind w:firstLine="0" w:firstLineChars="0"/>
              <w:jc w:val="center"/>
              <w:rPr>
                <w:b/>
                <w:color w:val="auto"/>
                <w:sz w:val="21"/>
                <w:szCs w:val="21"/>
                <w:highlight w:val="none"/>
              </w:rPr>
            </w:pPr>
            <w:r>
              <w:rPr>
                <w:rFonts w:hAnsi="宋体"/>
                <w:b/>
                <w:color w:val="auto"/>
                <w:sz w:val="21"/>
                <w:szCs w:val="21"/>
                <w:highlight w:val="none"/>
              </w:rPr>
              <w:t>较敏感</w:t>
            </w:r>
          </w:p>
        </w:tc>
        <w:tc>
          <w:tcPr>
            <w:tcW w:w="8044" w:type="dxa"/>
            <w:vAlign w:val="center"/>
          </w:tcPr>
          <w:p w14:paraId="3AA0BC5A">
            <w:pPr>
              <w:spacing w:line="240" w:lineRule="auto"/>
              <w:ind w:firstLine="0" w:firstLineChars="0"/>
              <w:rPr>
                <w:color w:val="auto"/>
                <w:sz w:val="21"/>
                <w:szCs w:val="21"/>
                <w:highlight w:val="none"/>
              </w:rPr>
            </w:pPr>
            <w:r>
              <w:rPr>
                <w:rFonts w:hAnsi="宋体"/>
                <w:color w:val="auto"/>
                <w:sz w:val="21"/>
                <w:szCs w:val="21"/>
                <w:highlight w:val="none"/>
              </w:rPr>
              <w:t>集中式饮用水水源（包括已建成的在用、备用、应急水源，在建和规划的饮用水水源）准保护区以外的补给径流区；未划定准保护区的集中水式饮用水源，其保护区以外的补给径流区；分散式饮用水水源地；特殊地下水资源（如矿泉水、温泉等）保护区以外的分布区等其他未列入上述敏感分级的环境敏感区</w:t>
            </w:r>
            <w:r>
              <w:rPr>
                <w:color w:val="auto"/>
                <w:sz w:val="21"/>
                <w:szCs w:val="21"/>
                <w:highlight w:val="none"/>
                <w:vertAlign w:val="superscript"/>
              </w:rPr>
              <w:t>a</w:t>
            </w:r>
            <w:r>
              <w:rPr>
                <w:rFonts w:hAnsi="宋体"/>
                <w:color w:val="auto"/>
                <w:sz w:val="21"/>
                <w:szCs w:val="21"/>
                <w:highlight w:val="none"/>
              </w:rPr>
              <w:t>。</w:t>
            </w:r>
          </w:p>
        </w:tc>
      </w:tr>
      <w:tr w14:paraId="200D731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14:paraId="597D259D">
            <w:pPr>
              <w:spacing w:line="240" w:lineRule="auto"/>
              <w:ind w:firstLine="0" w:firstLineChars="0"/>
              <w:jc w:val="center"/>
              <w:rPr>
                <w:b/>
                <w:color w:val="auto"/>
                <w:sz w:val="21"/>
                <w:szCs w:val="21"/>
                <w:highlight w:val="none"/>
              </w:rPr>
            </w:pPr>
            <w:r>
              <w:rPr>
                <w:rFonts w:hAnsi="宋体"/>
                <w:b/>
                <w:color w:val="auto"/>
                <w:sz w:val="21"/>
                <w:szCs w:val="21"/>
                <w:highlight w:val="none"/>
              </w:rPr>
              <w:t>不敏感</w:t>
            </w:r>
          </w:p>
        </w:tc>
        <w:tc>
          <w:tcPr>
            <w:tcW w:w="8044" w:type="dxa"/>
            <w:vAlign w:val="center"/>
          </w:tcPr>
          <w:p w14:paraId="59C5636B">
            <w:pPr>
              <w:spacing w:line="240" w:lineRule="auto"/>
              <w:ind w:firstLine="0" w:firstLineChars="0"/>
              <w:rPr>
                <w:color w:val="auto"/>
                <w:sz w:val="21"/>
                <w:szCs w:val="21"/>
                <w:highlight w:val="none"/>
              </w:rPr>
            </w:pPr>
            <w:r>
              <w:rPr>
                <w:rFonts w:hAnsi="宋体"/>
                <w:color w:val="auto"/>
                <w:sz w:val="21"/>
                <w:szCs w:val="21"/>
                <w:highlight w:val="none"/>
              </w:rPr>
              <w:t>上述地区之外的其它地区。</w:t>
            </w:r>
          </w:p>
        </w:tc>
      </w:tr>
      <w:tr w14:paraId="496DBB1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286" w:type="dxa"/>
            <w:gridSpan w:val="2"/>
            <w:vAlign w:val="center"/>
          </w:tcPr>
          <w:p w14:paraId="32F0EB36">
            <w:pPr>
              <w:spacing w:line="240" w:lineRule="auto"/>
              <w:ind w:firstLine="0" w:firstLineChars="0"/>
              <w:rPr>
                <w:color w:val="auto"/>
                <w:sz w:val="21"/>
                <w:szCs w:val="21"/>
                <w:highlight w:val="none"/>
              </w:rPr>
            </w:pPr>
            <w:r>
              <w:rPr>
                <w:rFonts w:hAnsi="宋体"/>
                <w:color w:val="auto"/>
                <w:sz w:val="21"/>
                <w:szCs w:val="21"/>
                <w:highlight w:val="none"/>
              </w:rPr>
              <w:t>注：</w:t>
            </w:r>
            <w:r>
              <w:rPr>
                <w:color w:val="auto"/>
                <w:sz w:val="21"/>
                <w:szCs w:val="21"/>
                <w:highlight w:val="none"/>
              </w:rPr>
              <w:t>a“</w:t>
            </w:r>
            <w:r>
              <w:rPr>
                <w:rFonts w:hAnsi="宋体"/>
                <w:color w:val="auto"/>
                <w:sz w:val="21"/>
                <w:szCs w:val="21"/>
                <w:highlight w:val="none"/>
              </w:rPr>
              <w:t>环境敏感区</w:t>
            </w:r>
            <w:r>
              <w:rPr>
                <w:color w:val="auto"/>
                <w:sz w:val="21"/>
                <w:szCs w:val="21"/>
                <w:highlight w:val="none"/>
              </w:rPr>
              <w:t>”</w:t>
            </w:r>
            <w:r>
              <w:rPr>
                <w:rFonts w:hAnsi="宋体"/>
                <w:color w:val="auto"/>
                <w:sz w:val="21"/>
                <w:szCs w:val="21"/>
                <w:highlight w:val="none"/>
              </w:rPr>
              <w:t>是指《建设项目环境影响评价分类管理名录》中所界定的涉及地下水的环境敏感区。</w:t>
            </w:r>
          </w:p>
        </w:tc>
      </w:tr>
    </w:tbl>
    <w:p w14:paraId="56015A0A">
      <w:pPr>
        <w:ind w:firstLine="0" w:firstLineChars="0"/>
        <w:jc w:val="center"/>
        <w:rPr>
          <w:b/>
          <w:color w:val="auto"/>
          <w:highlight w:val="none"/>
        </w:rPr>
      </w:pPr>
      <w:r>
        <w:rPr>
          <w:rFonts w:hAnsi="宋体"/>
          <w:b/>
          <w:color w:val="auto"/>
          <w:highlight w:val="none"/>
        </w:rPr>
        <w:t>表</w:t>
      </w:r>
      <w:r>
        <w:rPr>
          <w:b/>
          <w:color w:val="auto"/>
          <w:highlight w:val="none"/>
        </w:rPr>
        <w:t>3</w:t>
      </w:r>
      <w:r>
        <w:rPr>
          <w:rFonts w:hAnsi="宋体"/>
          <w:b/>
          <w:color w:val="auto"/>
          <w:highlight w:val="none"/>
        </w:rPr>
        <w:t>地下水评价工作等级分级表</w:t>
      </w:r>
    </w:p>
    <w:tbl>
      <w:tblPr>
        <w:tblStyle w:val="20"/>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2197"/>
        <w:gridCol w:w="2198"/>
        <w:gridCol w:w="2198"/>
      </w:tblGrid>
      <w:tr w14:paraId="0A6A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Borders>
              <w:top w:val="single" w:color="auto" w:sz="12" w:space="0"/>
              <w:left w:val="nil"/>
              <w:bottom w:val="single" w:color="auto" w:sz="4" w:space="0"/>
              <w:right w:val="single" w:color="auto" w:sz="4" w:space="0"/>
              <w:tl2br w:val="single" w:color="auto" w:sz="4" w:space="0"/>
            </w:tcBorders>
            <w:vAlign w:val="center"/>
          </w:tcPr>
          <w:p w14:paraId="4D3EC7D6">
            <w:pPr>
              <w:spacing w:line="240" w:lineRule="auto"/>
              <w:ind w:firstLine="0" w:firstLineChars="0"/>
              <w:jc w:val="right"/>
              <w:rPr>
                <w:rFonts w:ascii="宋体" w:hAnsi="宋体"/>
                <w:b/>
                <w:color w:val="auto"/>
                <w:sz w:val="21"/>
                <w:szCs w:val="21"/>
                <w:highlight w:val="none"/>
              </w:rPr>
            </w:pPr>
            <w:r>
              <w:rPr>
                <w:rFonts w:ascii="宋体" w:hAnsi="宋体"/>
                <w:b/>
                <w:color w:val="auto"/>
                <w:sz w:val="21"/>
                <w:szCs w:val="21"/>
                <w:highlight w:val="none"/>
              </w:rPr>
              <w:t>项目类别</w:t>
            </w:r>
          </w:p>
          <w:p w14:paraId="231ADA89">
            <w:pPr>
              <w:spacing w:line="240" w:lineRule="auto"/>
              <w:ind w:firstLine="0" w:firstLineChars="0"/>
              <w:rPr>
                <w:rFonts w:ascii="宋体" w:hAnsi="宋体"/>
                <w:b/>
                <w:color w:val="auto"/>
                <w:sz w:val="21"/>
                <w:szCs w:val="21"/>
                <w:highlight w:val="none"/>
              </w:rPr>
            </w:pPr>
            <w:r>
              <w:rPr>
                <w:rFonts w:ascii="宋体" w:hAnsi="宋体"/>
                <w:b/>
                <w:color w:val="auto"/>
                <w:sz w:val="21"/>
                <w:szCs w:val="21"/>
                <w:highlight w:val="none"/>
              </w:rPr>
              <w:t>环境敏感程度</w:t>
            </w:r>
          </w:p>
        </w:tc>
        <w:tc>
          <w:tcPr>
            <w:tcW w:w="2197" w:type="dxa"/>
            <w:tcBorders>
              <w:top w:val="single" w:color="auto" w:sz="12" w:space="0"/>
              <w:left w:val="single" w:color="auto" w:sz="4" w:space="0"/>
              <w:bottom w:val="single" w:color="auto" w:sz="4" w:space="0"/>
              <w:right w:val="single" w:color="auto" w:sz="4" w:space="0"/>
            </w:tcBorders>
            <w:vAlign w:val="center"/>
          </w:tcPr>
          <w:p w14:paraId="4614E092">
            <w:pPr>
              <w:spacing w:line="240" w:lineRule="auto"/>
              <w:ind w:firstLine="0" w:firstLineChars="0"/>
              <w:jc w:val="center"/>
              <w:rPr>
                <w:rFonts w:ascii="宋体" w:hAnsi="宋体"/>
                <w:b/>
                <w:color w:val="auto"/>
                <w:sz w:val="21"/>
                <w:szCs w:val="21"/>
                <w:highlight w:val="none"/>
              </w:rPr>
            </w:pPr>
            <w:r>
              <w:rPr>
                <w:rFonts w:ascii="宋体" w:hAnsi="宋体"/>
                <w:b/>
                <w:color w:val="auto"/>
                <w:sz w:val="21"/>
                <w:szCs w:val="21"/>
                <w:highlight w:val="none"/>
              </w:rPr>
              <w:t>Ⅰ类项目</w:t>
            </w:r>
          </w:p>
        </w:tc>
        <w:tc>
          <w:tcPr>
            <w:tcW w:w="2198" w:type="dxa"/>
            <w:tcBorders>
              <w:top w:val="single" w:color="auto" w:sz="12" w:space="0"/>
              <w:left w:val="single" w:color="auto" w:sz="4" w:space="0"/>
              <w:bottom w:val="single" w:color="auto" w:sz="4" w:space="0"/>
              <w:right w:val="single" w:color="auto" w:sz="4" w:space="0"/>
            </w:tcBorders>
            <w:vAlign w:val="center"/>
          </w:tcPr>
          <w:p w14:paraId="4BCE18D4">
            <w:pPr>
              <w:spacing w:line="240" w:lineRule="auto"/>
              <w:ind w:firstLine="0" w:firstLineChars="0"/>
              <w:jc w:val="center"/>
              <w:rPr>
                <w:rFonts w:ascii="宋体" w:hAnsi="宋体"/>
                <w:b/>
                <w:color w:val="auto"/>
                <w:sz w:val="21"/>
                <w:szCs w:val="21"/>
                <w:highlight w:val="none"/>
              </w:rPr>
            </w:pPr>
            <w:r>
              <w:rPr>
                <w:rFonts w:ascii="宋体" w:hAnsi="宋体"/>
                <w:b/>
                <w:color w:val="auto"/>
                <w:sz w:val="21"/>
                <w:szCs w:val="21"/>
                <w:highlight w:val="none"/>
              </w:rPr>
              <w:t>Ⅱ类项目</w:t>
            </w:r>
          </w:p>
        </w:tc>
        <w:tc>
          <w:tcPr>
            <w:tcW w:w="2198" w:type="dxa"/>
            <w:tcBorders>
              <w:top w:val="single" w:color="auto" w:sz="12" w:space="0"/>
              <w:left w:val="single" w:color="auto" w:sz="4" w:space="0"/>
              <w:bottom w:val="single" w:color="auto" w:sz="4" w:space="0"/>
              <w:right w:val="nil"/>
            </w:tcBorders>
            <w:vAlign w:val="center"/>
          </w:tcPr>
          <w:p w14:paraId="5368A7DF">
            <w:pPr>
              <w:spacing w:line="240" w:lineRule="auto"/>
              <w:ind w:firstLine="0" w:firstLineChars="0"/>
              <w:jc w:val="center"/>
              <w:rPr>
                <w:rFonts w:ascii="宋体" w:hAnsi="宋体"/>
                <w:b/>
                <w:color w:val="auto"/>
                <w:sz w:val="21"/>
                <w:szCs w:val="21"/>
                <w:highlight w:val="none"/>
              </w:rPr>
            </w:pPr>
            <w:r>
              <w:rPr>
                <w:rFonts w:ascii="宋体" w:hAnsi="宋体"/>
                <w:b/>
                <w:color w:val="auto"/>
                <w:sz w:val="21"/>
                <w:szCs w:val="21"/>
                <w:highlight w:val="none"/>
              </w:rPr>
              <w:t>Ⅲ类项目</w:t>
            </w:r>
          </w:p>
        </w:tc>
      </w:tr>
      <w:tr w14:paraId="47F6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Borders>
              <w:top w:val="single" w:color="auto" w:sz="4" w:space="0"/>
              <w:left w:val="nil"/>
              <w:bottom w:val="single" w:color="auto" w:sz="4" w:space="0"/>
              <w:right w:val="single" w:color="auto" w:sz="4" w:space="0"/>
            </w:tcBorders>
            <w:vAlign w:val="center"/>
          </w:tcPr>
          <w:p w14:paraId="2ADE8815">
            <w:pPr>
              <w:spacing w:line="240" w:lineRule="auto"/>
              <w:ind w:firstLine="0" w:firstLineChars="0"/>
              <w:jc w:val="center"/>
              <w:rPr>
                <w:rFonts w:ascii="宋体" w:hAnsi="宋体"/>
                <w:b/>
                <w:color w:val="auto"/>
                <w:sz w:val="21"/>
                <w:szCs w:val="21"/>
                <w:highlight w:val="none"/>
              </w:rPr>
            </w:pPr>
            <w:r>
              <w:rPr>
                <w:rFonts w:ascii="宋体" w:hAnsi="宋体"/>
                <w:b/>
                <w:color w:val="auto"/>
                <w:sz w:val="21"/>
                <w:szCs w:val="21"/>
                <w:highlight w:val="none"/>
              </w:rPr>
              <w:t>敏感</w:t>
            </w:r>
          </w:p>
        </w:tc>
        <w:tc>
          <w:tcPr>
            <w:tcW w:w="2197" w:type="dxa"/>
            <w:tcBorders>
              <w:top w:val="single" w:color="auto" w:sz="4" w:space="0"/>
              <w:left w:val="single" w:color="auto" w:sz="4" w:space="0"/>
              <w:bottom w:val="single" w:color="auto" w:sz="4" w:space="0"/>
              <w:right w:val="single" w:color="auto" w:sz="4" w:space="0"/>
            </w:tcBorders>
            <w:vAlign w:val="center"/>
          </w:tcPr>
          <w:p w14:paraId="421C9816">
            <w:pPr>
              <w:spacing w:line="240" w:lineRule="auto"/>
              <w:ind w:firstLine="0" w:firstLineChars="0"/>
              <w:jc w:val="center"/>
              <w:rPr>
                <w:rFonts w:ascii="宋体" w:hAnsi="宋体"/>
                <w:color w:val="auto"/>
                <w:sz w:val="21"/>
                <w:szCs w:val="21"/>
                <w:highlight w:val="none"/>
              </w:rPr>
            </w:pPr>
            <w:r>
              <w:rPr>
                <w:rFonts w:ascii="宋体" w:hAnsi="宋体"/>
                <w:color w:val="auto"/>
                <w:sz w:val="21"/>
                <w:szCs w:val="21"/>
                <w:highlight w:val="none"/>
              </w:rPr>
              <w:t>一</w:t>
            </w:r>
          </w:p>
        </w:tc>
        <w:tc>
          <w:tcPr>
            <w:tcW w:w="2198" w:type="dxa"/>
            <w:tcBorders>
              <w:top w:val="single" w:color="auto" w:sz="4" w:space="0"/>
              <w:left w:val="single" w:color="auto" w:sz="4" w:space="0"/>
              <w:bottom w:val="single" w:color="auto" w:sz="4" w:space="0"/>
              <w:right w:val="single" w:color="auto" w:sz="4" w:space="0"/>
            </w:tcBorders>
            <w:vAlign w:val="center"/>
          </w:tcPr>
          <w:p w14:paraId="1711EC92">
            <w:pPr>
              <w:spacing w:line="240" w:lineRule="auto"/>
              <w:ind w:firstLine="0" w:firstLineChars="0"/>
              <w:jc w:val="center"/>
              <w:rPr>
                <w:rFonts w:ascii="宋体" w:hAnsi="宋体"/>
                <w:color w:val="auto"/>
                <w:sz w:val="21"/>
                <w:szCs w:val="21"/>
                <w:highlight w:val="none"/>
              </w:rPr>
            </w:pPr>
            <w:r>
              <w:rPr>
                <w:rFonts w:ascii="宋体" w:hAnsi="宋体"/>
                <w:color w:val="auto"/>
                <w:sz w:val="21"/>
                <w:szCs w:val="21"/>
                <w:highlight w:val="none"/>
              </w:rPr>
              <w:t>一</w:t>
            </w:r>
          </w:p>
        </w:tc>
        <w:tc>
          <w:tcPr>
            <w:tcW w:w="2198" w:type="dxa"/>
            <w:tcBorders>
              <w:top w:val="single" w:color="auto" w:sz="4" w:space="0"/>
              <w:left w:val="single" w:color="auto" w:sz="4" w:space="0"/>
              <w:bottom w:val="single" w:color="auto" w:sz="4" w:space="0"/>
              <w:right w:val="nil"/>
            </w:tcBorders>
            <w:vAlign w:val="center"/>
          </w:tcPr>
          <w:p w14:paraId="2DE356AE">
            <w:pPr>
              <w:spacing w:line="240" w:lineRule="auto"/>
              <w:ind w:firstLine="0" w:firstLineChars="0"/>
              <w:jc w:val="center"/>
              <w:rPr>
                <w:rFonts w:ascii="宋体" w:hAnsi="宋体"/>
                <w:color w:val="auto"/>
                <w:sz w:val="21"/>
                <w:szCs w:val="21"/>
                <w:highlight w:val="none"/>
              </w:rPr>
            </w:pPr>
            <w:r>
              <w:rPr>
                <w:rFonts w:ascii="宋体" w:hAnsi="宋体"/>
                <w:color w:val="auto"/>
                <w:sz w:val="21"/>
                <w:szCs w:val="21"/>
                <w:highlight w:val="none"/>
              </w:rPr>
              <w:t>二</w:t>
            </w:r>
          </w:p>
        </w:tc>
      </w:tr>
      <w:tr w14:paraId="4D653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Borders>
              <w:top w:val="single" w:color="auto" w:sz="4" w:space="0"/>
              <w:left w:val="nil"/>
              <w:bottom w:val="single" w:color="auto" w:sz="4" w:space="0"/>
              <w:right w:val="single" w:color="auto" w:sz="4" w:space="0"/>
            </w:tcBorders>
            <w:vAlign w:val="center"/>
          </w:tcPr>
          <w:p w14:paraId="770A22BF">
            <w:pPr>
              <w:spacing w:line="240" w:lineRule="auto"/>
              <w:ind w:firstLine="0" w:firstLineChars="0"/>
              <w:jc w:val="center"/>
              <w:rPr>
                <w:rFonts w:ascii="宋体" w:hAnsi="宋体"/>
                <w:b/>
                <w:color w:val="auto"/>
                <w:sz w:val="21"/>
                <w:szCs w:val="21"/>
                <w:highlight w:val="none"/>
              </w:rPr>
            </w:pPr>
            <w:r>
              <w:rPr>
                <w:rFonts w:ascii="宋体" w:hAnsi="宋体"/>
                <w:b/>
                <w:color w:val="auto"/>
                <w:sz w:val="21"/>
                <w:szCs w:val="21"/>
                <w:highlight w:val="none"/>
              </w:rPr>
              <w:t>较敏感</w:t>
            </w:r>
          </w:p>
        </w:tc>
        <w:tc>
          <w:tcPr>
            <w:tcW w:w="2197" w:type="dxa"/>
            <w:tcBorders>
              <w:top w:val="single" w:color="auto" w:sz="4" w:space="0"/>
              <w:left w:val="single" w:color="auto" w:sz="4" w:space="0"/>
              <w:bottom w:val="single" w:color="auto" w:sz="4" w:space="0"/>
              <w:right w:val="single" w:color="auto" w:sz="4" w:space="0"/>
            </w:tcBorders>
            <w:vAlign w:val="center"/>
          </w:tcPr>
          <w:p w14:paraId="39C4014B">
            <w:pPr>
              <w:spacing w:line="240" w:lineRule="auto"/>
              <w:ind w:firstLine="0" w:firstLineChars="0"/>
              <w:jc w:val="center"/>
              <w:rPr>
                <w:rFonts w:ascii="宋体" w:hAnsi="宋体"/>
                <w:color w:val="auto"/>
                <w:sz w:val="21"/>
                <w:szCs w:val="21"/>
                <w:highlight w:val="none"/>
              </w:rPr>
            </w:pPr>
            <w:r>
              <w:rPr>
                <w:rFonts w:ascii="宋体" w:hAnsi="宋体"/>
                <w:color w:val="auto"/>
                <w:sz w:val="21"/>
                <w:szCs w:val="21"/>
                <w:highlight w:val="none"/>
              </w:rPr>
              <w:t>一</w:t>
            </w:r>
          </w:p>
        </w:tc>
        <w:tc>
          <w:tcPr>
            <w:tcW w:w="2198" w:type="dxa"/>
            <w:tcBorders>
              <w:top w:val="single" w:color="auto" w:sz="4" w:space="0"/>
              <w:left w:val="single" w:color="auto" w:sz="4" w:space="0"/>
              <w:bottom w:val="single" w:color="auto" w:sz="4" w:space="0"/>
              <w:right w:val="single" w:color="auto" w:sz="4" w:space="0"/>
            </w:tcBorders>
            <w:vAlign w:val="center"/>
          </w:tcPr>
          <w:p w14:paraId="2FE108EB">
            <w:pPr>
              <w:spacing w:line="240" w:lineRule="auto"/>
              <w:ind w:firstLine="0" w:firstLineChars="0"/>
              <w:jc w:val="center"/>
              <w:rPr>
                <w:rFonts w:ascii="宋体" w:hAnsi="宋体"/>
                <w:color w:val="auto"/>
                <w:sz w:val="21"/>
                <w:szCs w:val="21"/>
                <w:highlight w:val="none"/>
              </w:rPr>
            </w:pPr>
            <w:r>
              <w:rPr>
                <w:rFonts w:ascii="宋体" w:hAnsi="宋体"/>
                <w:color w:val="auto"/>
                <w:sz w:val="21"/>
                <w:szCs w:val="21"/>
                <w:highlight w:val="none"/>
              </w:rPr>
              <w:t>二</w:t>
            </w:r>
          </w:p>
        </w:tc>
        <w:tc>
          <w:tcPr>
            <w:tcW w:w="2198" w:type="dxa"/>
            <w:tcBorders>
              <w:top w:val="single" w:color="auto" w:sz="4" w:space="0"/>
              <w:left w:val="single" w:color="auto" w:sz="4" w:space="0"/>
              <w:bottom w:val="single" w:color="auto" w:sz="4" w:space="0"/>
              <w:right w:val="nil"/>
            </w:tcBorders>
            <w:vAlign w:val="center"/>
          </w:tcPr>
          <w:p w14:paraId="69265894">
            <w:pPr>
              <w:spacing w:line="240" w:lineRule="auto"/>
              <w:ind w:firstLine="0" w:firstLineChars="0"/>
              <w:jc w:val="center"/>
              <w:rPr>
                <w:rFonts w:ascii="宋体" w:hAnsi="宋体"/>
                <w:color w:val="auto"/>
                <w:sz w:val="21"/>
                <w:szCs w:val="21"/>
                <w:highlight w:val="none"/>
              </w:rPr>
            </w:pPr>
            <w:r>
              <w:rPr>
                <w:rFonts w:ascii="宋体" w:hAnsi="宋体"/>
                <w:color w:val="auto"/>
                <w:sz w:val="21"/>
                <w:szCs w:val="21"/>
                <w:highlight w:val="none"/>
              </w:rPr>
              <w:t>三</w:t>
            </w:r>
          </w:p>
        </w:tc>
      </w:tr>
      <w:tr w14:paraId="7B8B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Borders>
              <w:top w:val="single" w:color="auto" w:sz="4" w:space="0"/>
              <w:left w:val="nil"/>
              <w:bottom w:val="single" w:color="auto" w:sz="12" w:space="0"/>
              <w:right w:val="single" w:color="auto" w:sz="4" w:space="0"/>
            </w:tcBorders>
            <w:vAlign w:val="center"/>
          </w:tcPr>
          <w:p w14:paraId="61BAFB96">
            <w:pPr>
              <w:spacing w:line="240" w:lineRule="auto"/>
              <w:ind w:firstLine="0" w:firstLineChars="0"/>
              <w:jc w:val="center"/>
              <w:rPr>
                <w:rFonts w:ascii="宋体" w:hAnsi="宋体"/>
                <w:b/>
                <w:color w:val="auto"/>
                <w:sz w:val="21"/>
                <w:szCs w:val="21"/>
                <w:highlight w:val="none"/>
              </w:rPr>
            </w:pPr>
            <w:r>
              <w:rPr>
                <w:rFonts w:ascii="宋体" w:hAnsi="宋体"/>
                <w:b/>
                <w:color w:val="auto"/>
                <w:sz w:val="21"/>
                <w:szCs w:val="21"/>
                <w:highlight w:val="none"/>
              </w:rPr>
              <w:t>不敏感</w:t>
            </w:r>
          </w:p>
        </w:tc>
        <w:tc>
          <w:tcPr>
            <w:tcW w:w="2197" w:type="dxa"/>
            <w:tcBorders>
              <w:top w:val="single" w:color="auto" w:sz="4" w:space="0"/>
              <w:left w:val="single" w:color="auto" w:sz="4" w:space="0"/>
              <w:bottom w:val="single" w:color="auto" w:sz="12" w:space="0"/>
              <w:right w:val="single" w:color="auto" w:sz="4" w:space="0"/>
            </w:tcBorders>
            <w:vAlign w:val="center"/>
          </w:tcPr>
          <w:p w14:paraId="448EF277">
            <w:pPr>
              <w:spacing w:line="240" w:lineRule="auto"/>
              <w:ind w:firstLine="0" w:firstLineChars="0"/>
              <w:jc w:val="center"/>
              <w:rPr>
                <w:rFonts w:ascii="宋体" w:hAnsi="宋体"/>
                <w:color w:val="auto"/>
                <w:sz w:val="21"/>
                <w:szCs w:val="21"/>
                <w:highlight w:val="none"/>
              </w:rPr>
            </w:pPr>
            <w:r>
              <w:rPr>
                <w:rFonts w:ascii="宋体" w:hAnsi="宋体"/>
                <w:color w:val="auto"/>
                <w:sz w:val="21"/>
                <w:szCs w:val="21"/>
                <w:highlight w:val="none"/>
              </w:rPr>
              <w:t>二</w:t>
            </w:r>
          </w:p>
        </w:tc>
        <w:tc>
          <w:tcPr>
            <w:tcW w:w="2198" w:type="dxa"/>
            <w:tcBorders>
              <w:top w:val="single" w:color="auto" w:sz="4" w:space="0"/>
              <w:left w:val="single" w:color="auto" w:sz="4" w:space="0"/>
              <w:bottom w:val="single" w:color="auto" w:sz="12" w:space="0"/>
              <w:right w:val="single" w:color="auto" w:sz="4" w:space="0"/>
            </w:tcBorders>
            <w:vAlign w:val="center"/>
          </w:tcPr>
          <w:p w14:paraId="1AD94FC9">
            <w:pPr>
              <w:spacing w:line="240" w:lineRule="auto"/>
              <w:ind w:firstLine="0" w:firstLineChars="0"/>
              <w:jc w:val="center"/>
              <w:rPr>
                <w:rFonts w:ascii="宋体" w:hAnsi="宋体"/>
                <w:color w:val="auto"/>
                <w:sz w:val="21"/>
                <w:szCs w:val="21"/>
                <w:highlight w:val="none"/>
              </w:rPr>
            </w:pPr>
            <w:r>
              <w:rPr>
                <w:rFonts w:ascii="宋体" w:hAnsi="宋体"/>
                <w:color w:val="auto"/>
                <w:sz w:val="21"/>
                <w:szCs w:val="21"/>
                <w:highlight w:val="none"/>
              </w:rPr>
              <w:t>三</w:t>
            </w:r>
          </w:p>
        </w:tc>
        <w:tc>
          <w:tcPr>
            <w:tcW w:w="2198" w:type="dxa"/>
            <w:tcBorders>
              <w:top w:val="single" w:color="auto" w:sz="4" w:space="0"/>
              <w:left w:val="single" w:color="auto" w:sz="4" w:space="0"/>
              <w:bottom w:val="single" w:color="auto" w:sz="12" w:space="0"/>
              <w:right w:val="nil"/>
            </w:tcBorders>
            <w:vAlign w:val="center"/>
          </w:tcPr>
          <w:p w14:paraId="55100FDD">
            <w:pPr>
              <w:spacing w:line="240" w:lineRule="auto"/>
              <w:ind w:firstLine="0" w:firstLineChars="0"/>
              <w:jc w:val="center"/>
              <w:rPr>
                <w:rFonts w:ascii="宋体" w:hAnsi="宋体"/>
                <w:b/>
                <w:color w:val="auto"/>
                <w:sz w:val="21"/>
                <w:szCs w:val="21"/>
                <w:highlight w:val="none"/>
              </w:rPr>
            </w:pPr>
            <w:r>
              <w:rPr>
                <w:rFonts w:ascii="宋体" w:hAnsi="宋体"/>
                <w:b/>
                <w:color w:val="auto"/>
                <w:sz w:val="21"/>
                <w:szCs w:val="21"/>
                <w:highlight w:val="none"/>
              </w:rPr>
              <w:t>三</w:t>
            </w:r>
          </w:p>
        </w:tc>
      </w:tr>
    </w:tbl>
    <w:p w14:paraId="58F27F3A">
      <w:pPr>
        <w:adjustRightInd w:val="0"/>
        <w:snapToGrid w:val="0"/>
        <w:ind w:firstLine="518"/>
        <w:rPr>
          <w:rFonts w:hint="eastAsia" w:eastAsia="宋体"/>
          <w:color w:val="auto"/>
          <w:szCs w:val="22"/>
          <w:highlight w:val="none"/>
          <w:lang w:eastAsia="zh-CN"/>
        </w:rPr>
      </w:pPr>
      <w:r>
        <w:rPr>
          <w:color w:val="auto"/>
          <w:szCs w:val="22"/>
          <w:highlight w:val="none"/>
        </w:rPr>
        <w:t>根据《环境影响评价技术导则—地下水环境》（HJ610-2016）附录A“地下水环境影响评价行业分类表”，本项目属于类项目</w:t>
      </w:r>
      <w:r>
        <w:rPr>
          <w:rFonts w:hint="eastAsia"/>
          <w:color w:val="auto"/>
          <w:szCs w:val="22"/>
          <w:highlight w:val="none"/>
        </w:rPr>
        <w:t>，</w:t>
      </w:r>
      <w:r>
        <w:rPr>
          <w:color w:val="auto"/>
          <w:szCs w:val="22"/>
          <w:highlight w:val="none"/>
        </w:rPr>
        <w:fldChar w:fldCharType="begin"/>
      </w:r>
      <w:r>
        <w:rPr>
          <w:color w:val="auto"/>
          <w:szCs w:val="22"/>
          <w:highlight w:val="none"/>
        </w:rPr>
        <w:instrText xml:space="preserve"> = 4 \* ROMAN </w:instrText>
      </w:r>
      <w:r>
        <w:rPr>
          <w:color w:val="auto"/>
          <w:szCs w:val="22"/>
          <w:highlight w:val="none"/>
        </w:rPr>
        <w:fldChar w:fldCharType="separate"/>
      </w:r>
      <w:r>
        <w:rPr>
          <w:color w:val="auto"/>
          <w:szCs w:val="22"/>
          <w:highlight w:val="none"/>
        </w:rPr>
        <w:t>IV</w:t>
      </w:r>
      <w:r>
        <w:rPr>
          <w:color w:val="auto"/>
          <w:szCs w:val="22"/>
          <w:highlight w:val="none"/>
        </w:rPr>
        <w:fldChar w:fldCharType="end"/>
      </w:r>
      <w:r>
        <w:rPr>
          <w:color w:val="auto"/>
          <w:szCs w:val="22"/>
          <w:highlight w:val="none"/>
        </w:rPr>
        <w:t>类项目</w:t>
      </w:r>
      <w:r>
        <w:rPr>
          <w:rFonts w:hint="eastAsia"/>
          <w:color w:val="auto"/>
          <w:szCs w:val="22"/>
          <w:highlight w:val="none"/>
        </w:rPr>
        <w:t>不</w:t>
      </w:r>
      <w:r>
        <w:rPr>
          <w:rFonts w:hint="eastAsia"/>
          <w:color w:val="auto"/>
          <w:szCs w:val="22"/>
          <w:highlight w:val="none"/>
          <w:lang w:eastAsia="zh-CN"/>
        </w:rPr>
        <w:t>需要</w:t>
      </w:r>
      <w:r>
        <w:rPr>
          <w:rFonts w:hint="eastAsia"/>
          <w:color w:val="auto"/>
          <w:szCs w:val="22"/>
          <w:highlight w:val="none"/>
        </w:rPr>
        <w:t>开展地下水环境影响评价</w:t>
      </w:r>
      <w:r>
        <w:rPr>
          <w:color w:val="auto"/>
          <w:szCs w:val="22"/>
          <w:highlight w:val="none"/>
        </w:rPr>
        <w:t>。但是本项目对地下水进行开采，会对地下水</w:t>
      </w:r>
      <w:r>
        <w:rPr>
          <w:rFonts w:hint="eastAsia"/>
          <w:color w:val="auto"/>
          <w:szCs w:val="22"/>
          <w:highlight w:val="none"/>
        </w:rPr>
        <w:t>水位</w:t>
      </w:r>
      <w:r>
        <w:rPr>
          <w:color w:val="auto"/>
          <w:szCs w:val="22"/>
          <w:highlight w:val="none"/>
        </w:rPr>
        <w:t>造成一定的影响，因此本专项评价针对地下水</w:t>
      </w:r>
      <w:r>
        <w:rPr>
          <w:rFonts w:hint="eastAsia"/>
          <w:color w:val="auto"/>
          <w:szCs w:val="22"/>
          <w:highlight w:val="none"/>
        </w:rPr>
        <w:t>水位</w:t>
      </w:r>
      <w:r>
        <w:rPr>
          <w:color w:val="auto"/>
          <w:szCs w:val="22"/>
          <w:highlight w:val="none"/>
        </w:rPr>
        <w:t>产生的影响进行评价</w:t>
      </w:r>
      <w:r>
        <w:rPr>
          <w:rFonts w:hint="eastAsia"/>
          <w:color w:val="auto"/>
          <w:szCs w:val="22"/>
          <w:highlight w:val="none"/>
          <w:lang w:eastAsia="zh-CN"/>
        </w:rPr>
        <w:t>。</w:t>
      </w:r>
    </w:p>
    <w:p w14:paraId="58DE1E53">
      <w:pPr>
        <w:pStyle w:val="4"/>
        <w:rPr>
          <w:rFonts w:ascii="Times New Roman" w:hAnsi="Times New Roman" w:eastAsiaTheme="minorEastAsia"/>
          <w:color w:val="auto"/>
          <w:sz w:val="28"/>
          <w:szCs w:val="28"/>
          <w:highlight w:val="none"/>
        </w:rPr>
      </w:pPr>
      <w:bookmarkStart w:id="9" w:name="_Toc27910"/>
      <w:bookmarkStart w:id="10" w:name="_Toc25116"/>
      <w:r>
        <w:rPr>
          <w:rFonts w:ascii="Times New Roman" w:hAnsi="Times New Roman" w:eastAsiaTheme="minorEastAsia"/>
          <w:color w:val="auto"/>
          <w:sz w:val="28"/>
          <w:szCs w:val="28"/>
          <w:highlight w:val="none"/>
        </w:rPr>
        <w:t>1.7</w:t>
      </w:r>
      <w:r>
        <w:rPr>
          <w:rFonts w:hint="eastAsia" w:ascii="Times New Roman" w:hAnsi="Times New Roman" w:eastAsiaTheme="minorEastAsia"/>
          <w:color w:val="auto"/>
          <w:sz w:val="28"/>
          <w:szCs w:val="28"/>
          <w:highlight w:val="none"/>
          <w:lang w:eastAsia="zh-CN"/>
        </w:rPr>
        <w:t>评价</w:t>
      </w:r>
      <w:r>
        <w:rPr>
          <w:rFonts w:ascii="Times New Roman" w:hAnsi="Times New Roman" w:eastAsiaTheme="minorEastAsia"/>
          <w:color w:val="auto"/>
          <w:sz w:val="28"/>
          <w:szCs w:val="28"/>
          <w:highlight w:val="none"/>
        </w:rPr>
        <w:t>范围</w:t>
      </w:r>
      <w:bookmarkEnd w:id="9"/>
      <w:bookmarkEnd w:id="10"/>
    </w:p>
    <w:p w14:paraId="17FC4BEC">
      <w:pPr>
        <w:ind w:firstLine="518"/>
        <w:rPr>
          <w:rFonts w:hAnsiTheme="minorEastAsia" w:eastAsiaTheme="minorEastAsia"/>
          <w:color w:val="auto"/>
          <w:szCs w:val="22"/>
          <w:highlight w:val="none"/>
        </w:rPr>
      </w:pPr>
      <w:r>
        <w:rPr>
          <w:rFonts w:hAnsiTheme="minorEastAsia" w:eastAsiaTheme="minorEastAsia"/>
          <w:color w:val="auto"/>
          <w:szCs w:val="22"/>
          <w:highlight w:val="none"/>
        </w:rPr>
        <w:t>根据《环境影响评价技术导则 地下水环境》</w:t>
      </w:r>
      <w:r>
        <w:rPr>
          <w:rFonts w:hint="eastAsia" w:hAnsiTheme="minorEastAsia" w:eastAsiaTheme="minorEastAsia"/>
          <w:color w:val="auto"/>
          <w:szCs w:val="22"/>
          <w:highlight w:val="none"/>
          <w:lang w:eastAsia="zh-CN"/>
        </w:rPr>
        <w:t>（</w:t>
      </w:r>
      <w:r>
        <w:rPr>
          <w:rFonts w:hAnsiTheme="minorEastAsia" w:eastAsiaTheme="minorEastAsia"/>
          <w:color w:val="auto"/>
          <w:szCs w:val="22"/>
          <w:highlight w:val="none"/>
        </w:rPr>
        <w:t>HJ 610-2016</w:t>
      </w:r>
      <w:r>
        <w:rPr>
          <w:rFonts w:hint="eastAsia" w:hAnsiTheme="minorEastAsia" w:eastAsiaTheme="minorEastAsia"/>
          <w:color w:val="auto"/>
          <w:szCs w:val="22"/>
          <w:highlight w:val="none"/>
          <w:lang w:eastAsia="zh-CN"/>
        </w:rPr>
        <w:t>）</w:t>
      </w:r>
      <w:r>
        <w:rPr>
          <w:rFonts w:hAnsiTheme="minorEastAsia" w:eastAsiaTheme="minorEastAsia"/>
          <w:color w:val="auto"/>
          <w:szCs w:val="22"/>
          <w:highlight w:val="none"/>
        </w:rPr>
        <w:t>附录A，项目地下水环境评价项目类别为</w:t>
      </w:r>
      <w:r>
        <w:rPr>
          <w:rFonts w:hint="default" w:ascii="Times New Roman" w:hAnsi="Times New Roman" w:cs="Times New Roman" w:eastAsiaTheme="minorEastAsia"/>
          <w:color w:val="auto"/>
          <w:szCs w:val="22"/>
          <w:highlight w:val="none"/>
          <w:lang w:eastAsia="zh-CN"/>
        </w:rPr>
        <w:t>Ⅳ类</w:t>
      </w:r>
      <w:r>
        <w:rPr>
          <w:rFonts w:hAnsiTheme="minorEastAsia" w:eastAsiaTheme="minorEastAsia"/>
          <w:color w:val="auto"/>
          <w:szCs w:val="22"/>
          <w:highlight w:val="none"/>
        </w:rPr>
        <w:t>，因此，不设置地下水评价范围。</w:t>
      </w:r>
    </w:p>
    <w:p w14:paraId="187AD9F0">
      <w:pPr>
        <w:pStyle w:val="4"/>
        <w:rPr>
          <w:rFonts w:hint="default" w:ascii="Times New Roman" w:hAnsi="Times New Roman" w:eastAsiaTheme="minorEastAsia"/>
          <w:color w:val="auto"/>
          <w:sz w:val="28"/>
          <w:szCs w:val="28"/>
          <w:highlight w:val="none"/>
          <w:lang w:val="en-US" w:eastAsia="zh-CN"/>
        </w:rPr>
      </w:pPr>
      <w:bookmarkStart w:id="11" w:name="_Toc111557739"/>
      <w:bookmarkStart w:id="12" w:name="_Toc24311"/>
      <w:bookmarkStart w:id="13" w:name="_Toc30449"/>
      <w:bookmarkStart w:id="14" w:name="_Toc515369181"/>
      <w:r>
        <w:rPr>
          <w:rFonts w:ascii="Times New Roman" w:hAnsi="Times New Roman" w:eastAsiaTheme="minorEastAsia"/>
          <w:color w:val="auto"/>
          <w:highlight w:val="none"/>
        </w:rPr>
        <w:t>1.8</w:t>
      </w:r>
      <w:bookmarkEnd w:id="11"/>
      <w:bookmarkEnd w:id="12"/>
      <w:bookmarkEnd w:id="13"/>
      <w:bookmarkEnd w:id="14"/>
      <w:r>
        <w:rPr>
          <w:rFonts w:hint="eastAsia" w:ascii="Times New Roman" w:hAnsi="Times New Roman" w:eastAsiaTheme="minorEastAsia"/>
          <w:color w:val="auto"/>
          <w:sz w:val="28"/>
          <w:szCs w:val="28"/>
          <w:highlight w:val="none"/>
          <w:lang w:val="en-US" w:eastAsia="zh-CN"/>
        </w:rPr>
        <w:t>环境质量标准</w:t>
      </w:r>
    </w:p>
    <w:p w14:paraId="5BA7A7A8">
      <w:pPr>
        <w:ind w:firstLine="518"/>
        <w:jc w:val="left"/>
        <w:rPr>
          <w:rFonts w:hint="default" w:ascii="Times New Roman" w:hAnsi="Times New Roman" w:cs="Times New Roman" w:eastAsiaTheme="minorEastAsia"/>
          <w:color w:val="auto"/>
          <w:highlight w:val="none"/>
        </w:rPr>
      </w:pPr>
      <w:r>
        <w:rPr>
          <w:rFonts w:ascii="Times New Roman" w:cs="Times New Roman" w:hAnsiTheme="minorEastAsia" w:eastAsiaTheme="minorEastAsia"/>
          <w:color w:val="auto"/>
          <w:highlight w:val="none"/>
        </w:rPr>
        <w:t>本项目</w:t>
      </w:r>
      <w:r>
        <w:rPr>
          <w:rFonts w:hint="eastAsia" w:cs="Times New Roman" w:hAnsiTheme="minorEastAsia" w:eastAsiaTheme="minorEastAsia"/>
          <w:color w:val="auto"/>
          <w:highlight w:val="none"/>
          <w:lang w:val="en-US" w:eastAsia="zh-CN"/>
        </w:rPr>
        <w:t>运行期水源水的</w:t>
      </w:r>
      <w:r>
        <w:rPr>
          <w:rFonts w:ascii="Times New Roman" w:cs="Times New Roman" w:hAnsiTheme="minorEastAsia" w:eastAsiaTheme="minorEastAsia"/>
          <w:color w:val="auto"/>
          <w:highlight w:val="none"/>
        </w:rPr>
        <w:t>水质执行《地下水质量标准》（</w:t>
      </w:r>
      <w:r>
        <w:rPr>
          <w:rFonts w:ascii="Times New Roman" w:hAnsi="Times New Roman" w:cs="Times New Roman" w:eastAsiaTheme="minorEastAsia"/>
          <w:color w:val="auto"/>
          <w:highlight w:val="none"/>
        </w:rPr>
        <w:t>GB/T14848-2017</w:t>
      </w:r>
      <w:r>
        <w:rPr>
          <w:rFonts w:ascii="Times New Roman" w:cs="Times New Roman" w:hAnsiTheme="minorEastAsia" w:eastAsiaTheme="minorEastAsia"/>
          <w:color w:val="auto"/>
          <w:highlight w:val="none"/>
        </w:rPr>
        <w:t>）</w:t>
      </w:r>
      <w:r>
        <w:rPr>
          <w:rFonts w:hint="default" w:ascii="Times New Roman" w:hAnsi="Times New Roman" w:eastAsia="宋体" w:cs="Times New Roman"/>
          <w:color w:val="auto"/>
          <w:highlight w:val="none"/>
        </w:rPr>
        <w:t>Ⅲ</w:t>
      </w:r>
      <w:r>
        <w:rPr>
          <w:rFonts w:hint="default" w:ascii="Times New Roman" w:hAnsi="Times New Roman" w:cs="Times New Roman" w:eastAsiaTheme="minorEastAsia"/>
          <w:color w:val="auto"/>
          <w:highlight w:val="none"/>
          <w:lang w:val="en-US" w:eastAsia="zh-CN"/>
        </w:rPr>
        <w:t>类</w:t>
      </w:r>
      <w:r>
        <w:rPr>
          <w:rFonts w:hint="eastAsia" w:cs="Times New Roman" w:eastAsiaTheme="minorEastAsia"/>
          <w:color w:val="auto"/>
          <w:highlight w:val="none"/>
          <w:lang w:val="en-US" w:eastAsia="zh-CN"/>
        </w:rPr>
        <w:t>标准</w:t>
      </w:r>
      <w:r>
        <w:rPr>
          <w:rFonts w:hint="default" w:ascii="Times New Roman" w:hAnsi="Times New Roman" w:cs="Times New Roman" w:eastAsiaTheme="minorEastAsia"/>
          <w:color w:val="auto"/>
          <w:highlight w:val="none"/>
        </w:rPr>
        <w:t>。</w:t>
      </w:r>
    </w:p>
    <w:p w14:paraId="395F8C1C">
      <w:pPr>
        <w:ind w:firstLine="0" w:firstLineChars="0"/>
        <w:jc w:val="center"/>
        <w:rPr>
          <w:rFonts w:ascii="Times New Roman" w:cs="Times New Roman" w:hAnsiTheme="minorEastAsia" w:eastAsiaTheme="minorEastAsia"/>
          <w:b/>
          <w:color w:val="auto"/>
          <w:highlight w:val="none"/>
        </w:rPr>
      </w:pPr>
      <w:r>
        <w:rPr>
          <w:rFonts w:ascii="Times New Roman" w:cs="Times New Roman" w:hAnsiTheme="minorEastAsia" w:eastAsiaTheme="minorEastAsia"/>
          <w:b/>
          <w:color w:val="auto"/>
          <w:highlight w:val="none"/>
        </w:rPr>
        <w:t>表</w:t>
      </w:r>
      <w:r>
        <w:rPr>
          <w:rFonts w:hint="eastAsia" w:cs="Times New Roman" w:eastAsiaTheme="minorEastAsia"/>
          <w:b/>
          <w:color w:val="auto"/>
          <w:highlight w:val="none"/>
          <w:lang w:val="en-US" w:eastAsia="zh-CN"/>
        </w:rPr>
        <w:t xml:space="preserve">4 </w:t>
      </w:r>
      <w:r>
        <w:rPr>
          <w:rFonts w:ascii="Times New Roman" w:cs="Times New Roman" w:hAnsiTheme="minorEastAsia" w:eastAsiaTheme="minorEastAsia"/>
          <w:b/>
          <w:color w:val="auto"/>
          <w:highlight w:val="none"/>
        </w:rPr>
        <w:t>地下水</w:t>
      </w:r>
      <w:r>
        <w:rPr>
          <w:rFonts w:hint="eastAsia" w:cs="Times New Roman" w:hAnsiTheme="minorEastAsia" w:eastAsiaTheme="minorEastAsia"/>
          <w:b/>
          <w:color w:val="auto"/>
          <w:highlight w:val="none"/>
          <w:lang w:val="en-US" w:eastAsia="zh-CN"/>
        </w:rPr>
        <w:t>环境质量</w:t>
      </w:r>
      <w:r>
        <w:rPr>
          <w:rFonts w:ascii="Times New Roman" w:cs="Times New Roman" w:hAnsiTheme="minorEastAsia" w:eastAsiaTheme="minorEastAsia"/>
          <w:b/>
          <w:color w:val="auto"/>
          <w:highlight w:val="none"/>
        </w:rPr>
        <w:t>标准</w:t>
      </w:r>
    </w:p>
    <w:tbl>
      <w:tblPr>
        <w:tblStyle w:val="20"/>
        <w:tblW w:w="488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848"/>
        <w:gridCol w:w="1173"/>
        <w:gridCol w:w="1341"/>
        <w:gridCol w:w="1419"/>
        <w:gridCol w:w="1203"/>
        <w:gridCol w:w="1349"/>
      </w:tblGrid>
      <w:tr w14:paraId="763CA3C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08" w:type="pct"/>
            <w:tcBorders>
              <w:tl2br w:val="nil"/>
              <w:tr2bl w:val="nil"/>
            </w:tcBorders>
            <w:noWrap w:val="0"/>
            <w:vAlign w:val="center"/>
          </w:tcPr>
          <w:p w14:paraId="1C40ADE1">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检测项目</w:t>
            </w:r>
          </w:p>
        </w:tc>
        <w:tc>
          <w:tcPr>
            <w:tcW w:w="703" w:type="pct"/>
            <w:tcBorders>
              <w:tl2br w:val="nil"/>
              <w:tr2bl w:val="nil"/>
            </w:tcBorders>
            <w:noWrap w:val="0"/>
            <w:vAlign w:val="center"/>
          </w:tcPr>
          <w:p w14:paraId="35B69869">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eastAsia="zh-CN"/>
              </w:rPr>
            </w:pPr>
            <w:r>
              <w:rPr>
                <w:rFonts w:hint="default" w:ascii="Times New Roman" w:hAnsi="Times New Roman" w:eastAsia="宋体" w:cs="Times New Roman"/>
                <w:color w:val="auto"/>
                <w:sz w:val="21"/>
                <w:highlight w:val="none"/>
                <w:lang w:eastAsia="zh-CN"/>
              </w:rPr>
              <w:t>标准限值</w:t>
            </w:r>
          </w:p>
        </w:tc>
        <w:tc>
          <w:tcPr>
            <w:tcW w:w="804" w:type="pct"/>
            <w:tcBorders>
              <w:tl2br w:val="nil"/>
              <w:tr2bl w:val="nil"/>
            </w:tcBorders>
            <w:noWrap w:val="0"/>
            <w:vAlign w:val="center"/>
          </w:tcPr>
          <w:p w14:paraId="4D45825D">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单位</w:t>
            </w:r>
          </w:p>
        </w:tc>
        <w:tc>
          <w:tcPr>
            <w:tcW w:w="851" w:type="pct"/>
            <w:tcBorders>
              <w:tl2br w:val="nil"/>
              <w:tr2bl w:val="nil"/>
            </w:tcBorders>
            <w:shd w:val="clear" w:color="auto" w:fill="auto"/>
            <w:noWrap w:val="0"/>
            <w:vAlign w:val="center"/>
          </w:tcPr>
          <w:p w14:paraId="1A1868BD">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检测项目</w:t>
            </w:r>
          </w:p>
        </w:tc>
        <w:tc>
          <w:tcPr>
            <w:tcW w:w="721" w:type="pct"/>
            <w:tcBorders>
              <w:tl2br w:val="nil"/>
              <w:tr2bl w:val="nil"/>
            </w:tcBorders>
            <w:shd w:val="clear" w:color="auto" w:fill="auto"/>
            <w:noWrap w:val="0"/>
            <w:vAlign w:val="center"/>
          </w:tcPr>
          <w:p w14:paraId="42FD7594">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eastAsia="zh-CN"/>
              </w:rPr>
              <w:t>标准限值</w:t>
            </w:r>
          </w:p>
        </w:tc>
        <w:tc>
          <w:tcPr>
            <w:tcW w:w="809" w:type="pct"/>
            <w:tcBorders>
              <w:tl2br w:val="nil"/>
              <w:tr2bl w:val="nil"/>
            </w:tcBorders>
            <w:shd w:val="clear" w:color="auto" w:fill="auto"/>
            <w:noWrap w:val="0"/>
            <w:vAlign w:val="center"/>
          </w:tcPr>
          <w:p w14:paraId="738122CC">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单位</w:t>
            </w:r>
          </w:p>
        </w:tc>
      </w:tr>
      <w:tr w14:paraId="7624A66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34C3D0F8">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pH值</w:t>
            </w:r>
          </w:p>
        </w:tc>
        <w:tc>
          <w:tcPr>
            <w:tcW w:w="703" w:type="pct"/>
            <w:tcBorders>
              <w:tl2br w:val="nil"/>
              <w:tr2bl w:val="nil"/>
            </w:tcBorders>
            <w:noWrap w:val="0"/>
            <w:vAlign w:val="center"/>
          </w:tcPr>
          <w:p w14:paraId="2B632B50">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6.5-8.5</w:t>
            </w:r>
          </w:p>
        </w:tc>
        <w:tc>
          <w:tcPr>
            <w:tcW w:w="804" w:type="pct"/>
            <w:tcBorders>
              <w:tl2br w:val="nil"/>
              <w:tr2bl w:val="nil"/>
            </w:tcBorders>
            <w:noWrap w:val="0"/>
            <w:vAlign w:val="center"/>
          </w:tcPr>
          <w:p w14:paraId="03660670">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无量纲</w:t>
            </w:r>
          </w:p>
        </w:tc>
        <w:tc>
          <w:tcPr>
            <w:tcW w:w="851" w:type="pct"/>
            <w:tcBorders>
              <w:tl2br w:val="nil"/>
              <w:tr2bl w:val="nil"/>
            </w:tcBorders>
            <w:shd w:val="clear" w:color="auto" w:fill="auto"/>
            <w:noWrap w:val="0"/>
            <w:vAlign w:val="center"/>
          </w:tcPr>
          <w:p w14:paraId="2B825A3E">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钾</w:t>
            </w:r>
          </w:p>
        </w:tc>
        <w:tc>
          <w:tcPr>
            <w:tcW w:w="721" w:type="pct"/>
            <w:tcBorders>
              <w:tl2br w:val="nil"/>
              <w:tr2bl w:val="nil"/>
            </w:tcBorders>
            <w:shd w:val="clear" w:color="auto" w:fill="auto"/>
            <w:noWrap w:val="0"/>
            <w:vAlign w:val="center"/>
          </w:tcPr>
          <w:p w14:paraId="0006283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w:t>
            </w:r>
          </w:p>
        </w:tc>
        <w:tc>
          <w:tcPr>
            <w:tcW w:w="809" w:type="pct"/>
            <w:tcBorders>
              <w:tl2br w:val="nil"/>
              <w:tr2bl w:val="nil"/>
            </w:tcBorders>
            <w:shd w:val="clear" w:color="auto" w:fill="auto"/>
            <w:noWrap w:val="0"/>
            <w:vAlign w:val="center"/>
          </w:tcPr>
          <w:p w14:paraId="39F64D38">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105B40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1B30E12A">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eastAsia="zh-CN"/>
              </w:rPr>
            </w:pPr>
            <w:r>
              <w:rPr>
                <w:rFonts w:hint="default" w:ascii="Times New Roman" w:hAnsi="Times New Roman" w:eastAsia="宋体" w:cs="Times New Roman"/>
                <w:color w:val="auto"/>
                <w:sz w:val="21"/>
                <w:highlight w:val="none"/>
                <w:lang w:eastAsia="zh-CN"/>
              </w:rPr>
              <w:t>臭（嗅和味）</w:t>
            </w:r>
          </w:p>
        </w:tc>
        <w:tc>
          <w:tcPr>
            <w:tcW w:w="703" w:type="pct"/>
            <w:tcBorders>
              <w:tl2br w:val="nil"/>
              <w:tr2bl w:val="nil"/>
            </w:tcBorders>
            <w:noWrap w:val="0"/>
            <w:vAlign w:val="center"/>
          </w:tcPr>
          <w:p w14:paraId="3D7A5015">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eastAsia="zh-CN"/>
              </w:rPr>
            </w:pPr>
            <w:r>
              <w:rPr>
                <w:rFonts w:hint="default" w:ascii="Times New Roman" w:hAnsi="Times New Roman" w:eastAsia="宋体" w:cs="Times New Roman"/>
                <w:color w:val="auto"/>
                <w:sz w:val="21"/>
                <w:highlight w:val="none"/>
                <w:lang w:eastAsia="zh-CN"/>
              </w:rPr>
              <w:t>无</w:t>
            </w:r>
          </w:p>
        </w:tc>
        <w:tc>
          <w:tcPr>
            <w:tcW w:w="804" w:type="pct"/>
            <w:tcBorders>
              <w:tl2br w:val="nil"/>
              <w:tr2bl w:val="nil"/>
            </w:tcBorders>
            <w:noWrap w:val="0"/>
            <w:vAlign w:val="center"/>
          </w:tcPr>
          <w:p w14:paraId="47FE9890">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w:t>
            </w:r>
          </w:p>
        </w:tc>
        <w:tc>
          <w:tcPr>
            <w:tcW w:w="851" w:type="pct"/>
            <w:tcBorders>
              <w:tl2br w:val="nil"/>
              <w:tr2bl w:val="nil"/>
            </w:tcBorders>
            <w:shd w:val="clear" w:color="auto" w:fill="auto"/>
            <w:noWrap w:val="0"/>
            <w:vAlign w:val="center"/>
          </w:tcPr>
          <w:p w14:paraId="196F9059">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钙</w:t>
            </w:r>
          </w:p>
        </w:tc>
        <w:tc>
          <w:tcPr>
            <w:tcW w:w="721" w:type="pct"/>
            <w:tcBorders>
              <w:tl2br w:val="nil"/>
              <w:tr2bl w:val="nil"/>
            </w:tcBorders>
            <w:shd w:val="clear" w:color="auto" w:fill="auto"/>
            <w:noWrap w:val="0"/>
            <w:vAlign w:val="center"/>
          </w:tcPr>
          <w:p w14:paraId="7F054725">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w:t>
            </w:r>
          </w:p>
        </w:tc>
        <w:tc>
          <w:tcPr>
            <w:tcW w:w="809" w:type="pct"/>
            <w:tcBorders>
              <w:tl2br w:val="nil"/>
              <w:tr2bl w:val="nil"/>
            </w:tcBorders>
            <w:shd w:val="clear" w:color="auto" w:fill="auto"/>
            <w:noWrap w:val="0"/>
            <w:vAlign w:val="center"/>
          </w:tcPr>
          <w:p w14:paraId="1D172543">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15E2B74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00DC1F3C">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肉眼可见物</w:t>
            </w:r>
          </w:p>
        </w:tc>
        <w:tc>
          <w:tcPr>
            <w:tcW w:w="703" w:type="pct"/>
            <w:tcBorders>
              <w:tl2br w:val="nil"/>
              <w:tr2bl w:val="nil"/>
            </w:tcBorders>
            <w:noWrap w:val="0"/>
            <w:vAlign w:val="center"/>
          </w:tcPr>
          <w:p w14:paraId="56B0C7C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eastAsia="zh-CN"/>
              </w:rPr>
            </w:pPr>
            <w:r>
              <w:rPr>
                <w:rFonts w:hint="default" w:ascii="Times New Roman" w:hAnsi="Times New Roman" w:eastAsia="宋体" w:cs="Times New Roman"/>
                <w:color w:val="auto"/>
                <w:sz w:val="21"/>
                <w:highlight w:val="none"/>
                <w:lang w:eastAsia="zh-CN"/>
              </w:rPr>
              <w:t>无</w:t>
            </w:r>
          </w:p>
        </w:tc>
        <w:tc>
          <w:tcPr>
            <w:tcW w:w="804" w:type="pct"/>
            <w:tcBorders>
              <w:tl2br w:val="nil"/>
              <w:tr2bl w:val="nil"/>
            </w:tcBorders>
            <w:noWrap w:val="0"/>
            <w:vAlign w:val="center"/>
          </w:tcPr>
          <w:p w14:paraId="0BC0734D">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w:t>
            </w:r>
          </w:p>
        </w:tc>
        <w:tc>
          <w:tcPr>
            <w:tcW w:w="851" w:type="pct"/>
            <w:tcBorders>
              <w:tl2br w:val="nil"/>
              <w:tr2bl w:val="nil"/>
            </w:tcBorders>
            <w:shd w:val="clear" w:color="auto" w:fill="auto"/>
            <w:noWrap w:val="0"/>
            <w:vAlign w:val="center"/>
          </w:tcPr>
          <w:p w14:paraId="4319B4D8">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镁</w:t>
            </w:r>
          </w:p>
        </w:tc>
        <w:tc>
          <w:tcPr>
            <w:tcW w:w="721" w:type="pct"/>
            <w:tcBorders>
              <w:tl2br w:val="nil"/>
              <w:tr2bl w:val="nil"/>
            </w:tcBorders>
            <w:shd w:val="clear" w:color="auto" w:fill="auto"/>
            <w:noWrap w:val="0"/>
            <w:vAlign w:val="center"/>
          </w:tcPr>
          <w:p w14:paraId="5E0E45F6">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w:t>
            </w:r>
          </w:p>
        </w:tc>
        <w:tc>
          <w:tcPr>
            <w:tcW w:w="809" w:type="pct"/>
            <w:tcBorders>
              <w:tl2br w:val="nil"/>
              <w:tr2bl w:val="nil"/>
            </w:tcBorders>
            <w:shd w:val="clear" w:color="auto" w:fill="auto"/>
            <w:noWrap w:val="0"/>
            <w:vAlign w:val="center"/>
          </w:tcPr>
          <w:p w14:paraId="57C481E4">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33CF2EC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32D64F76">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eastAsia="zh-CN"/>
              </w:rPr>
            </w:pPr>
            <w:r>
              <w:rPr>
                <w:rFonts w:hint="default" w:ascii="Times New Roman" w:hAnsi="Times New Roman" w:eastAsia="宋体" w:cs="Times New Roman"/>
                <w:color w:val="auto"/>
                <w:sz w:val="21"/>
                <w:highlight w:val="none"/>
              </w:rPr>
              <w:t>浊度</w:t>
            </w:r>
            <w:r>
              <w:rPr>
                <w:rFonts w:hint="default" w:ascii="Times New Roman" w:hAnsi="Times New Roman" w:eastAsia="宋体" w:cs="Times New Roman"/>
                <w:color w:val="auto"/>
                <w:sz w:val="21"/>
                <w:highlight w:val="none"/>
                <w:lang w:eastAsia="zh-CN"/>
              </w:rPr>
              <w:t>（浑浊度）</w:t>
            </w:r>
          </w:p>
        </w:tc>
        <w:tc>
          <w:tcPr>
            <w:tcW w:w="703" w:type="pct"/>
            <w:tcBorders>
              <w:tl2br w:val="nil"/>
              <w:tr2bl w:val="nil"/>
            </w:tcBorders>
            <w:noWrap w:val="0"/>
            <w:vAlign w:val="center"/>
          </w:tcPr>
          <w:p w14:paraId="3DD694CF">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≤3</w:t>
            </w:r>
          </w:p>
        </w:tc>
        <w:tc>
          <w:tcPr>
            <w:tcW w:w="804" w:type="pct"/>
            <w:tcBorders>
              <w:tl2br w:val="nil"/>
              <w:tr2bl w:val="nil"/>
            </w:tcBorders>
            <w:noWrap w:val="0"/>
            <w:vAlign w:val="center"/>
          </w:tcPr>
          <w:p w14:paraId="6D23FE04">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NTU</w:t>
            </w:r>
          </w:p>
        </w:tc>
        <w:tc>
          <w:tcPr>
            <w:tcW w:w="851" w:type="pct"/>
            <w:tcBorders>
              <w:tl2br w:val="nil"/>
              <w:tr2bl w:val="nil"/>
            </w:tcBorders>
            <w:shd w:val="clear" w:color="auto" w:fill="auto"/>
            <w:noWrap w:val="0"/>
            <w:vAlign w:val="center"/>
          </w:tcPr>
          <w:p w14:paraId="11D10B1D">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总大肠菌群</w:t>
            </w:r>
          </w:p>
        </w:tc>
        <w:tc>
          <w:tcPr>
            <w:tcW w:w="721" w:type="pct"/>
            <w:tcBorders>
              <w:tl2br w:val="nil"/>
              <w:tr2bl w:val="nil"/>
            </w:tcBorders>
            <w:shd w:val="clear" w:color="auto" w:fill="auto"/>
            <w:noWrap w:val="0"/>
            <w:vAlign w:val="center"/>
          </w:tcPr>
          <w:p w14:paraId="39BF719F">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≤3.0</w:t>
            </w:r>
          </w:p>
        </w:tc>
        <w:tc>
          <w:tcPr>
            <w:tcW w:w="809" w:type="pct"/>
            <w:tcBorders>
              <w:tl2br w:val="nil"/>
              <w:tr2bl w:val="nil"/>
            </w:tcBorders>
            <w:shd w:val="clear" w:color="auto" w:fill="auto"/>
            <w:noWrap w:val="0"/>
            <w:vAlign w:val="center"/>
          </w:tcPr>
          <w:p w14:paraId="7633970C">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MPN/100mL</w:t>
            </w:r>
          </w:p>
        </w:tc>
      </w:tr>
      <w:tr w14:paraId="14E924D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55DEC9D9">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色度</w:t>
            </w:r>
          </w:p>
        </w:tc>
        <w:tc>
          <w:tcPr>
            <w:tcW w:w="703" w:type="pct"/>
            <w:tcBorders>
              <w:tl2br w:val="nil"/>
              <w:tr2bl w:val="nil"/>
            </w:tcBorders>
            <w:noWrap w:val="0"/>
            <w:vAlign w:val="center"/>
          </w:tcPr>
          <w:p w14:paraId="6CD80AF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≤15</w:t>
            </w:r>
          </w:p>
        </w:tc>
        <w:tc>
          <w:tcPr>
            <w:tcW w:w="804" w:type="pct"/>
            <w:tcBorders>
              <w:tl2br w:val="nil"/>
              <w:tr2bl w:val="nil"/>
            </w:tcBorders>
            <w:noWrap w:val="0"/>
            <w:vAlign w:val="center"/>
          </w:tcPr>
          <w:p w14:paraId="24889B30">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度</w:t>
            </w:r>
          </w:p>
        </w:tc>
        <w:tc>
          <w:tcPr>
            <w:tcW w:w="851" w:type="pct"/>
            <w:tcBorders>
              <w:tl2br w:val="nil"/>
              <w:tr2bl w:val="nil"/>
            </w:tcBorders>
            <w:shd w:val="clear" w:color="auto" w:fill="auto"/>
            <w:noWrap w:val="0"/>
            <w:vAlign w:val="center"/>
          </w:tcPr>
          <w:p w14:paraId="2C40A448">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细菌总数</w:t>
            </w:r>
          </w:p>
        </w:tc>
        <w:tc>
          <w:tcPr>
            <w:tcW w:w="721" w:type="pct"/>
            <w:tcBorders>
              <w:tl2br w:val="nil"/>
              <w:tr2bl w:val="nil"/>
            </w:tcBorders>
            <w:shd w:val="clear" w:color="auto" w:fill="auto"/>
            <w:noWrap w:val="0"/>
            <w:vAlign w:val="center"/>
          </w:tcPr>
          <w:p w14:paraId="3E7F8A7A">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≤100</w:t>
            </w:r>
          </w:p>
        </w:tc>
        <w:tc>
          <w:tcPr>
            <w:tcW w:w="809" w:type="pct"/>
            <w:tcBorders>
              <w:tl2br w:val="nil"/>
              <w:tr2bl w:val="nil"/>
            </w:tcBorders>
            <w:shd w:val="clear" w:color="auto" w:fill="auto"/>
            <w:noWrap w:val="0"/>
            <w:vAlign w:val="center"/>
          </w:tcPr>
          <w:p w14:paraId="648882ED">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CFU/mL</w:t>
            </w:r>
          </w:p>
        </w:tc>
      </w:tr>
      <w:tr w14:paraId="345B46B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67404DAB">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钙和镁总量</w:t>
            </w:r>
          </w:p>
          <w:p w14:paraId="0F37E43F">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（总硬度）</w:t>
            </w:r>
          </w:p>
        </w:tc>
        <w:tc>
          <w:tcPr>
            <w:tcW w:w="703" w:type="pct"/>
            <w:tcBorders>
              <w:tl2br w:val="nil"/>
              <w:tr2bl w:val="nil"/>
            </w:tcBorders>
            <w:noWrap w:val="0"/>
            <w:vAlign w:val="center"/>
          </w:tcPr>
          <w:p w14:paraId="49C4C32E">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≤450</w:t>
            </w:r>
          </w:p>
        </w:tc>
        <w:tc>
          <w:tcPr>
            <w:tcW w:w="804" w:type="pct"/>
            <w:tcBorders>
              <w:tl2br w:val="nil"/>
              <w:tr2bl w:val="nil"/>
            </w:tcBorders>
            <w:noWrap w:val="0"/>
            <w:vAlign w:val="center"/>
          </w:tcPr>
          <w:p w14:paraId="0860FAA2">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0C9ABE43">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亚硝酸盐氮</w:t>
            </w:r>
          </w:p>
        </w:tc>
        <w:tc>
          <w:tcPr>
            <w:tcW w:w="721" w:type="pct"/>
            <w:tcBorders>
              <w:tl2br w:val="nil"/>
              <w:tr2bl w:val="nil"/>
            </w:tcBorders>
            <w:shd w:val="clear" w:color="auto" w:fill="auto"/>
            <w:noWrap w:val="0"/>
            <w:vAlign w:val="center"/>
          </w:tcPr>
          <w:p w14:paraId="7A6710EE">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≤1.00</w:t>
            </w:r>
          </w:p>
        </w:tc>
        <w:tc>
          <w:tcPr>
            <w:tcW w:w="809" w:type="pct"/>
            <w:tcBorders>
              <w:tl2br w:val="nil"/>
              <w:tr2bl w:val="nil"/>
            </w:tcBorders>
            <w:shd w:val="clear" w:color="auto" w:fill="auto"/>
            <w:noWrap w:val="0"/>
            <w:vAlign w:val="center"/>
          </w:tcPr>
          <w:p w14:paraId="3E0EB8BA">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641BF1D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28991D76">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溶解性总固体</w:t>
            </w:r>
          </w:p>
        </w:tc>
        <w:tc>
          <w:tcPr>
            <w:tcW w:w="703" w:type="pct"/>
            <w:tcBorders>
              <w:tl2br w:val="nil"/>
              <w:tr2bl w:val="nil"/>
            </w:tcBorders>
            <w:noWrap w:val="0"/>
            <w:vAlign w:val="center"/>
          </w:tcPr>
          <w:p w14:paraId="274AB3B5">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≤1000</w:t>
            </w:r>
          </w:p>
        </w:tc>
        <w:tc>
          <w:tcPr>
            <w:tcW w:w="804" w:type="pct"/>
            <w:tcBorders>
              <w:tl2br w:val="nil"/>
              <w:tr2bl w:val="nil"/>
            </w:tcBorders>
            <w:noWrap w:val="0"/>
            <w:vAlign w:val="center"/>
          </w:tcPr>
          <w:p w14:paraId="41E25B49">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0FBF27C3">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硝酸盐氮</w:t>
            </w:r>
          </w:p>
        </w:tc>
        <w:tc>
          <w:tcPr>
            <w:tcW w:w="721" w:type="pct"/>
            <w:tcBorders>
              <w:tl2br w:val="nil"/>
              <w:tr2bl w:val="nil"/>
            </w:tcBorders>
            <w:shd w:val="clear" w:color="auto" w:fill="auto"/>
            <w:noWrap w:val="0"/>
            <w:vAlign w:val="center"/>
          </w:tcPr>
          <w:p w14:paraId="48555671">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≤20.0</w:t>
            </w:r>
          </w:p>
        </w:tc>
        <w:tc>
          <w:tcPr>
            <w:tcW w:w="809" w:type="pct"/>
            <w:tcBorders>
              <w:tl2br w:val="nil"/>
              <w:tr2bl w:val="nil"/>
            </w:tcBorders>
            <w:shd w:val="clear" w:color="auto" w:fill="auto"/>
            <w:noWrap w:val="0"/>
            <w:vAlign w:val="center"/>
          </w:tcPr>
          <w:p w14:paraId="0CC1AE92">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3E81309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52102074">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硫酸盐</w:t>
            </w:r>
          </w:p>
        </w:tc>
        <w:tc>
          <w:tcPr>
            <w:tcW w:w="703" w:type="pct"/>
            <w:tcBorders>
              <w:tl2br w:val="nil"/>
              <w:tr2bl w:val="nil"/>
            </w:tcBorders>
            <w:noWrap w:val="0"/>
            <w:vAlign w:val="center"/>
          </w:tcPr>
          <w:p w14:paraId="236DC344">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≤250</w:t>
            </w:r>
          </w:p>
        </w:tc>
        <w:tc>
          <w:tcPr>
            <w:tcW w:w="804" w:type="pct"/>
            <w:tcBorders>
              <w:tl2br w:val="nil"/>
              <w:tr2bl w:val="nil"/>
            </w:tcBorders>
            <w:noWrap w:val="0"/>
            <w:vAlign w:val="center"/>
          </w:tcPr>
          <w:p w14:paraId="06162B96">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3D33F158">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氰化物</w:t>
            </w:r>
          </w:p>
        </w:tc>
        <w:tc>
          <w:tcPr>
            <w:tcW w:w="721" w:type="pct"/>
            <w:tcBorders>
              <w:tl2br w:val="nil"/>
              <w:tr2bl w:val="nil"/>
            </w:tcBorders>
            <w:shd w:val="clear" w:color="auto" w:fill="auto"/>
            <w:noWrap w:val="0"/>
            <w:vAlign w:val="center"/>
          </w:tcPr>
          <w:p w14:paraId="586FC8E9">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≤0.05</w:t>
            </w:r>
          </w:p>
        </w:tc>
        <w:tc>
          <w:tcPr>
            <w:tcW w:w="809" w:type="pct"/>
            <w:tcBorders>
              <w:tl2br w:val="nil"/>
              <w:tr2bl w:val="nil"/>
            </w:tcBorders>
            <w:shd w:val="clear" w:color="auto" w:fill="auto"/>
            <w:noWrap w:val="0"/>
            <w:vAlign w:val="center"/>
          </w:tcPr>
          <w:p w14:paraId="3301C96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5E27AD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30B6458D">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氯化物</w:t>
            </w:r>
          </w:p>
        </w:tc>
        <w:tc>
          <w:tcPr>
            <w:tcW w:w="703" w:type="pct"/>
            <w:tcBorders>
              <w:tl2br w:val="nil"/>
              <w:tr2bl w:val="nil"/>
            </w:tcBorders>
            <w:noWrap w:val="0"/>
            <w:vAlign w:val="center"/>
          </w:tcPr>
          <w:p w14:paraId="143FBD69">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≤250</w:t>
            </w:r>
          </w:p>
        </w:tc>
        <w:tc>
          <w:tcPr>
            <w:tcW w:w="804" w:type="pct"/>
            <w:tcBorders>
              <w:tl2br w:val="nil"/>
              <w:tr2bl w:val="nil"/>
            </w:tcBorders>
            <w:noWrap w:val="0"/>
            <w:vAlign w:val="center"/>
          </w:tcPr>
          <w:p w14:paraId="786F5E76">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5CC41C88">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氟化物</w:t>
            </w:r>
          </w:p>
        </w:tc>
        <w:tc>
          <w:tcPr>
            <w:tcW w:w="721" w:type="pct"/>
            <w:tcBorders>
              <w:tl2br w:val="nil"/>
              <w:tr2bl w:val="nil"/>
            </w:tcBorders>
            <w:shd w:val="clear" w:color="auto" w:fill="auto"/>
            <w:noWrap w:val="0"/>
            <w:vAlign w:val="center"/>
          </w:tcPr>
          <w:p w14:paraId="0DDCC54E">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≤1.0</w:t>
            </w:r>
          </w:p>
        </w:tc>
        <w:tc>
          <w:tcPr>
            <w:tcW w:w="809" w:type="pct"/>
            <w:tcBorders>
              <w:tl2br w:val="nil"/>
              <w:tr2bl w:val="nil"/>
            </w:tcBorders>
            <w:shd w:val="clear" w:color="auto" w:fill="auto"/>
            <w:noWrap w:val="0"/>
            <w:vAlign w:val="center"/>
          </w:tcPr>
          <w:p w14:paraId="19B9387F">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7620B38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0E4B384B">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铁</w:t>
            </w:r>
          </w:p>
        </w:tc>
        <w:tc>
          <w:tcPr>
            <w:tcW w:w="703" w:type="pct"/>
            <w:tcBorders>
              <w:tl2br w:val="nil"/>
              <w:tr2bl w:val="nil"/>
            </w:tcBorders>
            <w:noWrap w:val="0"/>
            <w:vAlign w:val="center"/>
          </w:tcPr>
          <w:p w14:paraId="6738488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≤0.3</w:t>
            </w:r>
          </w:p>
        </w:tc>
        <w:tc>
          <w:tcPr>
            <w:tcW w:w="804" w:type="pct"/>
            <w:tcBorders>
              <w:tl2br w:val="nil"/>
              <w:tr2bl w:val="nil"/>
            </w:tcBorders>
            <w:noWrap w:val="0"/>
            <w:vAlign w:val="center"/>
          </w:tcPr>
          <w:p w14:paraId="5B42E4E2">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657F2AC5">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碘化物</w:t>
            </w:r>
          </w:p>
        </w:tc>
        <w:tc>
          <w:tcPr>
            <w:tcW w:w="721" w:type="pct"/>
            <w:tcBorders>
              <w:tl2br w:val="nil"/>
              <w:tr2bl w:val="nil"/>
            </w:tcBorders>
            <w:shd w:val="clear" w:color="auto" w:fill="auto"/>
            <w:noWrap w:val="0"/>
            <w:vAlign w:val="center"/>
          </w:tcPr>
          <w:p w14:paraId="70C646CB">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≤0.08</w:t>
            </w:r>
          </w:p>
        </w:tc>
        <w:tc>
          <w:tcPr>
            <w:tcW w:w="809" w:type="pct"/>
            <w:tcBorders>
              <w:tl2br w:val="nil"/>
              <w:tr2bl w:val="nil"/>
            </w:tcBorders>
            <w:shd w:val="clear" w:color="auto" w:fill="auto"/>
            <w:noWrap w:val="0"/>
            <w:vAlign w:val="center"/>
          </w:tcPr>
          <w:p w14:paraId="02DFA0C8">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3733292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61CA182F">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锰</w:t>
            </w:r>
          </w:p>
        </w:tc>
        <w:tc>
          <w:tcPr>
            <w:tcW w:w="703" w:type="pct"/>
            <w:tcBorders>
              <w:tl2br w:val="nil"/>
              <w:tr2bl w:val="nil"/>
            </w:tcBorders>
            <w:noWrap w:val="0"/>
            <w:vAlign w:val="center"/>
          </w:tcPr>
          <w:p w14:paraId="42AE5765">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≤0.10</w:t>
            </w:r>
          </w:p>
        </w:tc>
        <w:tc>
          <w:tcPr>
            <w:tcW w:w="804" w:type="pct"/>
            <w:tcBorders>
              <w:tl2br w:val="nil"/>
              <w:tr2bl w:val="nil"/>
            </w:tcBorders>
            <w:noWrap w:val="0"/>
            <w:vAlign w:val="center"/>
          </w:tcPr>
          <w:p w14:paraId="25D57E3D">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1E0DFB8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汞</w:t>
            </w:r>
          </w:p>
        </w:tc>
        <w:tc>
          <w:tcPr>
            <w:tcW w:w="721" w:type="pct"/>
            <w:tcBorders>
              <w:tl2br w:val="nil"/>
              <w:tr2bl w:val="nil"/>
            </w:tcBorders>
            <w:shd w:val="clear" w:color="auto" w:fill="auto"/>
            <w:noWrap w:val="0"/>
            <w:vAlign w:val="center"/>
          </w:tcPr>
          <w:p w14:paraId="16AEA2B9">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≤0.001</w:t>
            </w:r>
          </w:p>
        </w:tc>
        <w:tc>
          <w:tcPr>
            <w:tcW w:w="809" w:type="pct"/>
            <w:tcBorders>
              <w:tl2br w:val="nil"/>
              <w:tr2bl w:val="nil"/>
            </w:tcBorders>
            <w:shd w:val="clear" w:color="auto" w:fill="auto"/>
            <w:noWrap w:val="0"/>
            <w:vAlign w:val="center"/>
          </w:tcPr>
          <w:p w14:paraId="1CF3A21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697255B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6F3802F3">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铜</w:t>
            </w:r>
          </w:p>
        </w:tc>
        <w:tc>
          <w:tcPr>
            <w:tcW w:w="703" w:type="pct"/>
            <w:tcBorders>
              <w:tl2br w:val="nil"/>
              <w:tr2bl w:val="nil"/>
            </w:tcBorders>
            <w:noWrap w:val="0"/>
            <w:vAlign w:val="center"/>
          </w:tcPr>
          <w:p w14:paraId="3CCAF7C2">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≤1.00</w:t>
            </w:r>
          </w:p>
        </w:tc>
        <w:tc>
          <w:tcPr>
            <w:tcW w:w="804" w:type="pct"/>
            <w:tcBorders>
              <w:tl2br w:val="nil"/>
              <w:tr2bl w:val="nil"/>
            </w:tcBorders>
            <w:noWrap w:val="0"/>
            <w:vAlign w:val="center"/>
          </w:tcPr>
          <w:p w14:paraId="2E978328">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564FBE5B">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砷</w:t>
            </w:r>
          </w:p>
        </w:tc>
        <w:tc>
          <w:tcPr>
            <w:tcW w:w="721" w:type="pct"/>
            <w:tcBorders>
              <w:tl2br w:val="nil"/>
              <w:tr2bl w:val="nil"/>
            </w:tcBorders>
            <w:shd w:val="clear" w:color="auto" w:fill="auto"/>
            <w:noWrap w:val="0"/>
            <w:vAlign w:val="center"/>
          </w:tcPr>
          <w:p w14:paraId="6534C1B8">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≤0.01</w:t>
            </w:r>
          </w:p>
        </w:tc>
        <w:tc>
          <w:tcPr>
            <w:tcW w:w="809" w:type="pct"/>
            <w:tcBorders>
              <w:tl2br w:val="nil"/>
              <w:tr2bl w:val="nil"/>
            </w:tcBorders>
            <w:shd w:val="clear" w:color="auto" w:fill="auto"/>
            <w:noWrap w:val="0"/>
            <w:vAlign w:val="center"/>
          </w:tcPr>
          <w:p w14:paraId="4F08D77D">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0F4AD09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624ED8C6">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锌</w:t>
            </w:r>
          </w:p>
        </w:tc>
        <w:tc>
          <w:tcPr>
            <w:tcW w:w="703" w:type="pct"/>
            <w:tcBorders>
              <w:tl2br w:val="nil"/>
              <w:tr2bl w:val="nil"/>
            </w:tcBorders>
            <w:noWrap w:val="0"/>
            <w:vAlign w:val="center"/>
          </w:tcPr>
          <w:p w14:paraId="166D614C">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≤1.00</w:t>
            </w:r>
          </w:p>
        </w:tc>
        <w:tc>
          <w:tcPr>
            <w:tcW w:w="804" w:type="pct"/>
            <w:tcBorders>
              <w:tl2br w:val="nil"/>
              <w:tr2bl w:val="nil"/>
            </w:tcBorders>
            <w:noWrap w:val="0"/>
            <w:vAlign w:val="center"/>
          </w:tcPr>
          <w:p w14:paraId="27A3AE25">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5D729D50">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硒</w:t>
            </w:r>
          </w:p>
        </w:tc>
        <w:tc>
          <w:tcPr>
            <w:tcW w:w="721" w:type="pct"/>
            <w:tcBorders>
              <w:tl2br w:val="nil"/>
              <w:tr2bl w:val="nil"/>
            </w:tcBorders>
            <w:shd w:val="clear" w:color="auto" w:fill="auto"/>
            <w:noWrap w:val="0"/>
            <w:vAlign w:val="center"/>
          </w:tcPr>
          <w:p w14:paraId="560AD171">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≤0.01</w:t>
            </w:r>
          </w:p>
        </w:tc>
        <w:tc>
          <w:tcPr>
            <w:tcW w:w="809" w:type="pct"/>
            <w:tcBorders>
              <w:tl2br w:val="nil"/>
              <w:tr2bl w:val="nil"/>
            </w:tcBorders>
            <w:shd w:val="clear" w:color="auto" w:fill="auto"/>
            <w:noWrap w:val="0"/>
            <w:vAlign w:val="center"/>
          </w:tcPr>
          <w:p w14:paraId="1775327B">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1552E13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7B1FBEBC">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锶</w:t>
            </w:r>
          </w:p>
        </w:tc>
        <w:tc>
          <w:tcPr>
            <w:tcW w:w="703" w:type="pct"/>
            <w:tcBorders>
              <w:tl2br w:val="nil"/>
              <w:tr2bl w:val="nil"/>
            </w:tcBorders>
            <w:noWrap w:val="0"/>
            <w:vAlign w:val="center"/>
          </w:tcPr>
          <w:p w14:paraId="1929711B">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w:t>
            </w:r>
          </w:p>
        </w:tc>
        <w:tc>
          <w:tcPr>
            <w:tcW w:w="804" w:type="pct"/>
            <w:tcBorders>
              <w:tl2br w:val="nil"/>
              <w:tr2bl w:val="nil"/>
            </w:tcBorders>
            <w:noWrap w:val="0"/>
            <w:vAlign w:val="center"/>
          </w:tcPr>
          <w:p w14:paraId="1A32B1DB">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1571DBCE">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镉</w:t>
            </w:r>
          </w:p>
        </w:tc>
        <w:tc>
          <w:tcPr>
            <w:tcW w:w="721" w:type="pct"/>
            <w:tcBorders>
              <w:tl2br w:val="nil"/>
              <w:tr2bl w:val="nil"/>
            </w:tcBorders>
            <w:shd w:val="clear" w:color="auto" w:fill="auto"/>
            <w:noWrap w:val="0"/>
            <w:vAlign w:val="center"/>
          </w:tcPr>
          <w:p w14:paraId="4426A2D9">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≤0.005</w:t>
            </w:r>
          </w:p>
        </w:tc>
        <w:tc>
          <w:tcPr>
            <w:tcW w:w="809" w:type="pct"/>
            <w:tcBorders>
              <w:tl2br w:val="nil"/>
              <w:tr2bl w:val="nil"/>
            </w:tcBorders>
            <w:shd w:val="clear" w:color="auto" w:fill="auto"/>
            <w:noWrap w:val="0"/>
            <w:vAlign w:val="center"/>
          </w:tcPr>
          <w:p w14:paraId="69180D3E">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69AD58E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0A9ECDD0">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铝</w:t>
            </w:r>
          </w:p>
        </w:tc>
        <w:tc>
          <w:tcPr>
            <w:tcW w:w="703" w:type="pct"/>
            <w:tcBorders>
              <w:tl2br w:val="nil"/>
              <w:tr2bl w:val="nil"/>
            </w:tcBorders>
            <w:noWrap w:val="0"/>
            <w:vAlign w:val="center"/>
          </w:tcPr>
          <w:p w14:paraId="73605D1A">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≤0.20</w:t>
            </w:r>
          </w:p>
        </w:tc>
        <w:tc>
          <w:tcPr>
            <w:tcW w:w="804" w:type="pct"/>
            <w:tcBorders>
              <w:tl2br w:val="nil"/>
              <w:tr2bl w:val="nil"/>
            </w:tcBorders>
            <w:noWrap w:val="0"/>
            <w:vAlign w:val="center"/>
          </w:tcPr>
          <w:p w14:paraId="034D033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0FD531D2">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六价铬量（六价铬）</w:t>
            </w:r>
          </w:p>
        </w:tc>
        <w:tc>
          <w:tcPr>
            <w:tcW w:w="721" w:type="pct"/>
            <w:tcBorders>
              <w:tl2br w:val="nil"/>
              <w:tr2bl w:val="nil"/>
            </w:tcBorders>
            <w:shd w:val="clear" w:color="auto" w:fill="auto"/>
            <w:noWrap w:val="0"/>
            <w:vAlign w:val="center"/>
          </w:tcPr>
          <w:p w14:paraId="2028E2F3">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≤0.05</w:t>
            </w:r>
          </w:p>
        </w:tc>
        <w:tc>
          <w:tcPr>
            <w:tcW w:w="809" w:type="pct"/>
            <w:tcBorders>
              <w:tl2br w:val="nil"/>
              <w:tr2bl w:val="nil"/>
            </w:tcBorders>
            <w:shd w:val="clear" w:color="auto" w:fill="auto"/>
            <w:noWrap w:val="0"/>
            <w:vAlign w:val="center"/>
          </w:tcPr>
          <w:p w14:paraId="2C8A7880">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12F2F9E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626A6B2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挥发酚</w:t>
            </w:r>
          </w:p>
        </w:tc>
        <w:tc>
          <w:tcPr>
            <w:tcW w:w="703" w:type="pct"/>
            <w:tcBorders>
              <w:tl2br w:val="nil"/>
              <w:tr2bl w:val="nil"/>
            </w:tcBorders>
            <w:noWrap w:val="0"/>
            <w:vAlign w:val="center"/>
          </w:tcPr>
          <w:p w14:paraId="1FE56465">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≤0.002</w:t>
            </w:r>
          </w:p>
        </w:tc>
        <w:tc>
          <w:tcPr>
            <w:tcW w:w="804" w:type="pct"/>
            <w:tcBorders>
              <w:tl2br w:val="nil"/>
              <w:tr2bl w:val="nil"/>
            </w:tcBorders>
            <w:noWrap w:val="0"/>
            <w:vAlign w:val="center"/>
          </w:tcPr>
          <w:p w14:paraId="631CC301">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2F1DFE9B">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铅</w:t>
            </w:r>
          </w:p>
        </w:tc>
        <w:tc>
          <w:tcPr>
            <w:tcW w:w="721" w:type="pct"/>
            <w:tcBorders>
              <w:tl2br w:val="nil"/>
              <w:tr2bl w:val="nil"/>
            </w:tcBorders>
            <w:shd w:val="clear" w:color="auto" w:fill="auto"/>
            <w:noWrap w:val="0"/>
            <w:vAlign w:val="center"/>
          </w:tcPr>
          <w:p w14:paraId="5E81156F">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≤0.01</w:t>
            </w:r>
          </w:p>
        </w:tc>
        <w:tc>
          <w:tcPr>
            <w:tcW w:w="809" w:type="pct"/>
            <w:tcBorders>
              <w:tl2br w:val="nil"/>
              <w:tr2bl w:val="nil"/>
            </w:tcBorders>
            <w:shd w:val="clear" w:color="auto" w:fill="auto"/>
            <w:noWrap w:val="0"/>
            <w:vAlign w:val="center"/>
          </w:tcPr>
          <w:p w14:paraId="540C61E3">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05D8EC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1AF9F5B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阴离子表面活性剂</w:t>
            </w:r>
          </w:p>
        </w:tc>
        <w:tc>
          <w:tcPr>
            <w:tcW w:w="703" w:type="pct"/>
            <w:tcBorders>
              <w:tl2br w:val="nil"/>
              <w:tr2bl w:val="nil"/>
            </w:tcBorders>
            <w:noWrap w:val="0"/>
            <w:vAlign w:val="center"/>
          </w:tcPr>
          <w:p w14:paraId="45D5A0F8">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≤0.3</w:t>
            </w:r>
          </w:p>
        </w:tc>
        <w:tc>
          <w:tcPr>
            <w:tcW w:w="804" w:type="pct"/>
            <w:tcBorders>
              <w:tl2br w:val="nil"/>
              <w:tr2bl w:val="nil"/>
            </w:tcBorders>
            <w:noWrap w:val="0"/>
            <w:vAlign w:val="center"/>
          </w:tcPr>
          <w:p w14:paraId="61A494BF">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003C4B29">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三氯甲烷</w:t>
            </w:r>
          </w:p>
        </w:tc>
        <w:tc>
          <w:tcPr>
            <w:tcW w:w="721" w:type="pct"/>
            <w:tcBorders>
              <w:tl2br w:val="nil"/>
              <w:tr2bl w:val="nil"/>
            </w:tcBorders>
            <w:shd w:val="clear" w:color="auto" w:fill="auto"/>
            <w:noWrap w:val="0"/>
            <w:vAlign w:val="center"/>
          </w:tcPr>
          <w:p w14:paraId="7C5DE464">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≤60</w:t>
            </w:r>
          </w:p>
        </w:tc>
        <w:tc>
          <w:tcPr>
            <w:tcW w:w="809" w:type="pct"/>
            <w:tcBorders>
              <w:tl2br w:val="nil"/>
              <w:tr2bl w:val="nil"/>
            </w:tcBorders>
            <w:shd w:val="clear" w:color="auto" w:fill="auto"/>
            <w:noWrap w:val="0"/>
            <w:vAlign w:val="center"/>
          </w:tcPr>
          <w:p w14:paraId="074EB4A8">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eastAsia="zh-CN"/>
              </w:rPr>
              <w:t>μ</w:t>
            </w:r>
            <w:r>
              <w:rPr>
                <w:rFonts w:hint="default" w:ascii="Times New Roman" w:hAnsi="Times New Roman" w:eastAsia="宋体" w:cs="Times New Roman"/>
                <w:color w:val="auto"/>
                <w:sz w:val="21"/>
                <w:highlight w:val="none"/>
              </w:rPr>
              <w:t>g/L</w:t>
            </w:r>
          </w:p>
        </w:tc>
      </w:tr>
      <w:tr w14:paraId="45D1CE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16198483">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高锰酸盐指数</w:t>
            </w:r>
          </w:p>
          <w:p w14:paraId="276521A1">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（耗氧量）</w:t>
            </w:r>
          </w:p>
        </w:tc>
        <w:tc>
          <w:tcPr>
            <w:tcW w:w="703" w:type="pct"/>
            <w:tcBorders>
              <w:tl2br w:val="nil"/>
              <w:tr2bl w:val="nil"/>
            </w:tcBorders>
            <w:noWrap w:val="0"/>
            <w:vAlign w:val="center"/>
          </w:tcPr>
          <w:p w14:paraId="544E05DB">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≤3.0</w:t>
            </w:r>
          </w:p>
        </w:tc>
        <w:tc>
          <w:tcPr>
            <w:tcW w:w="804" w:type="pct"/>
            <w:tcBorders>
              <w:tl2br w:val="nil"/>
              <w:tr2bl w:val="nil"/>
            </w:tcBorders>
            <w:noWrap w:val="0"/>
            <w:vAlign w:val="center"/>
          </w:tcPr>
          <w:p w14:paraId="1C93D376">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5655CE65">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游离二氧化碳</w:t>
            </w:r>
          </w:p>
        </w:tc>
        <w:tc>
          <w:tcPr>
            <w:tcW w:w="721" w:type="pct"/>
            <w:tcBorders>
              <w:tl2br w:val="nil"/>
              <w:tr2bl w:val="nil"/>
            </w:tcBorders>
            <w:shd w:val="clear" w:color="auto" w:fill="auto"/>
            <w:noWrap w:val="0"/>
            <w:vAlign w:val="center"/>
          </w:tcPr>
          <w:p w14:paraId="2065EA10">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w:t>
            </w:r>
          </w:p>
        </w:tc>
        <w:tc>
          <w:tcPr>
            <w:tcW w:w="809" w:type="pct"/>
            <w:tcBorders>
              <w:tl2br w:val="nil"/>
              <w:tr2bl w:val="nil"/>
            </w:tcBorders>
            <w:shd w:val="clear" w:color="auto" w:fill="auto"/>
            <w:noWrap w:val="0"/>
            <w:vAlign w:val="center"/>
          </w:tcPr>
          <w:p w14:paraId="21E07B5E">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rPr>
              <w:t>mg/L</w:t>
            </w:r>
          </w:p>
        </w:tc>
      </w:tr>
      <w:tr w14:paraId="6D7659B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396C050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氨氮</w:t>
            </w:r>
          </w:p>
        </w:tc>
        <w:tc>
          <w:tcPr>
            <w:tcW w:w="703" w:type="pct"/>
            <w:tcBorders>
              <w:tl2br w:val="nil"/>
              <w:tr2bl w:val="nil"/>
            </w:tcBorders>
            <w:noWrap w:val="0"/>
            <w:vAlign w:val="center"/>
          </w:tcPr>
          <w:p w14:paraId="0666E93C">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≤0.50</w:t>
            </w:r>
          </w:p>
        </w:tc>
        <w:tc>
          <w:tcPr>
            <w:tcW w:w="804" w:type="pct"/>
            <w:tcBorders>
              <w:tl2br w:val="nil"/>
              <w:tr2bl w:val="nil"/>
            </w:tcBorders>
            <w:noWrap w:val="0"/>
            <w:vAlign w:val="center"/>
          </w:tcPr>
          <w:p w14:paraId="39CC1D3A">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5022F05D">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苯</w:t>
            </w:r>
          </w:p>
        </w:tc>
        <w:tc>
          <w:tcPr>
            <w:tcW w:w="721" w:type="pct"/>
            <w:tcBorders>
              <w:tl2br w:val="nil"/>
              <w:tr2bl w:val="nil"/>
            </w:tcBorders>
            <w:shd w:val="clear" w:color="auto" w:fill="auto"/>
            <w:noWrap w:val="0"/>
            <w:vAlign w:val="center"/>
          </w:tcPr>
          <w:p w14:paraId="2283F5F6">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≤10.0</w:t>
            </w:r>
          </w:p>
        </w:tc>
        <w:tc>
          <w:tcPr>
            <w:tcW w:w="809" w:type="pct"/>
            <w:tcBorders>
              <w:tl2br w:val="nil"/>
              <w:tr2bl w:val="nil"/>
            </w:tcBorders>
            <w:shd w:val="clear" w:color="auto" w:fill="auto"/>
            <w:noWrap w:val="0"/>
            <w:vAlign w:val="center"/>
          </w:tcPr>
          <w:p w14:paraId="7111B535">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eastAsia="zh-CN"/>
              </w:rPr>
              <w:t>μ</w:t>
            </w:r>
            <w:r>
              <w:rPr>
                <w:rFonts w:hint="default" w:ascii="Times New Roman" w:hAnsi="Times New Roman" w:eastAsia="宋体" w:cs="Times New Roman"/>
                <w:color w:val="auto"/>
                <w:sz w:val="21"/>
                <w:highlight w:val="none"/>
              </w:rPr>
              <w:t>g/L</w:t>
            </w:r>
          </w:p>
        </w:tc>
      </w:tr>
      <w:tr w14:paraId="38FACE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7B5A6345">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硫化物</w:t>
            </w:r>
          </w:p>
        </w:tc>
        <w:tc>
          <w:tcPr>
            <w:tcW w:w="703" w:type="pct"/>
            <w:tcBorders>
              <w:tl2br w:val="nil"/>
              <w:tr2bl w:val="nil"/>
            </w:tcBorders>
            <w:noWrap w:val="0"/>
            <w:vAlign w:val="center"/>
          </w:tcPr>
          <w:p w14:paraId="1BC44E81">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≤0.02</w:t>
            </w:r>
          </w:p>
        </w:tc>
        <w:tc>
          <w:tcPr>
            <w:tcW w:w="804" w:type="pct"/>
            <w:tcBorders>
              <w:tl2br w:val="nil"/>
              <w:tr2bl w:val="nil"/>
            </w:tcBorders>
            <w:noWrap w:val="0"/>
            <w:vAlign w:val="center"/>
          </w:tcPr>
          <w:p w14:paraId="233A6D25">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08EFC3F3">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甲苯</w:t>
            </w:r>
          </w:p>
        </w:tc>
        <w:tc>
          <w:tcPr>
            <w:tcW w:w="721" w:type="pct"/>
            <w:tcBorders>
              <w:tl2br w:val="nil"/>
              <w:tr2bl w:val="nil"/>
            </w:tcBorders>
            <w:shd w:val="clear" w:color="auto" w:fill="auto"/>
            <w:noWrap w:val="0"/>
            <w:vAlign w:val="center"/>
          </w:tcPr>
          <w:p w14:paraId="1A86BE7B">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≤700</w:t>
            </w:r>
          </w:p>
        </w:tc>
        <w:tc>
          <w:tcPr>
            <w:tcW w:w="809" w:type="pct"/>
            <w:tcBorders>
              <w:tl2br w:val="nil"/>
              <w:tr2bl w:val="nil"/>
            </w:tcBorders>
            <w:shd w:val="clear" w:color="auto" w:fill="auto"/>
            <w:noWrap w:val="0"/>
            <w:vAlign w:val="center"/>
          </w:tcPr>
          <w:p w14:paraId="701EB497">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eastAsia="zh-CN"/>
              </w:rPr>
              <w:t>μ</w:t>
            </w:r>
            <w:r>
              <w:rPr>
                <w:rFonts w:hint="default" w:ascii="Times New Roman" w:hAnsi="Times New Roman" w:eastAsia="宋体" w:cs="Times New Roman"/>
                <w:color w:val="auto"/>
                <w:sz w:val="21"/>
                <w:highlight w:val="none"/>
              </w:rPr>
              <w:t>g/L</w:t>
            </w:r>
          </w:p>
        </w:tc>
      </w:tr>
      <w:tr w14:paraId="1E9AD33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8" w:type="pct"/>
            <w:tcBorders>
              <w:tl2br w:val="nil"/>
              <w:tr2bl w:val="nil"/>
            </w:tcBorders>
            <w:noWrap w:val="0"/>
            <w:vAlign w:val="center"/>
          </w:tcPr>
          <w:p w14:paraId="441072D3">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钠</w:t>
            </w:r>
          </w:p>
        </w:tc>
        <w:tc>
          <w:tcPr>
            <w:tcW w:w="703" w:type="pct"/>
            <w:tcBorders>
              <w:tl2br w:val="nil"/>
              <w:tr2bl w:val="nil"/>
            </w:tcBorders>
            <w:noWrap w:val="0"/>
            <w:vAlign w:val="center"/>
          </w:tcPr>
          <w:p w14:paraId="297A390D">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lang w:val="en-US" w:eastAsia="zh-CN"/>
              </w:rPr>
            </w:pPr>
            <w:r>
              <w:rPr>
                <w:rFonts w:hint="default" w:ascii="Times New Roman" w:hAnsi="Times New Roman" w:eastAsia="宋体" w:cs="Times New Roman"/>
                <w:color w:val="auto"/>
                <w:sz w:val="21"/>
                <w:highlight w:val="none"/>
                <w:lang w:val="en-US" w:eastAsia="zh-CN"/>
              </w:rPr>
              <w:t>≤200</w:t>
            </w:r>
          </w:p>
        </w:tc>
        <w:tc>
          <w:tcPr>
            <w:tcW w:w="804" w:type="pct"/>
            <w:tcBorders>
              <w:tl2br w:val="nil"/>
              <w:tr2bl w:val="nil"/>
            </w:tcBorders>
            <w:noWrap w:val="0"/>
            <w:vAlign w:val="center"/>
          </w:tcPr>
          <w:p w14:paraId="7D9859A4">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mg/L</w:t>
            </w:r>
          </w:p>
        </w:tc>
        <w:tc>
          <w:tcPr>
            <w:tcW w:w="851" w:type="pct"/>
            <w:tcBorders>
              <w:tl2br w:val="nil"/>
              <w:tr2bl w:val="nil"/>
            </w:tcBorders>
            <w:shd w:val="clear" w:color="auto" w:fill="auto"/>
            <w:noWrap w:val="0"/>
            <w:vAlign w:val="center"/>
          </w:tcPr>
          <w:p w14:paraId="3C0A5751">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四氯化碳</w:t>
            </w:r>
          </w:p>
        </w:tc>
        <w:tc>
          <w:tcPr>
            <w:tcW w:w="721" w:type="pct"/>
            <w:tcBorders>
              <w:tl2br w:val="nil"/>
              <w:tr2bl w:val="nil"/>
            </w:tcBorders>
            <w:shd w:val="clear" w:color="auto" w:fill="auto"/>
            <w:noWrap w:val="0"/>
            <w:vAlign w:val="center"/>
          </w:tcPr>
          <w:p w14:paraId="7A50DFCD">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val="en-US" w:eastAsia="zh-CN"/>
              </w:rPr>
              <w:t>≤2.0</w:t>
            </w:r>
          </w:p>
        </w:tc>
        <w:tc>
          <w:tcPr>
            <w:tcW w:w="809" w:type="pct"/>
            <w:tcBorders>
              <w:tl2br w:val="nil"/>
              <w:tr2bl w:val="nil"/>
            </w:tcBorders>
            <w:shd w:val="clear" w:color="auto" w:fill="auto"/>
            <w:noWrap w:val="0"/>
            <w:vAlign w:val="center"/>
          </w:tcPr>
          <w:p w14:paraId="0F256686">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sz w:val="21"/>
                <w:highlight w:val="none"/>
                <w:lang w:eastAsia="zh-CN"/>
              </w:rPr>
              <w:t>μ</w:t>
            </w:r>
            <w:r>
              <w:rPr>
                <w:rFonts w:hint="default" w:ascii="Times New Roman" w:hAnsi="Times New Roman" w:eastAsia="宋体" w:cs="Times New Roman"/>
                <w:color w:val="auto"/>
                <w:sz w:val="21"/>
                <w:highlight w:val="none"/>
              </w:rPr>
              <w:t>g/L</w:t>
            </w:r>
          </w:p>
        </w:tc>
      </w:tr>
    </w:tbl>
    <w:p w14:paraId="2C6883B3">
      <w:pPr>
        <w:pStyle w:val="2"/>
        <w:spacing w:beforeLines="0" w:afterLines="0" w:line="360" w:lineRule="auto"/>
        <w:rPr>
          <w:rFonts w:eastAsiaTheme="minorEastAsia"/>
          <w:color w:val="auto"/>
          <w:sz w:val="30"/>
          <w:szCs w:val="30"/>
          <w:highlight w:val="none"/>
        </w:rPr>
      </w:pPr>
      <w:bookmarkStart w:id="15" w:name="_Toc196751520"/>
      <w:bookmarkStart w:id="16" w:name="_Toc197227968"/>
      <w:bookmarkStart w:id="17" w:name="_Toc194230309"/>
      <w:bookmarkStart w:id="18" w:name="_Toc194230666"/>
      <w:bookmarkStart w:id="19" w:name="_Toc201118794"/>
      <w:bookmarkStart w:id="20" w:name="_Toc344"/>
      <w:r>
        <w:rPr>
          <w:rFonts w:hAnsiTheme="minorEastAsia" w:eastAsiaTheme="minorEastAsia"/>
          <w:color w:val="auto"/>
          <w:sz w:val="30"/>
          <w:szCs w:val="30"/>
          <w:highlight w:val="none"/>
        </w:rPr>
        <w:t>二、</w:t>
      </w:r>
      <w:bookmarkEnd w:id="15"/>
      <w:bookmarkEnd w:id="16"/>
      <w:bookmarkEnd w:id="17"/>
      <w:bookmarkEnd w:id="18"/>
      <w:bookmarkEnd w:id="19"/>
      <w:r>
        <w:rPr>
          <w:rFonts w:hAnsiTheme="minorEastAsia" w:eastAsiaTheme="minorEastAsia"/>
          <w:color w:val="auto"/>
          <w:sz w:val="30"/>
          <w:szCs w:val="30"/>
          <w:highlight w:val="none"/>
        </w:rPr>
        <w:t>水文地质条件调查</w:t>
      </w:r>
      <w:bookmarkEnd w:id="20"/>
    </w:p>
    <w:p w14:paraId="6F1F1630">
      <w:pPr>
        <w:keepNext/>
        <w:keepLines/>
        <w:widowControl w:val="0"/>
        <w:spacing w:line="360" w:lineRule="auto"/>
        <w:ind w:firstLine="0" w:firstLineChars="0"/>
        <w:jc w:val="both"/>
        <w:outlineLvl w:val="1"/>
        <w:rPr>
          <w:rFonts w:ascii="Times New Roman" w:hAnsi="Times New Roman" w:cs="Times New Roman" w:eastAsiaTheme="minorEastAsia"/>
          <w:b/>
          <w:bCs/>
          <w:color w:val="auto"/>
          <w:kern w:val="2"/>
          <w:sz w:val="24"/>
          <w:szCs w:val="32"/>
          <w:highlight w:val="none"/>
          <w:lang w:val="en-US" w:eastAsia="zh-CN" w:bidi="ar-SA"/>
        </w:rPr>
      </w:pPr>
      <w:bookmarkStart w:id="21" w:name="_Toc32342"/>
      <w:r>
        <w:rPr>
          <w:rFonts w:hint="eastAsia" w:ascii="Times New Roman" w:hAnsi="Times New Roman" w:cs="Times New Roman" w:eastAsiaTheme="minorEastAsia"/>
          <w:b/>
          <w:bCs/>
          <w:color w:val="auto"/>
          <w:kern w:val="2"/>
          <w:sz w:val="24"/>
          <w:szCs w:val="32"/>
          <w:highlight w:val="none"/>
          <w:lang w:val="en-US" w:eastAsia="zh-CN" w:bidi="ar-SA"/>
        </w:rPr>
        <w:t>2.1</w:t>
      </w:r>
      <w:bookmarkEnd w:id="21"/>
      <w:r>
        <w:rPr>
          <w:rFonts w:hint="eastAsia" w:ascii="Times New Roman" w:hAnsi="Times New Roman" w:cs="Times New Roman" w:eastAsiaTheme="minorEastAsia"/>
          <w:b/>
          <w:bCs/>
          <w:color w:val="auto"/>
          <w:kern w:val="2"/>
          <w:sz w:val="24"/>
          <w:szCs w:val="32"/>
          <w:highlight w:val="none"/>
          <w:lang w:val="en-US" w:eastAsia="zh-CN" w:bidi="ar-SA"/>
        </w:rPr>
        <w:t>地质构造</w:t>
      </w:r>
    </w:p>
    <w:p w14:paraId="4104BD59">
      <w:pPr>
        <w:ind w:firstLine="518"/>
        <w:rPr>
          <w:rFonts w:hint="eastAsia" w:eastAsia="宋体"/>
          <w:color w:val="auto"/>
          <w:highlight w:val="none"/>
          <w:lang w:eastAsia="zh-CN"/>
        </w:rPr>
      </w:pPr>
      <w:r>
        <w:rPr>
          <w:rFonts w:hint="eastAsia" w:eastAsia="宋体"/>
          <w:color w:val="auto"/>
          <w:highlight w:val="none"/>
          <w:lang w:eastAsia="zh-CN"/>
        </w:rPr>
        <w:t>项目所在区域位于完达山、张广才岭与老爷岭的交汇地带，属低山边缘到河谷的过渡地带，丘陵漫岗地形。地表植被多以耕地为主。海拔高度在170～380m 之间。</w:t>
      </w:r>
    </w:p>
    <w:p w14:paraId="7597E241">
      <w:pPr>
        <w:ind w:firstLine="518"/>
        <w:rPr>
          <w:rFonts w:hint="eastAsia" w:eastAsia="宋体"/>
          <w:color w:val="auto"/>
          <w:highlight w:val="none"/>
          <w:lang w:eastAsia="zh-CN"/>
        </w:rPr>
      </w:pPr>
      <w:r>
        <w:rPr>
          <w:rFonts w:hint="eastAsia" w:eastAsia="宋体"/>
          <w:color w:val="auto"/>
          <w:highlight w:val="none"/>
          <w:lang w:eastAsia="zh-CN"/>
        </w:rPr>
        <w:t>大地构造单元Ⅰ级构造单元为兴凯湖</w:t>
      </w:r>
      <w:r>
        <w:rPr>
          <w:rFonts w:hint="eastAsia"/>
          <w:color w:val="auto"/>
          <w:highlight w:val="none"/>
          <w:lang w:eastAsia="zh-CN"/>
        </w:rPr>
        <w:t>－</w:t>
      </w:r>
      <w:r>
        <w:rPr>
          <w:rFonts w:hint="eastAsia" w:eastAsia="宋体"/>
          <w:color w:val="auto"/>
          <w:highlight w:val="none"/>
          <w:lang w:eastAsia="zh-CN"/>
        </w:rPr>
        <w:t>布列亚山地块，亚Ⅰ级构造单</w:t>
      </w:r>
    </w:p>
    <w:p w14:paraId="5F40B44A">
      <w:pPr>
        <w:ind w:firstLine="518"/>
        <w:rPr>
          <w:rFonts w:hint="eastAsia" w:eastAsia="宋体"/>
          <w:color w:val="auto"/>
          <w:highlight w:val="none"/>
          <w:lang w:eastAsia="zh-CN"/>
        </w:rPr>
      </w:pPr>
      <w:r>
        <w:rPr>
          <w:rFonts w:hint="eastAsia" w:eastAsia="宋体"/>
          <w:color w:val="auto"/>
          <w:highlight w:val="none"/>
          <w:lang w:eastAsia="zh-CN"/>
        </w:rPr>
        <w:t>元为老爷岭地块</w:t>
      </w:r>
      <w:r>
        <w:rPr>
          <w:rFonts w:hint="eastAsia"/>
          <w:color w:val="auto"/>
          <w:highlight w:val="none"/>
          <w:lang w:eastAsia="zh-CN"/>
        </w:rPr>
        <w:t>（</w:t>
      </w:r>
      <w:r>
        <w:rPr>
          <w:rFonts w:hint="eastAsia" w:eastAsia="宋体"/>
          <w:color w:val="auto"/>
          <w:highlight w:val="none"/>
          <w:lang w:eastAsia="zh-CN"/>
        </w:rPr>
        <w:t>Ⅴ</w:t>
      </w:r>
      <w:r>
        <w:rPr>
          <w:rFonts w:hint="eastAsia"/>
          <w:color w:val="auto"/>
          <w:highlight w:val="none"/>
          <w:lang w:eastAsia="zh-CN"/>
        </w:rPr>
        <w:t>）</w:t>
      </w:r>
      <w:r>
        <w:rPr>
          <w:rFonts w:hint="eastAsia" w:eastAsia="宋体"/>
          <w:color w:val="auto"/>
          <w:highlight w:val="none"/>
          <w:lang w:eastAsia="zh-CN"/>
        </w:rPr>
        <w:t>，Ⅱ级构造单元为张广才岭——太平岭边缘隆起带</w:t>
      </w:r>
      <w:r>
        <w:rPr>
          <w:rFonts w:hint="eastAsia"/>
          <w:color w:val="auto"/>
          <w:highlight w:val="none"/>
          <w:lang w:eastAsia="zh-CN"/>
        </w:rPr>
        <w:t>（</w:t>
      </w:r>
      <w:r>
        <w:rPr>
          <w:rFonts w:hint="eastAsia" w:eastAsia="宋体"/>
          <w:color w:val="auto"/>
          <w:highlight w:val="none"/>
          <w:lang w:eastAsia="zh-CN"/>
        </w:rPr>
        <w:t>Ⅴ1</w:t>
      </w:r>
      <w:r>
        <w:rPr>
          <w:rFonts w:hint="eastAsia"/>
          <w:color w:val="auto"/>
          <w:highlight w:val="none"/>
          <w:lang w:eastAsia="zh-CN"/>
        </w:rPr>
        <w:t>）</w:t>
      </w:r>
      <w:r>
        <w:rPr>
          <w:rFonts w:hint="eastAsia" w:eastAsia="宋体"/>
          <w:color w:val="auto"/>
          <w:highlight w:val="none"/>
          <w:lang w:eastAsia="zh-CN"/>
        </w:rPr>
        <w:t>，Ⅲ级构造为燕山期第二亚构造层。</w:t>
      </w:r>
    </w:p>
    <w:p w14:paraId="74D62242">
      <w:pPr>
        <w:ind w:firstLine="518"/>
        <w:rPr>
          <w:rFonts w:hint="eastAsia" w:eastAsia="宋体"/>
          <w:color w:val="auto"/>
          <w:highlight w:val="none"/>
          <w:lang w:eastAsia="zh-CN"/>
        </w:rPr>
      </w:pPr>
      <w:r>
        <w:rPr>
          <w:rFonts w:hint="eastAsia" w:eastAsia="宋体"/>
          <w:color w:val="auto"/>
          <w:highlight w:val="none"/>
          <w:lang w:eastAsia="zh-CN"/>
        </w:rPr>
        <w:t>张广才岭——太平岭边缘隆起带位于老爷岭地块西南部边缘，包括张广才岭东坡及被敦密断裂切错向北东移位后的太平岭区，东以牡丹江深断裂为界，西与伊春～延寿地槽褶皱系毗邻，北接依舒深断裂，南部延入吉林省，呈北窄南宽的狭长带状展布。</w:t>
      </w:r>
    </w:p>
    <w:p w14:paraId="24C75C5D">
      <w:pPr>
        <w:ind w:firstLine="518"/>
        <w:rPr>
          <w:rFonts w:hint="eastAsia" w:eastAsia="宋体"/>
          <w:color w:val="auto"/>
          <w:highlight w:val="none"/>
          <w:lang w:eastAsia="zh-CN"/>
        </w:rPr>
      </w:pPr>
      <w:r>
        <w:rPr>
          <w:rFonts w:hint="eastAsia" w:eastAsia="宋体"/>
          <w:color w:val="auto"/>
          <w:highlight w:val="none"/>
          <w:lang w:eastAsia="zh-CN"/>
        </w:rPr>
        <w:t>本项目所处位置为张广才岭边缘隆起Ⅲ级构造单元，是工作区由上元古界张广才岭群（厚3655m）组成，晚元古代晚期张广才岭运动皱起，并</w:t>
      </w:r>
      <w:r>
        <w:rPr>
          <w:rFonts w:hint="eastAsia"/>
          <w:color w:val="auto"/>
          <w:highlight w:val="none"/>
          <w:lang w:eastAsia="zh-CN"/>
        </w:rPr>
        <w:t>伴有</w:t>
      </w:r>
      <w:r>
        <w:rPr>
          <w:rFonts w:hint="eastAsia" w:eastAsia="宋体"/>
          <w:color w:val="auto"/>
          <w:highlight w:val="none"/>
          <w:lang w:eastAsia="zh-CN"/>
        </w:rPr>
        <w:t>同期构造期中酸性花岗岩侵入。早泥盆世晚期形成点状分布的小北湖组陆源碎屑岩—生物碎屑灰岩（厚123m）。</w:t>
      </w:r>
    </w:p>
    <w:p w14:paraId="30A8BD1C">
      <w:pPr>
        <w:ind w:firstLine="518"/>
        <w:rPr>
          <w:rFonts w:hint="eastAsia" w:eastAsia="宋体"/>
          <w:color w:val="auto"/>
          <w:highlight w:val="none"/>
          <w:lang w:eastAsia="zh-CN"/>
        </w:rPr>
      </w:pPr>
      <w:r>
        <w:rPr>
          <w:rFonts w:hint="eastAsia" w:eastAsia="宋体"/>
          <w:color w:val="auto"/>
          <w:highlight w:val="none"/>
          <w:lang w:eastAsia="zh-CN"/>
        </w:rPr>
        <w:t>区域地层沿线如下：</w:t>
      </w:r>
    </w:p>
    <w:p w14:paraId="4F711932">
      <w:pPr>
        <w:ind w:firstLine="518"/>
        <w:rPr>
          <w:rFonts w:hint="eastAsia" w:eastAsia="宋体"/>
          <w:color w:val="auto"/>
          <w:highlight w:val="none"/>
          <w:lang w:eastAsia="zh-CN"/>
        </w:rPr>
      </w:pPr>
      <w:r>
        <w:rPr>
          <w:rFonts w:hint="eastAsia" w:eastAsia="宋体"/>
          <w:color w:val="auto"/>
          <w:highlight w:val="none"/>
          <w:lang w:eastAsia="zh-CN"/>
        </w:rPr>
        <w:t>①上白垩系</w:t>
      </w:r>
      <w:r>
        <w:rPr>
          <w:rFonts w:hint="eastAsia"/>
          <w:color w:val="auto"/>
          <w:highlight w:val="none"/>
          <w:lang w:eastAsia="zh-CN"/>
        </w:rPr>
        <w:t>（</w:t>
      </w:r>
      <w:r>
        <w:rPr>
          <w:rFonts w:hint="eastAsia" w:eastAsia="宋体"/>
          <w:color w:val="auto"/>
          <w:highlight w:val="none"/>
          <w:lang w:eastAsia="zh-CN"/>
        </w:rPr>
        <w:t>K2</w:t>
      </w:r>
      <w:r>
        <w:rPr>
          <w:rFonts w:hint="eastAsia"/>
          <w:color w:val="auto"/>
          <w:highlight w:val="none"/>
          <w:lang w:eastAsia="zh-CN"/>
        </w:rPr>
        <w:t>）</w:t>
      </w:r>
    </w:p>
    <w:p w14:paraId="4E76CC57">
      <w:pPr>
        <w:ind w:firstLine="518"/>
        <w:rPr>
          <w:rFonts w:hint="eastAsia" w:eastAsia="宋体"/>
          <w:color w:val="auto"/>
          <w:highlight w:val="none"/>
          <w:lang w:eastAsia="zh-CN"/>
        </w:rPr>
      </w:pPr>
      <w:r>
        <w:rPr>
          <w:rFonts w:hint="eastAsia" w:eastAsia="宋体"/>
          <w:color w:val="auto"/>
          <w:highlight w:val="none"/>
          <w:lang w:eastAsia="zh-CN"/>
        </w:rPr>
        <w:t>主要为流纹岩及酸性熔岩、凝灰岩等，此外有闪长岩、辉长岩等中基性岩呈岩脉岩株产出。</w:t>
      </w:r>
    </w:p>
    <w:p w14:paraId="1595688D">
      <w:pPr>
        <w:ind w:firstLine="518"/>
        <w:rPr>
          <w:rFonts w:hint="eastAsia" w:eastAsia="宋体"/>
          <w:color w:val="auto"/>
          <w:highlight w:val="none"/>
          <w:lang w:eastAsia="zh-CN"/>
        </w:rPr>
      </w:pPr>
      <w:r>
        <w:rPr>
          <w:rFonts w:hint="eastAsia" w:eastAsia="宋体"/>
          <w:color w:val="auto"/>
          <w:highlight w:val="none"/>
          <w:lang w:eastAsia="zh-CN"/>
        </w:rPr>
        <w:t xml:space="preserve">②第三系 (E1-2) </w:t>
      </w:r>
    </w:p>
    <w:p w14:paraId="5249B1B2">
      <w:pPr>
        <w:ind w:firstLine="518"/>
        <w:rPr>
          <w:rFonts w:hint="eastAsia" w:eastAsia="宋体"/>
          <w:color w:val="auto"/>
          <w:highlight w:val="none"/>
          <w:lang w:eastAsia="zh-CN"/>
        </w:rPr>
      </w:pPr>
      <w:r>
        <w:rPr>
          <w:rFonts w:hint="eastAsia" w:eastAsia="宋体"/>
          <w:color w:val="auto"/>
          <w:highlight w:val="none"/>
          <w:lang w:eastAsia="zh-CN"/>
        </w:rPr>
        <w:t>于三江平原下部，构成了第四系的基底，组成岩性主要为弱胶结的灰色、灰黄色、灰绿色泥岩、砂岩和砂砾岩，局部夹褐煤层，地层厚度70</w:t>
      </w:r>
      <w:r>
        <w:rPr>
          <w:rFonts w:hint="eastAsia"/>
          <w:color w:val="auto"/>
          <w:highlight w:val="none"/>
          <w:lang w:eastAsia="zh-CN"/>
        </w:rPr>
        <w:t>—</w:t>
      </w:r>
      <w:r>
        <w:rPr>
          <w:rFonts w:hint="eastAsia" w:eastAsia="宋体"/>
          <w:color w:val="auto"/>
          <w:highlight w:val="none"/>
          <w:lang w:eastAsia="zh-CN"/>
        </w:rPr>
        <w:t>190m。</w:t>
      </w:r>
    </w:p>
    <w:p w14:paraId="4AE08F21">
      <w:pPr>
        <w:ind w:firstLine="518"/>
        <w:rPr>
          <w:rFonts w:hint="eastAsia" w:eastAsia="宋体"/>
          <w:color w:val="auto"/>
          <w:highlight w:val="none"/>
          <w:lang w:eastAsia="zh-CN"/>
        </w:rPr>
      </w:pPr>
      <w:r>
        <w:rPr>
          <w:rFonts w:hint="eastAsia" w:eastAsia="宋体"/>
          <w:color w:val="auto"/>
          <w:highlight w:val="none"/>
          <w:lang w:eastAsia="zh-CN"/>
        </w:rPr>
        <w:t>③第四系</w:t>
      </w:r>
      <w:r>
        <w:rPr>
          <w:rFonts w:hint="eastAsia"/>
          <w:color w:val="auto"/>
          <w:highlight w:val="none"/>
          <w:lang w:eastAsia="zh-CN"/>
        </w:rPr>
        <w:t>（</w:t>
      </w:r>
      <w:r>
        <w:rPr>
          <w:rFonts w:hint="eastAsia" w:eastAsia="宋体"/>
          <w:color w:val="auto"/>
          <w:highlight w:val="none"/>
          <w:lang w:eastAsia="zh-CN"/>
        </w:rPr>
        <w:t>Q</w:t>
      </w:r>
      <w:r>
        <w:rPr>
          <w:rFonts w:hint="eastAsia"/>
          <w:color w:val="auto"/>
          <w:highlight w:val="none"/>
          <w:lang w:eastAsia="zh-CN"/>
        </w:rPr>
        <w:t>）</w:t>
      </w:r>
    </w:p>
    <w:p w14:paraId="51E4842A">
      <w:pPr>
        <w:ind w:firstLine="518"/>
        <w:rPr>
          <w:rFonts w:hint="eastAsia" w:eastAsia="宋体"/>
          <w:color w:val="auto"/>
          <w:highlight w:val="none"/>
          <w:lang w:eastAsia="zh-CN"/>
        </w:rPr>
      </w:pPr>
      <w:r>
        <w:rPr>
          <w:rFonts w:hint="eastAsia" w:eastAsia="宋体"/>
          <w:color w:val="auto"/>
          <w:highlight w:val="none"/>
          <w:lang w:eastAsia="zh-CN"/>
        </w:rPr>
        <w:t>三江平原进入新生代第四纪后，它呈间歇性沉降运动，沉积了较厚的第四纪松散沉积物。其厚度不一，残丘周围的厚度不足50m，最大厚度达300m，各时代的沉积物的主要特征见下表。</w:t>
      </w:r>
    </w:p>
    <w:p w14:paraId="39201233">
      <w:pPr>
        <w:ind w:firstLine="518"/>
        <w:rPr>
          <w:rFonts w:hint="eastAsia" w:eastAsia="宋体"/>
          <w:color w:val="auto"/>
          <w:highlight w:val="none"/>
          <w:lang w:eastAsia="zh-CN"/>
        </w:rPr>
      </w:pPr>
      <w:r>
        <w:rPr>
          <w:rFonts w:hint="eastAsia" w:eastAsia="宋体"/>
          <w:color w:val="auto"/>
          <w:highlight w:val="none"/>
          <w:lang w:eastAsia="zh-CN"/>
        </w:rPr>
        <w:t>◆第四系中更新统堆积</w:t>
      </w:r>
      <w:r>
        <w:rPr>
          <w:rFonts w:hint="eastAsia"/>
          <w:color w:val="auto"/>
          <w:highlight w:val="none"/>
          <w:lang w:eastAsia="zh-CN"/>
        </w:rPr>
        <w:t>（</w:t>
      </w:r>
      <w:r>
        <w:rPr>
          <w:rFonts w:hint="eastAsia" w:eastAsia="宋体"/>
          <w:color w:val="auto"/>
          <w:highlight w:val="none"/>
          <w:lang w:eastAsia="zh-CN"/>
        </w:rPr>
        <w:t>Q2</w:t>
      </w:r>
      <w:r>
        <w:rPr>
          <w:rFonts w:hint="eastAsia"/>
          <w:color w:val="auto"/>
          <w:highlight w:val="none"/>
          <w:lang w:eastAsia="zh-CN"/>
        </w:rPr>
        <w:t>）</w:t>
      </w:r>
    </w:p>
    <w:p w14:paraId="4FE960B2">
      <w:pPr>
        <w:ind w:firstLine="518"/>
        <w:rPr>
          <w:rFonts w:hint="eastAsia" w:eastAsia="宋体"/>
          <w:color w:val="auto"/>
          <w:highlight w:val="none"/>
          <w:lang w:eastAsia="zh-CN"/>
        </w:rPr>
      </w:pPr>
      <w:r>
        <w:rPr>
          <w:rFonts w:hint="eastAsia" w:eastAsia="宋体"/>
          <w:color w:val="auto"/>
          <w:highlight w:val="none"/>
          <w:lang w:eastAsia="zh-CN"/>
        </w:rPr>
        <w:t>分布于山前二级阶地、埋藏于一级阶地及河漫滩的下部，由洪积的粘土夹砾石及坡积洪积</w:t>
      </w:r>
      <w:r>
        <w:rPr>
          <w:rFonts w:hint="eastAsia"/>
          <w:color w:val="auto"/>
          <w:highlight w:val="none"/>
          <w:lang w:eastAsia="zh-CN"/>
        </w:rPr>
        <w:t>的黏性</w:t>
      </w:r>
      <w:r>
        <w:rPr>
          <w:rFonts w:hint="eastAsia" w:eastAsia="宋体"/>
          <w:color w:val="auto"/>
          <w:highlight w:val="none"/>
          <w:lang w:eastAsia="zh-CN"/>
        </w:rPr>
        <w:t>土组成。厚度100</w:t>
      </w:r>
      <w:r>
        <w:rPr>
          <w:rFonts w:hint="eastAsia"/>
          <w:color w:val="auto"/>
          <w:highlight w:val="none"/>
          <w:lang w:eastAsia="zh-CN"/>
        </w:rPr>
        <w:t>—</w:t>
      </w:r>
      <w:r>
        <w:rPr>
          <w:rFonts w:hint="eastAsia" w:eastAsia="宋体"/>
          <w:color w:val="auto"/>
          <w:highlight w:val="none"/>
          <w:lang w:eastAsia="zh-CN"/>
        </w:rPr>
        <w:t>200m。</w:t>
      </w:r>
    </w:p>
    <w:p w14:paraId="650150F6">
      <w:pPr>
        <w:ind w:firstLine="518"/>
        <w:rPr>
          <w:rFonts w:hint="eastAsia" w:eastAsia="宋体"/>
          <w:color w:val="auto"/>
          <w:highlight w:val="none"/>
          <w:lang w:eastAsia="zh-CN"/>
        </w:rPr>
      </w:pPr>
      <w:r>
        <w:rPr>
          <w:rFonts w:hint="eastAsia" w:eastAsia="宋体"/>
          <w:color w:val="auto"/>
          <w:highlight w:val="none"/>
          <w:lang w:eastAsia="zh-CN"/>
        </w:rPr>
        <w:t>◆第四系上更新统冲积物</w:t>
      </w:r>
      <w:r>
        <w:rPr>
          <w:rFonts w:hint="eastAsia"/>
          <w:color w:val="auto"/>
          <w:highlight w:val="none"/>
          <w:lang w:eastAsia="zh-CN"/>
        </w:rPr>
        <w:t>（</w:t>
      </w:r>
      <w:r>
        <w:rPr>
          <w:rFonts w:hint="eastAsia" w:eastAsia="宋体"/>
          <w:color w:val="auto"/>
          <w:highlight w:val="none"/>
          <w:lang w:eastAsia="zh-CN"/>
        </w:rPr>
        <w:t>Q3</w:t>
      </w:r>
      <w:r>
        <w:rPr>
          <w:rFonts w:hint="eastAsia"/>
          <w:color w:val="auto"/>
          <w:highlight w:val="none"/>
          <w:lang w:eastAsia="zh-CN"/>
        </w:rPr>
        <w:t>）</w:t>
      </w:r>
    </w:p>
    <w:p w14:paraId="58768562">
      <w:pPr>
        <w:ind w:firstLine="518"/>
        <w:rPr>
          <w:rFonts w:hint="eastAsia" w:eastAsia="宋体"/>
          <w:color w:val="auto"/>
          <w:highlight w:val="none"/>
          <w:lang w:eastAsia="zh-CN"/>
        </w:rPr>
      </w:pPr>
      <w:r>
        <w:rPr>
          <w:rFonts w:hint="eastAsia" w:eastAsia="宋体"/>
          <w:color w:val="auto"/>
          <w:highlight w:val="none"/>
          <w:lang w:eastAsia="zh-CN"/>
        </w:rPr>
        <w:t>分布于河流二级阶地及高平原上，岩性上部主要为黄色</w:t>
      </w:r>
      <w:r>
        <w:rPr>
          <w:rFonts w:hint="eastAsia"/>
          <w:color w:val="auto"/>
          <w:highlight w:val="none"/>
          <w:lang w:eastAsia="zh-CN"/>
        </w:rPr>
        <w:t>－</w:t>
      </w:r>
      <w:r>
        <w:rPr>
          <w:rFonts w:hint="eastAsia" w:eastAsia="宋体"/>
          <w:color w:val="auto"/>
          <w:highlight w:val="none"/>
          <w:lang w:eastAsia="zh-CN"/>
        </w:rPr>
        <w:t>黄褐色亚粘土，下部为黄色、灰黄色粉细砂和砂砾石，砂砾层中砾石磨圆度好，分选较好，表面干净，色调较杂，有白色石英脉岩、酸性火山岩、白岗质花岗岩、黑色硅质岩和变质火山岩等。厚度10</w:t>
      </w:r>
      <w:r>
        <w:rPr>
          <w:rFonts w:hint="eastAsia"/>
          <w:color w:val="auto"/>
          <w:highlight w:val="none"/>
          <w:lang w:eastAsia="zh-CN"/>
        </w:rPr>
        <w:t>—</w:t>
      </w:r>
      <w:r>
        <w:rPr>
          <w:rFonts w:hint="eastAsia" w:eastAsia="宋体"/>
          <w:color w:val="auto"/>
          <w:highlight w:val="none"/>
          <w:lang w:eastAsia="zh-CN"/>
        </w:rPr>
        <w:t>30m。</w:t>
      </w:r>
    </w:p>
    <w:p w14:paraId="0F7BF577">
      <w:pPr>
        <w:ind w:firstLine="518"/>
        <w:rPr>
          <w:rFonts w:hint="eastAsia" w:eastAsia="宋体"/>
          <w:color w:val="auto"/>
          <w:highlight w:val="none"/>
          <w:lang w:eastAsia="zh-CN"/>
        </w:rPr>
      </w:pPr>
      <w:r>
        <w:rPr>
          <w:rFonts w:hint="eastAsia" w:eastAsia="宋体"/>
          <w:color w:val="auto"/>
          <w:highlight w:val="none"/>
          <w:lang w:eastAsia="zh-CN"/>
        </w:rPr>
        <w:t>◆第四系全新统</w:t>
      </w:r>
      <w:r>
        <w:rPr>
          <w:rFonts w:hint="eastAsia"/>
          <w:color w:val="auto"/>
          <w:highlight w:val="none"/>
          <w:lang w:eastAsia="zh-CN"/>
        </w:rPr>
        <w:t>（</w:t>
      </w:r>
      <w:r>
        <w:rPr>
          <w:rFonts w:hint="eastAsia" w:eastAsia="宋体"/>
          <w:color w:val="auto"/>
          <w:highlight w:val="none"/>
          <w:lang w:eastAsia="zh-CN"/>
        </w:rPr>
        <w:t>Q41-2</w:t>
      </w:r>
      <w:r>
        <w:rPr>
          <w:rFonts w:hint="eastAsia"/>
          <w:color w:val="auto"/>
          <w:highlight w:val="none"/>
          <w:lang w:eastAsia="zh-CN"/>
        </w:rPr>
        <w:t>）</w:t>
      </w:r>
    </w:p>
    <w:p w14:paraId="54507874">
      <w:pPr>
        <w:ind w:firstLine="518"/>
        <w:rPr>
          <w:rFonts w:hint="eastAsia" w:eastAsia="宋体"/>
          <w:color w:val="auto"/>
          <w:highlight w:val="none"/>
          <w:lang w:eastAsia="zh-CN"/>
        </w:rPr>
      </w:pPr>
      <w:r>
        <w:rPr>
          <w:rFonts w:hint="eastAsia" w:eastAsia="宋体"/>
          <w:color w:val="auto"/>
          <w:highlight w:val="none"/>
          <w:lang w:eastAsia="zh-CN"/>
        </w:rPr>
        <w:t>分布于各河流高漫滩及地漫滩中。为河流冲洪积物，主要由粘性土、砂及砾石等组成。最大厚度35m。</w:t>
      </w:r>
    </w:p>
    <w:p w14:paraId="3DD665BB">
      <w:pPr>
        <w:ind w:firstLine="518"/>
        <w:rPr>
          <w:rFonts w:hint="eastAsia" w:eastAsia="宋体"/>
          <w:color w:val="auto"/>
          <w:highlight w:val="none"/>
          <w:lang w:eastAsia="zh-CN"/>
        </w:rPr>
      </w:pPr>
      <w:r>
        <w:rPr>
          <w:rFonts w:hint="eastAsia" w:eastAsia="宋体"/>
          <w:color w:val="auto"/>
          <w:highlight w:val="none"/>
          <w:lang w:eastAsia="zh-CN"/>
        </w:rPr>
        <w:fldChar w:fldCharType="begin"/>
      </w:r>
      <w:r>
        <w:rPr>
          <w:rFonts w:hint="eastAsia" w:eastAsia="宋体"/>
          <w:color w:val="auto"/>
          <w:highlight w:val="none"/>
          <w:lang w:eastAsia="zh-CN"/>
        </w:rPr>
        <w:instrText xml:space="preserve"> = 4 \* GB3 </w:instrText>
      </w:r>
      <w:r>
        <w:rPr>
          <w:rFonts w:hint="eastAsia" w:eastAsia="宋体"/>
          <w:color w:val="auto"/>
          <w:highlight w:val="none"/>
          <w:lang w:eastAsia="zh-CN"/>
        </w:rPr>
        <w:fldChar w:fldCharType="separate"/>
      </w:r>
      <w:r>
        <w:rPr>
          <w:rFonts w:hint="eastAsia" w:eastAsia="宋体"/>
          <w:color w:val="auto"/>
          <w:highlight w:val="none"/>
          <w:lang w:eastAsia="zh-CN"/>
        </w:rPr>
        <w:t>④</w:t>
      </w:r>
      <w:r>
        <w:rPr>
          <w:rFonts w:hint="eastAsia" w:eastAsia="宋体"/>
          <w:color w:val="auto"/>
          <w:highlight w:val="none"/>
          <w:lang w:eastAsia="zh-CN"/>
        </w:rPr>
        <w:fldChar w:fldCharType="end"/>
      </w:r>
      <w:r>
        <w:rPr>
          <w:rFonts w:hint="eastAsia" w:eastAsia="宋体"/>
          <w:color w:val="auto"/>
          <w:highlight w:val="none"/>
          <w:lang w:eastAsia="zh-CN"/>
        </w:rPr>
        <w:t>侵入岩</w:t>
      </w:r>
      <w:r>
        <w:rPr>
          <w:rFonts w:hint="eastAsia"/>
          <w:color w:val="auto"/>
          <w:highlight w:val="none"/>
          <w:lang w:eastAsia="zh-CN"/>
        </w:rPr>
        <w:t>（</w:t>
      </w:r>
      <w:r>
        <w:rPr>
          <w:rFonts w:hint="eastAsia" w:eastAsia="宋体"/>
          <w:color w:val="auto"/>
          <w:highlight w:val="none"/>
          <w:lang w:eastAsia="zh-CN"/>
        </w:rPr>
        <w:t>γ</w:t>
      </w:r>
      <w:r>
        <w:rPr>
          <w:rFonts w:hint="eastAsia"/>
          <w:color w:val="auto"/>
          <w:highlight w:val="none"/>
          <w:lang w:eastAsia="zh-CN"/>
        </w:rPr>
        <w:t>）</w:t>
      </w:r>
    </w:p>
    <w:p w14:paraId="5CDEFEBF">
      <w:pPr>
        <w:ind w:firstLine="518"/>
        <w:rPr>
          <w:rFonts w:hint="eastAsia" w:eastAsia="宋体"/>
          <w:color w:val="auto"/>
          <w:highlight w:val="none"/>
          <w:lang w:eastAsia="zh-CN"/>
        </w:rPr>
      </w:pPr>
      <w:r>
        <w:rPr>
          <w:rFonts w:hint="eastAsia" w:eastAsia="宋体"/>
          <w:color w:val="auto"/>
          <w:highlight w:val="none"/>
          <w:lang w:eastAsia="zh-CN"/>
        </w:rPr>
        <w:t>本区</w:t>
      </w:r>
      <w:r>
        <w:rPr>
          <w:rFonts w:hint="eastAsia"/>
          <w:color w:val="auto"/>
          <w:highlight w:val="none"/>
          <w:lang w:eastAsia="zh-CN"/>
        </w:rPr>
        <w:t>以深成侵入岩为主</w:t>
      </w:r>
      <w:r>
        <w:rPr>
          <w:rFonts w:hint="eastAsia" w:eastAsia="宋体"/>
          <w:color w:val="auto"/>
          <w:highlight w:val="none"/>
          <w:lang w:eastAsia="zh-CN"/>
        </w:rPr>
        <w:t>。区内零星出露，侵入岩主要为元古代侵入岩</w:t>
      </w:r>
      <w:r>
        <w:rPr>
          <w:rFonts w:hint="eastAsia"/>
          <w:color w:val="auto"/>
          <w:highlight w:val="none"/>
          <w:lang w:eastAsia="zh-CN"/>
        </w:rPr>
        <w:t>（</w:t>
      </w:r>
      <w:r>
        <w:rPr>
          <w:rFonts w:hint="eastAsia" w:eastAsia="宋体"/>
          <w:color w:val="auto"/>
          <w:highlight w:val="none"/>
          <w:lang w:eastAsia="zh-CN"/>
        </w:rPr>
        <w:t>γ1-2</w:t>
      </w:r>
      <w:r>
        <w:rPr>
          <w:rFonts w:hint="eastAsia"/>
          <w:color w:val="auto"/>
          <w:highlight w:val="none"/>
          <w:lang w:eastAsia="zh-CN"/>
        </w:rPr>
        <w:t>）</w:t>
      </w:r>
      <w:r>
        <w:rPr>
          <w:rFonts w:hint="eastAsia" w:eastAsia="宋体"/>
          <w:color w:val="auto"/>
          <w:highlight w:val="none"/>
          <w:lang w:eastAsia="zh-CN"/>
        </w:rPr>
        <w:t>，</w:t>
      </w:r>
      <w:r>
        <w:rPr>
          <w:rFonts w:hint="eastAsia"/>
          <w:color w:val="auto"/>
          <w:highlight w:val="none"/>
          <w:lang w:eastAsia="zh-CN"/>
        </w:rPr>
        <w:t>以花岗岩为主</w:t>
      </w:r>
      <w:r>
        <w:rPr>
          <w:rFonts w:hint="eastAsia" w:eastAsia="宋体"/>
          <w:color w:val="auto"/>
          <w:highlight w:val="none"/>
          <w:lang w:eastAsia="zh-CN"/>
        </w:rPr>
        <w:t>。</w:t>
      </w:r>
    </w:p>
    <w:p w14:paraId="50198F7C">
      <w:pPr>
        <w:ind w:firstLine="518"/>
        <w:rPr>
          <w:rFonts w:hint="eastAsia" w:eastAsia="宋体"/>
          <w:color w:val="auto"/>
          <w:highlight w:val="none"/>
          <w:lang w:eastAsia="zh-CN"/>
        </w:rPr>
      </w:pPr>
      <w:r>
        <w:rPr>
          <w:rFonts w:hint="eastAsia" w:eastAsia="宋体"/>
          <w:color w:val="auto"/>
          <w:highlight w:val="none"/>
          <w:lang w:eastAsia="zh-CN"/>
        </w:rPr>
        <w:t>本项目所处区为第四系覆盖层，厚度较大，地质稳定性较好，其强度满足设计要求。</w:t>
      </w:r>
    </w:p>
    <w:p w14:paraId="4FBDB713">
      <w:pPr>
        <w:ind w:left="0" w:leftChars="0" w:firstLine="0" w:firstLineChars="0"/>
        <w:rPr>
          <w:rFonts w:hint="eastAsia"/>
          <w:color w:val="auto"/>
          <w:highlight w:val="none"/>
        </w:rPr>
      </w:pPr>
      <w:r>
        <w:rPr>
          <w:rFonts w:hint="eastAsia" w:ascii="Times New Roman" w:hAnsi="Times New Roman" w:cs="Times New Roman" w:eastAsiaTheme="minorEastAsia"/>
          <w:b/>
          <w:bCs/>
          <w:color w:val="auto"/>
          <w:kern w:val="2"/>
          <w:sz w:val="24"/>
          <w:szCs w:val="32"/>
          <w:highlight w:val="none"/>
          <w:lang w:val="en-US" w:eastAsia="zh-CN" w:bidi="ar-SA"/>
        </w:rPr>
        <w:t>2.2水文地质条件</w:t>
      </w:r>
    </w:p>
    <w:p w14:paraId="24E9B949">
      <w:pPr>
        <w:ind w:left="0" w:leftChars="0" w:firstLine="480" w:firstLineChars="200"/>
        <w:rPr>
          <w:rFonts w:hint="eastAsia"/>
          <w:color w:val="auto"/>
          <w:highlight w:val="none"/>
        </w:rPr>
      </w:pPr>
      <w:r>
        <w:rPr>
          <w:rFonts w:hint="eastAsia"/>
          <w:color w:val="auto"/>
          <w:highlight w:val="none"/>
        </w:rPr>
        <w:t>境内有4条主要河流，均属</w:t>
      </w:r>
      <w:r>
        <w:rPr>
          <w:rFonts w:hint="eastAsia"/>
          <w:color w:val="auto"/>
          <w:highlight w:val="none"/>
        </w:rPr>
        <w:fldChar w:fldCharType="begin"/>
      </w:r>
      <w:r>
        <w:rPr>
          <w:rFonts w:hint="eastAsia"/>
          <w:color w:val="auto"/>
          <w:highlight w:val="none"/>
        </w:rPr>
        <w:instrText xml:space="preserve"> HYPERLINK "https://baike.baidu.com/item/%E4%B9%8C%E8%8B%8F%E9%87%8C%E6%B1%9F/955935" \t "_blank" </w:instrText>
      </w:r>
      <w:r>
        <w:rPr>
          <w:rFonts w:hint="eastAsia"/>
          <w:color w:val="auto"/>
          <w:highlight w:val="none"/>
        </w:rPr>
        <w:fldChar w:fldCharType="separate"/>
      </w:r>
      <w:r>
        <w:rPr>
          <w:rFonts w:hint="eastAsia"/>
          <w:color w:val="auto"/>
          <w:highlight w:val="none"/>
        </w:rPr>
        <w:t>乌苏里江</w:t>
      </w:r>
      <w:r>
        <w:rPr>
          <w:rFonts w:hint="eastAsia"/>
          <w:color w:val="auto"/>
          <w:highlight w:val="none"/>
        </w:rPr>
        <w:fldChar w:fldCharType="end"/>
      </w:r>
      <w:r>
        <w:rPr>
          <w:rFonts w:hint="eastAsia"/>
          <w:color w:val="auto"/>
          <w:highlight w:val="none"/>
        </w:rPr>
        <w:t>水系，其中，穆棱河由西南向东北纵贯全境。全市河川年均径流量4.09亿立方米。</w:t>
      </w:r>
    </w:p>
    <w:p w14:paraId="45FCAE9D">
      <w:pPr>
        <w:ind w:left="0" w:leftChars="0" w:firstLine="480" w:firstLineChars="200"/>
        <w:rPr>
          <w:rFonts w:hint="eastAsia"/>
          <w:color w:val="auto"/>
          <w:highlight w:val="none"/>
        </w:rPr>
      </w:pPr>
      <w:r>
        <w:rPr>
          <w:rFonts w:hint="eastAsia"/>
          <w:color w:val="auto"/>
          <w:highlight w:val="none"/>
        </w:rPr>
        <w:t xml:space="preserve">鸡西市境内最大河流是穆棱河以及风光秀丽的兴凯湖。水资源总量为5393亿立方米，地下水总储量98.4亿立方米，可开采量9.4亿立方米。 </w:t>
      </w:r>
    </w:p>
    <w:p w14:paraId="02820AE2">
      <w:pPr>
        <w:ind w:left="0" w:leftChars="0" w:firstLine="480" w:firstLineChars="200"/>
        <w:rPr>
          <w:rFonts w:hint="eastAsia"/>
          <w:color w:val="auto"/>
          <w:highlight w:val="none"/>
        </w:rPr>
      </w:pPr>
      <w:r>
        <w:rPr>
          <w:rFonts w:hint="eastAsia"/>
          <w:color w:val="auto"/>
          <w:highlight w:val="none"/>
        </w:rPr>
        <w:t>穆棱河，黑龙江支流乌苏里江左岸最大支流，位于黑龙江省东部。发源于黑龙江省穆棱市老爷岭山脉东坡穆棱窝集岭。辽、金称</w:t>
      </w:r>
      <w:r>
        <w:rPr>
          <w:rFonts w:hint="eastAsia"/>
          <w:color w:val="auto"/>
          <w:highlight w:val="none"/>
          <w:lang w:eastAsia="zh-CN"/>
        </w:rPr>
        <w:t>“</w:t>
      </w:r>
      <w:r>
        <w:rPr>
          <w:rFonts w:hint="eastAsia"/>
          <w:color w:val="auto"/>
          <w:highlight w:val="none"/>
        </w:rPr>
        <w:t>毛怜河</w:t>
      </w:r>
      <w:r>
        <w:rPr>
          <w:rFonts w:hint="eastAsia"/>
          <w:color w:val="auto"/>
          <w:highlight w:val="none"/>
          <w:lang w:eastAsia="zh-CN"/>
        </w:rPr>
        <w:t>”</w:t>
      </w:r>
      <w:r>
        <w:rPr>
          <w:rFonts w:hint="eastAsia"/>
          <w:color w:val="auto"/>
          <w:highlight w:val="none"/>
        </w:rPr>
        <w:t>、</w:t>
      </w:r>
      <w:r>
        <w:rPr>
          <w:rFonts w:hint="eastAsia"/>
          <w:color w:val="auto"/>
          <w:highlight w:val="none"/>
          <w:lang w:eastAsia="zh-CN"/>
        </w:rPr>
        <w:t>“</w:t>
      </w:r>
      <w:r>
        <w:rPr>
          <w:rFonts w:hint="eastAsia"/>
          <w:color w:val="auto"/>
          <w:highlight w:val="none"/>
        </w:rPr>
        <w:t>暮棱水</w:t>
      </w:r>
      <w:r>
        <w:rPr>
          <w:rFonts w:hint="eastAsia"/>
          <w:color w:val="auto"/>
          <w:highlight w:val="none"/>
          <w:lang w:eastAsia="zh-CN"/>
        </w:rPr>
        <w:t>”</w:t>
      </w:r>
      <w:r>
        <w:rPr>
          <w:rFonts w:hint="eastAsia"/>
          <w:color w:val="auto"/>
          <w:highlight w:val="none"/>
        </w:rPr>
        <w:t>，元称</w:t>
      </w:r>
      <w:r>
        <w:rPr>
          <w:rFonts w:hint="eastAsia"/>
          <w:color w:val="auto"/>
          <w:highlight w:val="none"/>
          <w:lang w:eastAsia="zh-CN"/>
        </w:rPr>
        <w:t>“</w:t>
      </w:r>
      <w:r>
        <w:rPr>
          <w:rFonts w:hint="eastAsia"/>
          <w:color w:val="auto"/>
          <w:highlight w:val="none"/>
        </w:rPr>
        <w:t>莫力河</w:t>
      </w:r>
      <w:r>
        <w:rPr>
          <w:rFonts w:hint="eastAsia"/>
          <w:color w:val="auto"/>
          <w:highlight w:val="none"/>
          <w:lang w:eastAsia="zh-CN"/>
        </w:rPr>
        <w:t>”</w:t>
      </w:r>
      <w:r>
        <w:rPr>
          <w:rFonts w:hint="eastAsia"/>
          <w:color w:val="auto"/>
          <w:highlight w:val="none"/>
        </w:rPr>
        <w:t>，明称</w:t>
      </w:r>
      <w:r>
        <w:rPr>
          <w:rFonts w:hint="eastAsia"/>
          <w:color w:val="auto"/>
          <w:highlight w:val="none"/>
          <w:lang w:eastAsia="zh-CN"/>
        </w:rPr>
        <w:t>“</w:t>
      </w:r>
      <w:r>
        <w:rPr>
          <w:rFonts w:hint="eastAsia"/>
          <w:color w:val="auto"/>
          <w:highlight w:val="none"/>
        </w:rPr>
        <w:t>麦兰河</w:t>
      </w:r>
      <w:r>
        <w:rPr>
          <w:rFonts w:hint="eastAsia"/>
          <w:color w:val="auto"/>
          <w:highlight w:val="none"/>
          <w:lang w:eastAsia="zh-CN"/>
        </w:rPr>
        <w:t>”</w:t>
      </w:r>
      <w:r>
        <w:rPr>
          <w:rFonts w:hint="eastAsia"/>
          <w:color w:val="auto"/>
          <w:highlight w:val="none"/>
        </w:rPr>
        <w:t>，清初称</w:t>
      </w:r>
      <w:r>
        <w:rPr>
          <w:rFonts w:hint="eastAsia"/>
          <w:color w:val="auto"/>
          <w:highlight w:val="none"/>
          <w:lang w:eastAsia="zh-CN"/>
        </w:rPr>
        <w:t>“</w:t>
      </w:r>
      <w:r>
        <w:rPr>
          <w:rFonts w:hint="eastAsia"/>
          <w:color w:val="auto"/>
          <w:highlight w:val="none"/>
        </w:rPr>
        <w:t>木伦河</w:t>
      </w:r>
      <w:r>
        <w:rPr>
          <w:rFonts w:hint="eastAsia"/>
          <w:color w:val="auto"/>
          <w:highlight w:val="none"/>
          <w:lang w:eastAsia="zh-CN"/>
        </w:rPr>
        <w:t>”</w:t>
      </w:r>
      <w:r>
        <w:rPr>
          <w:rFonts w:hint="eastAsia"/>
          <w:color w:val="auto"/>
          <w:highlight w:val="none"/>
        </w:rPr>
        <w:t>、</w:t>
      </w:r>
      <w:r>
        <w:rPr>
          <w:rFonts w:hint="eastAsia"/>
          <w:color w:val="auto"/>
          <w:highlight w:val="none"/>
          <w:lang w:eastAsia="zh-CN"/>
        </w:rPr>
        <w:t>“</w:t>
      </w:r>
      <w:r>
        <w:rPr>
          <w:rFonts w:hint="eastAsia"/>
          <w:color w:val="auto"/>
          <w:highlight w:val="none"/>
        </w:rPr>
        <w:t>木楞河</w:t>
      </w:r>
      <w:r>
        <w:rPr>
          <w:rFonts w:hint="eastAsia"/>
          <w:color w:val="auto"/>
          <w:highlight w:val="none"/>
          <w:lang w:eastAsia="zh-CN"/>
        </w:rPr>
        <w:t>”</w:t>
      </w:r>
      <w:r>
        <w:rPr>
          <w:rFonts w:hint="eastAsia"/>
          <w:color w:val="auto"/>
          <w:highlight w:val="none"/>
        </w:rPr>
        <w:t>，清末改称</w:t>
      </w:r>
      <w:r>
        <w:rPr>
          <w:rFonts w:hint="eastAsia"/>
          <w:color w:val="auto"/>
          <w:highlight w:val="none"/>
          <w:lang w:eastAsia="zh-CN"/>
        </w:rPr>
        <w:t>“</w:t>
      </w:r>
      <w:r>
        <w:rPr>
          <w:rFonts w:hint="eastAsia"/>
          <w:color w:val="auto"/>
          <w:highlight w:val="none"/>
        </w:rPr>
        <w:t>穆棱河</w:t>
      </w:r>
      <w:r>
        <w:rPr>
          <w:rFonts w:hint="eastAsia"/>
          <w:color w:val="auto"/>
          <w:highlight w:val="none"/>
          <w:lang w:eastAsia="zh-CN"/>
        </w:rPr>
        <w:t>”</w:t>
      </w:r>
      <w:r>
        <w:rPr>
          <w:rFonts w:hint="eastAsia"/>
          <w:color w:val="auto"/>
          <w:highlight w:val="none"/>
        </w:rPr>
        <w:t>。流经穆棱市、鸡西市和鸡东县、密山县、虎林市，至虎林县湖北闸处，河道分成两路。一路沿穆兴水路</w:t>
      </w:r>
      <w:r>
        <w:rPr>
          <w:rFonts w:hint="eastAsia"/>
          <w:color w:val="auto"/>
          <w:highlight w:val="none"/>
          <w:lang w:eastAsia="zh-CN"/>
        </w:rPr>
        <w:t>（</w:t>
      </w:r>
      <w:r>
        <w:rPr>
          <w:rFonts w:hint="eastAsia"/>
          <w:color w:val="auto"/>
          <w:highlight w:val="none"/>
        </w:rPr>
        <w:t>分洪河道</w:t>
      </w:r>
      <w:r>
        <w:rPr>
          <w:rFonts w:hint="eastAsia"/>
          <w:color w:val="auto"/>
          <w:highlight w:val="none"/>
          <w:lang w:eastAsia="zh-CN"/>
        </w:rPr>
        <w:t>）</w:t>
      </w:r>
      <w:r>
        <w:rPr>
          <w:rFonts w:hint="eastAsia"/>
          <w:color w:val="auto"/>
          <w:highlight w:val="none"/>
        </w:rPr>
        <w:t>注入兴凯湖</w:t>
      </w:r>
      <w:r>
        <w:rPr>
          <w:rFonts w:hint="eastAsia"/>
          <w:color w:val="auto"/>
          <w:highlight w:val="none"/>
          <w:lang w:eastAsia="zh-CN"/>
        </w:rPr>
        <w:t>；</w:t>
      </w:r>
      <w:r>
        <w:rPr>
          <w:rFonts w:hint="eastAsia"/>
          <w:color w:val="auto"/>
          <w:highlight w:val="none"/>
        </w:rPr>
        <w:t>一路沿穆棱河原河道继续东流，在虎头以南18 公里处之桦树林子注入乌苏里江。河流长度834 公里</w:t>
      </w:r>
      <w:r>
        <w:rPr>
          <w:rFonts w:hint="eastAsia"/>
          <w:color w:val="auto"/>
          <w:highlight w:val="none"/>
          <w:lang w:eastAsia="zh-CN"/>
        </w:rPr>
        <w:t>（</w:t>
      </w:r>
      <w:r>
        <w:rPr>
          <w:rFonts w:hint="eastAsia"/>
          <w:color w:val="auto"/>
          <w:highlight w:val="none"/>
        </w:rPr>
        <w:t>一说635公里</w:t>
      </w:r>
      <w:r>
        <w:rPr>
          <w:rFonts w:hint="eastAsia"/>
          <w:color w:val="auto"/>
          <w:highlight w:val="none"/>
          <w:lang w:eastAsia="zh-CN"/>
        </w:rPr>
        <w:t>）</w:t>
      </w:r>
      <w:r>
        <w:rPr>
          <w:rFonts w:hint="eastAsia"/>
          <w:color w:val="auto"/>
          <w:highlight w:val="none"/>
        </w:rPr>
        <w:t>，流域面积18427平方公里。</w:t>
      </w:r>
    </w:p>
    <w:p w14:paraId="29956F69">
      <w:pPr>
        <w:ind w:left="0" w:leftChars="0" w:firstLine="480" w:firstLineChars="200"/>
        <w:rPr>
          <w:rFonts w:hint="eastAsia" w:ascii="Times New Roman" w:hAnsi="Times New Roman" w:cs="Times New Roman" w:eastAsiaTheme="minorEastAsia"/>
          <w:b/>
          <w:bCs/>
          <w:color w:val="auto"/>
          <w:kern w:val="2"/>
          <w:sz w:val="24"/>
          <w:szCs w:val="32"/>
          <w:highlight w:val="none"/>
          <w:lang w:val="en-US" w:eastAsia="zh-CN" w:bidi="ar-SA"/>
        </w:rPr>
      </w:pPr>
      <w:r>
        <w:rPr>
          <w:rFonts w:hint="eastAsia"/>
          <w:color w:val="auto"/>
          <w:highlight w:val="none"/>
        </w:rPr>
        <w:t>穆棱河上游</w:t>
      </w:r>
      <w:r>
        <w:rPr>
          <w:rFonts w:hint="eastAsia"/>
          <w:color w:val="auto"/>
          <w:highlight w:val="none"/>
          <w:lang w:eastAsia="zh-CN"/>
        </w:rPr>
        <w:t>流经</w:t>
      </w:r>
      <w:r>
        <w:rPr>
          <w:rFonts w:hint="eastAsia"/>
          <w:color w:val="auto"/>
          <w:highlight w:val="none"/>
        </w:rPr>
        <w:t>崇山峻岭，下游流经广袤平原，自西南流向东北，流经穆棱、鸡西、鸡东、密山、虎林五个市县，在虎头镇南注入乌苏里江。</w:t>
      </w:r>
    </w:p>
    <w:p w14:paraId="59E0E447">
      <w:pPr>
        <w:rPr>
          <w:rFonts w:hAnsiTheme="minorEastAsia" w:eastAsiaTheme="minorEastAsia"/>
          <w:color w:val="auto"/>
          <w:highlight w:val="none"/>
        </w:rPr>
      </w:pPr>
      <w:bookmarkStart w:id="22" w:name="_Toc111557745"/>
      <w:r>
        <w:rPr>
          <w:rFonts w:hAnsiTheme="minorEastAsia" w:eastAsiaTheme="minorEastAsia"/>
          <w:color w:val="auto"/>
          <w:highlight w:val="none"/>
        </w:rPr>
        <w:br w:type="page"/>
      </w:r>
    </w:p>
    <w:bookmarkEnd w:id="22"/>
    <w:p w14:paraId="0C8D2FE5">
      <w:pPr>
        <w:pStyle w:val="2"/>
        <w:spacing w:beforeLines="0" w:afterLines="0" w:line="360" w:lineRule="auto"/>
        <w:rPr>
          <w:rFonts w:hint="eastAsia" w:hAnsiTheme="minorEastAsia" w:eastAsiaTheme="minorEastAsia"/>
          <w:color w:val="auto"/>
          <w:highlight w:val="none"/>
          <w:lang w:eastAsia="zh-CN"/>
        </w:rPr>
        <w:sectPr>
          <w:headerReference r:id="rId11" w:type="default"/>
          <w:footerReference r:id="rId12"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729C0D61">
      <w:pPr>
        <w:pStyle w:val="2"/>
        <w:keepNext/>
        <w:keepLines/>
        <w:pageBreakBefore w:val="0"/>
        <w:widowControl w:val="0"/>
        <w:kinsoku/>
        <w:wordWrap/>
        <w:overflowPunct/>
        <w:topLinePunct w:val="0"/>
        <w:autoSpaceDE/>
        <w:autoSpaceDN/>
        <w:bidi w:val="0"/>
        <w:adjustRightInd/>
        <w:snapToGrid/>
        <w:spacing w:beforeLines="0" w:afterLines="0" w:line="360" w:lineRule="auto"/>
        <w:ind w:firstLine="598" w:firstLineChars="200"/>
        <w:textAlignment w:val="auto"/>
        <w:rPr>
          <w:rFonts w:hint="default" w:hAnsiTheme="minorEastAsia" w:eastAsiaTheme="minorEastAsia"/>
          <w:color w:val="auto"/>
          <w:highlight w:val="none"/>
          <w:lang w:val="en-US" w:eastAsia="zh-CN"/>
        </w:rPr>
      </w:pPr>
      <w:bookmarkStart w:id="23" w:name="_Toc14633"/>
      <w:r>
        <w:rPr>
          <w:rFonts w:hAnsiTheme="minorEastAsia" w:eastAsiaTheme="minorEastAsia"/>
          <w:color w:val="auto"/>
          <w:highlight w:val="none"/>
        </w:rPr>
        <w:t>三、</w:t>
      </w:r>
      <w:bookmarkEnd w:id="23"/>
      <w:bookmarkStart w:id="24" w:name="_Toc25039"/>
      <w:r>
        <w:rPr>
          <w:rFonts w:hint="eastAsia" w:hAnsiTheme="minorEastAsia" w:eastAsiaTheme="minorEastAsia"/>
          <w:color w:val="auto"/>
          <w:highlight w:val="none"/>
          <w:lang w:val="en-US" w:eastAsia="zh-CN"/>
        </w:rPr>
        <w:t>地下水现状评价</w:t>
      </w:r>
    </w:p>
    <w:p w14:paraId="19BA79D8">
      <w:pPr>
        <w:pStyle w:val="2"/>
        <w:keepNext/>
        <w:keepLines/>
        <w:pageBreakBefore w:val="0"/>
        <w:widowControl w:val="0"/>
        <w:kinsoku/>
        <w:wordWrap/>
        <w:overflowPunct/>
        <w:topLinePunct w:val="0"/>
        <w:autoSpaceDE/>
        <w:autoSpaceDN/>
        <w:bidi w:val="0"/>
        <w:adjustRightInd/>
        <w:snapToGrid/>
        <w:spacing w:beforeLines="0" w:afterLines="0" w:line="360" w:lineRule="auto"/>
        <w:ind w:firstLine="518" w:firstLineChars="200"/>
        <w:textAlignment w:val="auto"/>
        <w:rPr>
          <w:rFonts w:hAnsiTheme="minorEastAsia" w:eastAsiaTheme="minorEastAsia"/>
          <w:b w:val="0"/>
          <w:bCs w:val="0"/>
          <w:color w:val="auto"/>
          <w:sz w:val="24"/>
          <w:szCs w:val="24"/>
          <w:highlight w:val="none"/>
        </w:rPr>
      </w:pPr>
      <w:r>
        <w:rPr>
          <w:rFonts w:hint="eastAsia" w:hAnsiTheme="minorEastAsia" w:eastAsiaTheme="minorEastAsia"/>
          <w:b w:val="0"/>
          <w:bCs w:val="0"/>
          <w:color w:val="auto"/>
          <w:sz w:val="24"/>
          <w:szCs w:val="24"/>
          <w:highlight w:val="none"/>
          <w:lang w:val="en-US" w:eastAsia="zh-CN"/>
        </w:rPr>
        <w:t>本项目属于农村供水地下水开采工程，项目取水抽取地下水体净化后通过输配水管网输送给用户。取水作业仅改变区域地下水水位，开采过程不产生污染物排放，不存在污染地下水含水层的工况，工程实施前后地下水原生水质组分无变化，地下水水质不会受到项目开采活动扰动影响。项目仅对地下水水位产生扰动，无水质污染风险，因此本项目不设置地下水水质监测点</w:t>
      </w:r>
      <w:r>
        <w:rPr>
          <w:rFonts w:hAnsiTheme="minorEastAsia" w:eastAsiaTheme="minorEastAsia"/>
          <w:b w:val="0"/>
          <w:bCs w:val="0"/>
          <w:color w:val="auto"/>
          <w:sz w:val="24"/>
          <w:szCs w:val="24"/>
          <w:highlight w:val="none"/>
        </w:rPr>
        <w:t>。</w:t>
      </w:r>
    </w:p>
    <w:p w14:paraId="7DEFD079">
      <w:pPr>
        <w:pStyle w:val="2"/>
        <w:keepNext/>
        <w:keepLines/>
        <w:pageBreakBefore w:val="0"/>
        <w:widowControl w:val="0"/>
        <w:kinsoku/>
        <w:wordWrap/>
        <w:overflowPunct/>
        <w:topLinePunct w:val="0"/>
        <w:autoSpaceDE/>
        <w:autoSpaceDN/>
        <w:bidi w:val="0"/>
        <w:adjustRightInd/>
        <w:snapToGrid/>
        <w:spacing w:beforeLines="0" w:afterLines="0" w:line="360" w:lineRule="auto"/>
        <w:ind w:firstLine="518" w:firstLineChars="200"/>
        <w:textAlignment w:val="auto"/>
        <w:rPr>
          <w:rFonts w:hAnsiTheme="minorEastAsia" w:eastAsiaTheme="minorEastAsia"/>
          <w:b w:val="0"/>
          <w:bCs w:val="0"/>
          <w:color w:val="auto"/>
          <w:sz w:val="24"/>
          <w:szCs w:val="24"/>
          <w:highlight w:val="none"/>
        </w:rPr>
        <w:sectPr>
          <w:headerReference r:id="rId13" w:type="default"/>
          <w:footerReference r:id="rId14" w:type="default"/>
          <w:pgSz w:w="11906" w:h="16838"/>
          <w:pgMar w:top="1440" w:right="1418" w:bottom="1440" w:left="1418" w:header="851" w:footer="992" w:gutter="0"/>
          <w:pgBorders>
            <w:top w:val="none" w:sz="0" w:space="0"/>
            <w:left w:val="none" w:sz="0" w:space="0"/>
            <w:bottom w:val="none" w:sz="0" w:space="0"/>
            <w:right w:val="none" w:sz="0" w:space="0"/>
          </w:pgBorders>
          <w:pgNumType w:start="1"/>
          <w:cols w:space="425" w:num="1"/>
          <w:docGrid w:type="linesAndChars" w:linePitch="326" w:charSpace="3920"/>
        </w:sectPr>
      </w:pPr>
    </w:p>
    <w:p w14:paraId="2E94E99C">
      <w:pPr>
        <w:pStyle w:val="2"/>
        <w:keepNext/>
        <w:keepLines/>
        <w:pageBreakBefore w:val="0"/>
        <w:widowControl w:val="0"/>
        <w:kinsoku/>
        <w:wordWrap/>
        <w:overflowPunct/>
        <w:topLinePunct w:val="0"/>
        <w:autoSpaceDE/>
        <w:autoSpaceDN/>
        <w:bidi w:val="0"/>
        <w:adjustRightInd/>
        <w:snapToGrid/>
        <w:spacing w:beforeLines="0" w:afterLines="0" w:line="360" w:lineRule="auto"/>
        <w:ind w:firstLine="562" w:firstLineChars="200"/>
        <w:textAlignment w:val="auto"/>
        <w:rPr>
          <w:rFonts w:eastAsiaTheme="minorEastAsia"/>
          <w:color w:val="auto"/>
          <w:highlight w:val="none"/>
        </w:rPr>
      </w:pPr>
      <w:r>
        <w:rPr>
          <w:rFonts w:hint="eastAsia" w:hAnsiTheme="minorEastAsia" w:eastAsiaTheme="minorEastAsia"/>
          <w:color w:val="auto"/>
          <w:highlight w:val="none"/>
          <w:lang w:val="en-US" w:eastAsia="zh-CN"/>
        </w:rPr>
        <w:t>四、</w:t>
      </w:r>
      <w:r>
        <w:rPr>
          <w:rFonts w:hAnsiTheme="minorEastAsia" w:eastAsiaTheme="minorEastAsia"/>
          <w:color w:val="auto"/>
          <w:highlight w:val="none"/>
        </w:rPr>
        <w:t>地下水环境影响</w:t>
      </w:r>
      <w:bookmarkEnd w:id="24"/>
    </w:p>
    <w:p w14:paraId="6DC8E922">
      <w:pPr>
        <w:keepNext w:val="0"/>
        <w:keepLines w:val="0"/>
        <w:pageBreakBefore w:val="0"/>
        <w:widowControl w:val="0"/>
        <w:kinsoku/>
        <w:wordWrap/>
        <w:overflowPunct/>
        <w:topLinePunct w:val="0"/>
        <w:autoSpaceDE/>
        <w:autoSpaceDN/>
        <w:bidi w:val="0"/>
        <w:ind w:firstLine="480"/>
        <w:textAlignment w:val="auto"/>
        <w:rPr>
          <w:rFonts w:hint="default" w:ascii="Times New Roman" w:eastAsia="宋体"/>
          <w:bCs/>
          <w:color w:val="auto"/>
          <w:highlight w:val="none"/>
          <w:lang w:val="en-US" w:eastAsia="zh-CN"/>
        </w:rPr>
      </w:pPr>
      <w:r>
        <w:rPr>
          <w:rFonts w:hint="eastAsia"/>
          <w:bCs/>
          <w:color w:val="auto"/>
          <w:highlight w:val="none"/>
          <w:lang w:val="en-US" w:eastAsia="zh-CN"/>
        </w:rPr>
        <w:t>1.地下水水质影响</w:t>
      </w:r>
    </w:p>
    <w:p w14:paraId="2DA2254E">
      <w:pPr>
        <w:keepNext w:val="0"/>
        <w:keepLines w:val="0"/>
        <w:pageBreakBefore w:val="0"/>
        <w:widowControl w:val="0"/>
        <w:kinsoku/>
        <w:wordWrap/>
        <w:overflowPunct/>
        <w:topLinePunct w:val="0"/>
        <w:autoSpaceDE/>
        <w:autoSpaceDN/>
        <w:bidi w:val="0"/>
        <w:ind w:firstLine="480"/>
        <w:textAlignment w:val="auto"/>
        <w:rPr>
          <w:rFonts w:hint="eastAsia"/>
          <w:bCs/>
          <w:color w:val="auto"/>
          <w:highlight w:val="none"/>
          <w:lang w:val="en-US" w:eastAsia="zh-CN"/>
        </w:rPr>
      </w:pPr>
      <w:r>
        <w:rPr>
          <w:rFonts w:hint="eastAsia" w:ascii="Times New Roman" w:eastAsia="宋体"/>
          <w:bCs/>
          <w:color w:val="auto"/>
          <w:highlight w:val="none"/>
          <w:lang w:val="en-US" w:eastAsia="zh-CN"/>
        </w:rPr>
        <w:t>项目取水井开采强度低，降深小，影响范围局限，未改变区域地下水水力条件和水质演化规律；无污染物迁移浓缩、劣质水入侵风险，含水层天然防护条件完整，外部污染入渗可能性极低。结合区域水质本底特征，项目对地下水水质不会造成影响，可保障供水水质安全，符合地下水环境保护与合理开发利用的相关要求。</w:t>
      </w:r>
    </w:p>
    <w:p w14:paraId="7D38B1C3">
      <w:pPr>
        <w:keepNext w:val="0"/>
        <w:keepLines w:val="0"/>
        <w:pageBreakBefore w:val="0"/>
        <w:widowControl w:val="0"/>
        <w:kinsoku/>
        <w:wordWrap/>
        <w:overflowPunct/>
        <w:topLinePunct w:val="0"/>
        <w:autoSpaceDE/>
        <w:autoSpaceDN/>
        <w:bidi w:val="0"/>
        <w:ind w:firstLine="480"/>
        <w:textAlignment w:val="auto"/>
        <w:rPr>
          <w:bCs/>
          <w:color w:val="auto"/>
          <w:highlight w:val="none"/>
        </w:rPr>
      </w:pPr>
      <w:r>
        <w:rPr>
          <w:rFonts w:hint="eastAsia"/>
          <w:bCs/>
          <w:color w:val="auto"/>
          <w:highlight w:val="none"/>
          <w:lang w:val="en-US" w:eastAsia="zh-CN"/>
        </w:rPr>
        <w:t>2</w:t>
      </w:r>
      <w:r>
        <w:rPr>
          <w:rFonts w:hint="eastAsia" w:ascii="Times New Roman" w:eastAsia="宋体"/>
          <w:bCs/>
          <w:color w:val="auto"/>
          <w:highlight w:val="none"/>
          <w:lang w:val="en-US" w:eastAsia="zh-CN"/>
        </w:rPr>
        <w:t>.</w:t>
      </w:r>
      <w:r>
        <w:rPr>
          <w:bCs/>
          <w:color w:val="auto"/>
          <w:highlight w:val="none"/>
        </w:rPr>
        <w:t>对地下</w:t>
      </w:r>
      <w:r>
        <w:rPr>
          <w:rFonts w:hint="eastAsia" w:eastAsia="宋体"/>
          <w:bCs/>
          <w:color w:val="auto"/>
          <w:highlight w:val="none"/>
          <w:lang w:eastAsia="zh-CN"/>
        </w:rPr>
        <w:t>水</w:t>
      </w:r>
      <w:r>
        <w:rPr>
          <w:rFonts w:hint="eastAsia"/>
          <w:bCs/>
          <w:color w:val="auto"/>
          <w:highlight w:val="none"/>
          <w:lang w:val="en-US" w:eastAsia="zh-CN"/>
        </w:rPr>
        <w:t>水位</w:t>
      </w:r>
      <w:r>
        <w:rPr>
          <w:bCs/>
          <w:color w:val="auto"/>
          <w:highlight w:val="none"/>
        </w:rPr>
        <w:t>的影响</w:t>
      </w:r>
    </w:p>
    <w:p w14:paraId="383ED18D">
      <w:pPr>
        <w:keepNext w:val="0"/>
        <w:keepLines w:val="0"/>
        <w:pageBreakBefore w:val="0"/>
        <w:widowControl w:val="0"/>
        <w:kinsoku/>
        <w:wordWrap/>
        <w:overflowPunct/>
        <w:topLinePunct w:val="0"/>
        <w:autoSpaceDE/>
        <w:autoSpaceDN/>
        <w:bidi w:val="0"/>
        <w:adjustRightInd w:val="0"/>
        <w:snapToGrid w:val="0"/>
        <w:ind w:firstLine="56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本项目分别在鸡西市鸡冠区三合村、梁家村各新建地下水取水井 1 眼，取水规模</w:t>
      </w:r>
      <w:r>
        <w:rPr>
          <w:rFonts w:hint="eastAsia" w:eastAsia="宋体" w:cs="Times New Roman"/>
          <w:color w:val="auto"/>
          <w:sz w:val="24"/>
          <w:szCs w:val="24"/>
          <w:highlight w:val="none"/>
          <w:lang w:val="en-US" w:eastAsia="zh-CN"/>
        </w:rPr>
        <w:t>分别</w:t>
      </w:r>
      <w:r>
        <w:rPr>
          <w:rFonts w:hint="default" w:ascii="Times New Roman" w:hAnsi="Times New Roman" w:eastAsia="宋体" w:cs="Times New Roman"/>
          <w:color w:val="auto"/>
          <w:sz w:val="24"/>
          <w:szCs w:val="24"/>
          <w:highlight w:val="none"/>
          <w:lang w:val="en-US" w:eastAsia="zh-CN"/>
        </w:rPr>
        <w:t>为 178.3m³/d、69.082m³/d。依据《鸡西市水资源综合规划》，鸡西市全域地下水可开采资源量充裕，区域地下水补给条件良好。项目单井取水量偏小，两处取水点分散布设，无集中叠加开采情况，开采强度远低于区域地下水可开采承载能力；取水不会大幅改变区域地下水整体径流格局，仅在取水井周边形成小幅、局部、浅层水位降落，影响范围有限，随着地下水持续补给，水位可逐步恢复平衡。综上，本项目取水工程对区域地下水整体水位扰动幅度小、影响程度轻微，不会引发大范围地下水水位持续下降、地下水超采等水文地质问题。</w:t>
      </w:r>
    </w:p>
    <w:p w14:paraId="73C28A68">
      <w:pPr>
        <w:rPr>
          <w:rFonts w:hint="eastAsia" w:hAnsiTheme="minorEastAsia" w:eastAsiaTheme="minorEastAsia"/>
          <w:color w:val="auto"/>
          <w:sz w:val="30"/>
          <w:szCs w:val="30"/>
          <w:highlight w:val="none"/>
          <w:lang w:eastAsia="zh-CN"/>
        </w:rPr>
      </w:pPr>
      <w:r>
        <w:rPr>
          <w:rFonts w:hint="eastAsia" w:hAnsiTheme="minorEastAsia" w:eastAsiaTheme="minorEastAsia"/>
          <w:color w:val="auto"/>
          <w:sz w:val="30"/>
          <w:szCs w:val="30"/>
          <w:highlight w:val="none"/>
          <w:lang w:eastAsia="zh-CN"/>
        </w:rPr>
        <w:br w:type="page"/>
      </w:r>
    </w:p>
    <w:p w14:paraId="28EBCC77">
      <w:pPr>
        <w:pStyle w:val="2"/>
        <w:spacing w:beforeLines="0" w:afterLines="0" w:line="360" w:lineRule="auto"/>
        <w:rPr>
          <w:rFonts w:eastAsiaTheme="minorEastAsia"/>
          <w:color w:val="auto"/>
          <w:sz w:val="30"/>
          <w:szCs w:val="30"/>
          <w:highlight w:val="none"/>
        </w:rPr>
      </w:pPr>
      <w:bookmarkStart w:id="25" w:name="_Toc15171"/>
      <w:r>
        <w:rPr>
          <w:rFonts w:hint="eastAsia" w:hAnsiTheme="minorEastAsia" w:eastAsiaTheme="minorEastAsia"/>
          <w:color w:val="auto"/>
          <w:sz w:val="30"/>
          <w:szCs w:val="30"/>
          <w:highlight w:val="none"/>
          <w:lang w:eastAsia="zh-CN"/>
        </w:rPr>
        <w:t>五</w:t>
      </w:r>
      <w:r>
        <w:rPr>
          <w:rFonts w:hAnsiTheme="minorEastAsia" w:eastAsiaTheme="minorEastAsia"/>
          <w:color w:val="auto"/>
          <w:sz w:val="30"/>
          <w:szCs w:val="30"/>
          <w:highlight w:val="none"/>
        </w:rPr>
        <w:t>、水资源保护措施</w:t>
      </w:r>
      <w:bookmarkEnd w:id="25"/>
    </w:p>
    <w:p w14:paraId="29DF1102">
      <w:pPr>
        <w:ind w:firstLine="480"/>
        <w:contextualSpacing/>
        <w:jc w:val="left"/>
        <w:rPr>
          <w:rFonts w:eastAsiaTheme="minorEastAsia"/>
          <w:color w:val="auto"/>
          <w:highlight w:val="none"/>
        </w:rPr>
      </w:pPr>
      <w:r>
        <w:rPr>
          <w:rFonts w:hint="eastAsia" w:eastAsiaTheme="minorEastAsia"/>
          <w:color w:val="auto"/>
          <w:highlight w:val="none"/>
          <w:lang w:eastAsia="zh-CN"/>
        </w:rPr>
        <w:t>1.</w:t>
      </w:r>
      <w:r>
        <w:rPr>
          <w:rFonts w:hAnsiTheme="minorEastAsia" w:eastAsiaTheme="minorEastAsia"/>
          <w:color w:val="auto"/>
          <w:highlight w:val="none"/>
        </w:rPr>
        <w:t>工程运行阶段，应充分做好管道检查，严格用水管理，防止</w:t>
      </w:r>
      <w:r>
        <w:rPr>
          <w:rFonts w:eastAsiaTheme="minorEastAsia"/>
          <w:color w:val="auto"/>
          <w:highlight w:val="none"/>
        </w:rPr>
        <w:t>“</w:t>
      </w:r>
      <w:r>
        <w:rPr>
          <w:rFonts w:hAnsiTheme="minorEastAsia" w:eastAsiaTheme="minorEastAsia"/>
          <w:color w:val="auto"/>
          <w:highlight w:val="none"/>
        </w:rPr>
        <w:t>跑、冒、滴、漏</w:t>
      </w:r>
      <w:r>
        <w:rPr>
          <w:rFonts w:eastAsiaTheme="minorEastAsia"/>
          <w:color w:val="auto"/>
          <w:highlight w:val="none"/>
        </w:rPr>
        <w:t>”</w:t>
      </w:r>
      <w:r>
        <w:rPr>
          <w:rFonts w:hAnsiTheme="minorEastAsia" w:eastAsiaTheme="minorEastAsia"/>
          <w:color w:val="auto"/>
          <w:highlight w:val="none"/>
        </w:rPr>
        <w:t>现象的发生，合理利用水资源。</w:t>
      </w:r>
    </w:p>
    <w:p w14:paraId="660B10F5">
      <w:pPr>
        <w:ind w:firstLine="480"/>
        <w:contextualSpacing/>
        <w:jc w:val="left"/>
        <w:rPr>
          <w:rFonts w:hAnsiTheme="minorEastAsia" w:eastAsiaTheme="minorEastAsia"/>
          <w:color w:val="auto"/>
          <w:highlight w:val="none"/>
        </w:rPr>
      </w:pPr>
      <w:r>
        <w:rPr>
          <w:rFonts w:hint="eastAsia" w:eastAsiaTheme="minorEastAsia"/>
          <w:color w:val="auto"/>
          <w:highlight w:val="none"/>
          <w:lang w:eastAsia="zh-CN"/>
        </w:rPr>
        <w:t>2.</w:t>
      </w:r>
      <w:r>
        <w:rPr>
          <w:rFonts w:hint="eastAsia" w:hAnsiTheme="minorEastAsia" w:eastAsiaTheme="minorEastAsia"/>
          <w:color w:val="auto"/>
          <w:highlight w:val="none"/>
        </w:rPr>
        <w:t>水井</w:t>
      </w:r>
      <w:r>
        <w:rPr>
          <w:rFonts w:hint="eastAsia" w:hAnsiTheme="minorEastAsia" w:eastAsiaTheme="minorEastAsia"/>
          <w:bCs/>
          <w:color w:val="auto"/>
          <w:highlight w:val="none"/>
        </w:rPr>
        <w:t>占地范围内无人类活动、经济活动</w:t>
      </w:r>
      <w:r>
        <w:rPr>
          <w:rFonts w:hint="eastAsia" w:hAnsiTheme="minorEastAsia" w:eastAsiaTheme="minorEastAsia"/>
          <w:bCs/>
          <w:color w:val="auto"/>
          <w:highlight w:val="none"/>
          <w:lang w:eastAsia="zh-CN"/>
        </w:rPr>
        <w:t>，</w:t>
      </w:r>
      <w:r>
        <w:rPr>
          <w:rFonts w:hint="eastAsia" w:hAnsiTheme="minorEastAsia" w:eastAsiaTheme="minorEastAsia"/>
          <w:bCs/>
          <w:color w:val="auto"/>
          <w:highlight w:val="none"/>
        </w:rPr>
        <w:t>无</w:t>
      </w:r>
      <w:r>
        <w:rPr>
          <w:rFonts w:hint="eastAsia" w:hAnsiTheme="minorEastAsia" w:eastAsiaTheme="minorEastAsia"/>
          <w:bCs/>
          <w:color w:val="auto"/>
          <w:highlight w:val="none"/>
          <w:lang w:eastAsia="zh-CN"/>
        </w:rPr>
        <w:t>与饮水</w:t>
      </w:r>
      <w:r>
        <w:rPr>
          <w:rFonts w:hint="eastAsia" w:hAnsiTheme="minorEastAsia" w:eastAsiaTheme="minorEastAsia"/>
          <w:bCs/>
          <w:color w:val="auto"/>
          <w:highlight w:val="none"/>
        </w:rPr>
        <w:t>有关的建筑物、导致地下水水质、水量、水温改变的引水工程。</w:t>
      </w:r>
    </w:p>
    <w:p w14:paraId="08E6C281">
      <w:pPr>
        <w:ind w:firstLine="480"/>
        <w:contextualSpacing/>
        <w:jc w:val="left"/>
        <w:rPr>
          <w:rFonts w:eastAsiaTheme="minorEastAsia"/>
          <w:bCs/>
          <w:color w:val="auto"/>
          <w:highlight w:val="none"/>
        </w:rPr>
      </w:pPr>
      <w:r>
        <w:rPr>
          <w:rFonts w:hint="eastAsia" w:eastAsiaTheme="minorEastAsia"/>
          <w:bCs/>
          <w:color w:val="auto"/>
          <w:highlight w:val="none"/>
          <w:lang w:eastAsia="zh-CN"/>
        </w:rPr>
        <w:t>3.</w:t>
      </w:r>
      <w:r>
        <w:rPr>
          <w:rFonts w:hint="eastAsia" w:eastAsiaTheme="minorEastAsia"/>
          <w:bCs/>
          <w:color w:val="auto"/>
          <w:highlight w:val="none"/>
        </w:rPr>
        <w:t>项目水井占地范围周围无渗漏厕所、渗坑、垃圾堆放</w:t>
      </w:r>
      <w:r>
        <w:rPr>
          <w:rFonts w:hint="eastAsia" w:eastAsiaTheme="minorEastAsia"/>
          <w:bCs/>
          <w:color w:val="auto"/>
          <w:highlight w:val="none"/>
          <w:lang w:eastAsia="zh-CN"/>
        </w:rPr>
        <w:t>点，无与</w:t>
      </w:r>
      <w:r>
        <w:rPr>
          <w:rFonts w:hint="eastAsia" w:eastAsiaTheme="minorEastAsia"/>
          <w:bCs/>
          <w:color w:val="auto"/>
          <w:highlight w:val="none"/>
        </w:rPr>
        <w:t>饮水有关的建筑物、导致地下水水质、水量、水温改变的引水工程。</w:t>
      </w:r>
    </w:p>
    <w:p w14:paraId="4C9C95AB">
      <w:pPr>
        <w:ind w:firstLine="480"/>
        <w:contextualSpacing/>
        <w:jc w:val="left"/>
        <w:rPr>
          <w:rFonts w:eastAsiaTheme="minorEastAsia"/>
          <w:color w:val="auto"/>
          <w:highlight w:val="none"/>
        </w:rPr>
      </w:pPr>
      <w:r>
        <w:rPr>
          <w:rFonts w:hint="eastAsia" w:eastAsiaTheme="minorEastAsia"/>
          <w:color w:val="auto"/>
          <w:highlight w:val="none"/>
          <w:lang w:eastAsia="zh-CN"/>
        </w:rPr>
        <w:t>4.</w:t>
      </w:r>
      <w:r>
        <w:rPr>
          <w:rFonts w:hAnsiTheme="minorEastAsia" w:eastAsiaTheme="minorEastAsia"/>
          <w:color w:val="auto"/>
          <w:highlight w:val="none"/>
        </w:rPr>
        <w:t>项目运行期间必须严格遵守国家</w:t>
      </w:r>
      <w:r>
        <w:rPr>
          <w:rFonts w:hint="eastAsia" w:hAnsiTheme="minorEastAsia" w:eastAsiaTheme="minorEastAsia"/>
          <w:color w:val="auto"/>
          <w:highlight w:val="none"/>
          <w:lang w:eastAsia="zh-CN"/>
        </w:rPr>
        <w:t>和地方</w:t>
      </w:r>
      <w:r>
        <w:rPr>
          <w:rFonts w:hAnsiTheme="minorEastAsia" w:eastAsiaTheme="minorEastAsia"/>
          <w:color w:val="auto"/>
          <w:highlight w:val="none"/>
        </w:rPr>
        <w:t>有关水资源保护</w:t>
      </w:r>
      <w:r>
        <w:rPr>
          <w:rFonts w:hint="eastAsia" w:hAnsiTheme="minorEastAsia" w:eastAsiaTheme="minorEastAsia"/>
          <w:color w:val="auto"/>
          <w:highlight w:val="none"/>
          <w:lang w:eastAsia="zh-CN"/>
        </w:rPr>
        <w:t>的法律法规</w:t>
      </w:r>
      <w:r>
        <w:rPr>
          <w:rFonts w:hAnsiTheme="minorEastAsia" w:eastAsiaTheme="minorEastAsia"/>
          <w:color w:val="auto"/>
          <w:highlight w:val="none"/>
        </w:rPr>
        <w:t>。</w:t>
      </w:r>
    </w:p>
    <w:p w14:paraId="6792AE79">
      <w:pPr>
        <w:ind w:firstLine="480"/>
        <w:contextualSpacing/>
        <w:jc w:val="left"/>
        <w:rPr>
          <w:rFonts w:eastAsiaTheme="minorEastAsia"/>
          <w:color w:val="auto"/>
          <w:highlight w:val="none"/>
        </w:rPr>
      </w:pPr>
      <w:r>
        <w:rPr>
          <w:rFonts w:hint="eastAsia" w:eastAsiaTheme="minorEastAsia"/>
          <w:color w:val="auto"/>
          <w:highlight w:val="none"/>
          <w:lang w:eastAsia="zh-CN"/>
        </w:rPr>
        <w:t>5.</w:t>
      </w:r>
      <w:r>
        <w:rPr>
          <w:rFonts w:hAnsiTheme="minorEastAsia" w:eastAsiaTheme="minorEastAsia"/>
          <w:color w:val="auto"/>
          <w:highlight w:val="none"/>
        </w:rPr>
        <w:t>建立健全厂内各项用水管理制度，进行统一管理，并对各项用水进行优化调度。</w:t>
      </w:r>
    </w:p>
    <w:p w14:paraId="69600231">
      <w:pPr>
        <w:ind w:firstLine="480"/>
        <w:contextualSpacing/>
        <w:jc w:val="left"/>
        <w:rPr>
          <w:rFonts w:eastAsiaTheme="minorEastAsia"/>
          <w:color w:val="auto"/>
          <w:highlight w:val="none"/>
        </w:rPr>
      </w:pPr>
      <w:r>
        <w:rPr>
          <w:rFonts w:hint="eastAsia" w:eastAsiaTheme="minorEastAsia"/>
          <w:color w:val="auto"/>
          <w:highlight w:val="none"/>
          <w:lang w:eastAsia="zh-CN"/>
        </w:rPr>
        <w:t>6.</w:t>
      </w:r>
      <w:r>
        <w:rPr>
          <w:rFonts w:hAnsiTheme="minorEastAsia" w:eastAsiaTheme="minorEastAsia"/>
          <w:color w:val="auto"/>
          <w:highlight w:val="none"/>
        </w:rPr>
        <w:t>加强项目取水的监督管理，严格按照设计取水量进行开采，加强对地下水动态监测，根据区域地下水的动态变化情况，科学调配各开采井的开采量，防止出现地下水位的持续下降，实现地下水的可持续利用。</w:t>
      </w:r>
    </w:p>
    <w:p w14:paraId="1E632079">
      <w:pPr>
        <w:ind w:firstLine="480"/>
        <w:contextualSpacing/>
        <w:jc w:val="left"/>
        <w:rPr>
          <w:rFonts w:hAnsiTheme="minorEastAsia" w:eastAsiaTheme="minorEastAsia"/>
          <w:color w:val="auto"/>
          <w:highlight w:val="none"/>
        </w:rPr>
      </w:pPr>
      <w:r>
        <w:rPr>
          <w:rFonts w:hint="eastAsia" w:eastAsiaTheme="minorEastAsia"/>
          <w:color w:val="auto"/>
          <w:highlight w:val="none"/>
          <w:lang w:eastAsia="zh-CN"/>
        </w:rPr>
        <w:t>7.</w:t>
      </w:r>
      <w:r>
        <w:rPr>
          <w:rFonts w:hAnsiTheme="minorEastAsia" w:eastAsiaTheme="minorEastAsia"/>
          <w:color w:val="auto"/>
          <w:highlight w:val="none"/>
        </w:rPr>
        <w:t>加大节约用水和水资源保护的宣传力度，使节约用水和保护水资源成为职工的自觉意识，提高职工爱水、节水的责任感和自觉性，使有限的水资源能够得到合理开发和利用。</w:t>
      </w:r>
    </w:p>
    <w:p w14:paraId="08BBA997">
      <w:pPr>
        <w:ind w:firstLine="480"/>
        <w:contextualSpacing/>
        <w:jc w:val="left"/>
        <w:rPr>
          <w:rFonts w:hAnsiTheme="minorEastAsia" w:eastAsiaTheme="minorEastAsia"/>
          <w:color w:val="auto"/>
          <w:highlight w:val="none"/>
        </w:rPr>
      </w:pPr>
      <w:r>
        <w:rPr>
          <w:rFonts w:hint="eastAsia" w:hAnsiTheme="minorEastAsia" w:eastAsiaTheme="minorEastAsia"/>
          <w:color w:val="auto"/>
          <w:highlight w:val="none"/>
          <w:lang w:eastAsia="zh-CN"/>
        </w:rPr>
        <w:t>8.</w:t>
      </w:r>
      <w:r>
        <w:rPr>
          <w:rFonts w:hint="eastAsia" w:hAnsiTheme="minorEastAsia" w:eastAsiaTheme="minorEastAsia"/>
          <w:color w:val="auto"/>
          <w:highlight w:val="none"/>
        </w:rPr>
        <w:t>在水井占地范围内不得再打采中、下更新统含水层的地下水井。</w:t>
      </w:r>
    </w:p>
    <w:p w14:paraId="20DC557A">
      <w:pPr>
        <w:ind w:firstLine="480"/>
        <w:contextualSpacing/>
        <w:jc w:val="left"/>
        <w:rPr>
          <w:color w:val="auto"/>
          <w:szCs w:val="21"/>
          <w:highlight w:val="none"/>
        </w:rPr>
      </w:pPr>
      <w:r>
        <w:rPr>
          <w:rFonts w:hint="eastAsia" w:hAnsiTheme="minorEastAsia" w:eastAsiaTheme="minorEastAsia"/>
          <w:color w:val="auto"/>
          <w:highlight w:val="none"/>
          <w:lang w:eastAsia="zh-CN"/>
        </w:rPr>
        <w:t>9.</w:t>
      </w:r>
      <w:r>
        <w:rPr>
          <w:rFonts w:hint="eastAsia"/>
          <w:bCs/>
          <w:color w:val="auto"/>
          <w:highlight w:val="none"/>
        </w:rPr>
        <w:t>本项目制定地下水压采方案</w:t>
      </w:r>
      <w:r>
        <w:rPr>
          <w:rFonts w:hint="eastAsia"/>
          <w:color w:val="auto"/>
          <w:szCs w:val="21"/>
          <w:highlight w:val="none"/>
        </w:rPr>
        <w:t>并严格落实，严格控制开采地下水。</w:t>
      </w:r>
    </w:p>
    <w:p w14:paraId="2D5AA45E">
      <w:pPr>
        <w:ind w:firstLine="480"/>
        <w:contextualSpacing/>
        <w:jc w:val="left"/>
        <w:rPr>
          <w:color w:val="auto"/>
          <w:szCs w:val="21"/>
          <w:highlight w:val="none"/>
        </w:rPr>
      </w:pPr>
      <w:r>
        <w:rPr>
          <w:rFonts w:hint="eastAsia" w:eastAsia="宋体"/>
          <w:bCs/>
          <w:color w:val="auto"/>
          <w:szCs w:val="21"/>
          <w:highlight w:val="none"/>
          <w:lang w:eastAsia="zh-CN"/>
        </w:rPr>
        <w:t>10.</w:t>
      </w:r>
      <w:r>
        <w:rPr>
          <w:rFonts w:hint="eastAsia"/>
          <w:bCs/>
          <w:color w:val="auto"/>
          <w:szCs w:val="21"/>
          <w:highlight w:val="none"/>
        </w:rPr>
        <w:t>严格按照</w:t>
      </w:r>
      <w:r>
        <w:rPr>
          <w:rFonts w:hint="eastAsia"/>
          <w:color w:val="auto"/>
          <w:szCs w:val="21"/>
          <w:highlight w:val="none"/>
        </w:rPr>
        <w:t>采矿许可证生产规模进行开采，不得超采。</w:t>
      </w:r>
    </w:p>
    <w:p w14:paraId="0B0E5996">
      <w:pPr>
        <w:ind w:firstLine="480"/>
        <w:contextualSpacing/>
        <w:jc w:val="left"/>
        <w:rPr>
          <w:bCs/>
          <w:color w:val="auto"/>
          <w:szCs w:val="21"/>
          <w:highlight w:val="none"/>
        </w:rPr>
        <w:sectPr>
          <w:footerReference r:id="rId1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eastAsia="宋体"/>
          <w:bCs/>
          <w:color w:val="auto"/>
          <w:szCs w:val="21"/>
          <w:highlight w:val="none"/>
          <w:lang w:eastAsia="zh-CN"/>
        </w:rPr>
        <w:t>11.</w:t>
      </w:r>
      <w:r>
        <w:rPr>
          <w:rFonts w:hint="eastAsia"/>
          <w:bCs/>
          <w:color w:val="auto"/>
          <w:szCs w:val="21"/>
          <w:highlight w:val="none"/>
        </w:rPr>
        <w:t>水井范围内保护种植植被，优化生态环境，严格控制、防范环境污染和水域污染，确保水源地的天然性。</w:t>
      </w:r>
    </w:p>
    <w:p w14:paraId="3F3338F2">
      <w:pPr>
        <w:pStyle w:val="2"/>
        <w:spacing w:beforeLines="0" w:afterLines="0" w:line="360" w:lineRule="auto"/>
        <w:rPr>
          <w:rFonts w:hAnsiTheme="minorEastAsia" w:eastAsiaTheme="minorEastAsia"/>
          <w:color w:val="auto"/>
          <w:sz w:val="30"/>
          <w:szCs w:val="30"/>
          <w:highlight w:val="none"/>
        </w:rPr>
      </w:pPr>
      <w:bookmarkStart w:id="26" w:name="_Toc8796"/>
      <w:r>
        <w:rPr>
          <w:rFonts w:hint="eastAsia" w:hAnsiTheme="minorEastAsia" w:eastAsiaTheme="minorEastAsia"/>
          <w:color w:val="auto"/>
          <w:sz w:val="30"/>
          <w:szCs w:val="30"/>
          <w:highlight w:val="none"/>
          <w:lang w:eastAsia="zh-CN"/>
        </w:rPr>
        <w:t>六</w:t>
      </w:r>
      <w:r>
        <w:rPr>
          <w:rFonts w:hAnsiTheme="minorEastAsia" w:eastAsiaTheme="minorEastAsia"/>
          <w:color w:val="auto"/>
          <w:sz w:val="30"/>
          <w:szCs w:val="30"/>
          <w:highlight w:val="none"/>
        </w:rPr>
        <w:t>、地下水环境影响评价结论</w:t>
      </w:r>
      <w:r>
        <w:rPr>
          <w:rFonts w:hint="eastAsia" w:hAnsiTheme="minorEastAsia" w:eastAsiaTheme="minorEastAsia"/>
          <w:color w:val="auto"/>
          <w:sz w:val="30"/>
          <w:szCs w:val="30"/>
          <w:highlight w:val="none"/>
        </w:rPr>
        <w:t>与建议</w:t>
      </w:r>
      <w:bookmarkEnd w:id="26"/>
    </w:p>
    <w:p w14:paraId="1DA0E81D">
      <w:pPr>
        <w:pStyle w:val="4"/>
        <w:ind w:firstLine="562" w:firstLineChars="200"/>
        <w:rPr>
          <w:rFonts w:ascii="Times New Roman" w:hAnsi="Times New Roman" w:eastAsiaTheme="minorEastAsia"/>
          <w:color w:val="auto"/>
          <w:sz w:val="28"/>
          <w:szCs w:val="28"/>
          <w:highlight w:val="none"/>
        </w:rPr>
      </w:pPr>
      <w:bookmarkStart w:id="27" w:name="_Toc3803"/>
      <w:bookmarkStart w:id="28" w:name="_Toc24610"/>
      <w:r>
        <w:rPr>
          <w:rFonts w:hint="eastAsia" w:ascii="Times New Roman" w:hAnsi="Times New Roman" w:eastAsiaTheme="minorEastAsia"/>
          <w:color w:val="auto"/>
          <w:sz w:val="28"/>
          <w:szCs w:val="28"/>
          <w:highlight w:val="none"/>
        </w:rPr>
        <w:t>1结论</w:t>
      </w:r>
      <w:bookmarkEnd w:id="27"/>
      <w:bookmarkEnd w:id="28"/>
    </w:p>
    <w:p w14:paraId="2CB1CCFF">
      <w:pPr>
        <w:pStyle w:val="71"/>
        <w:adjustRightInd/>
        <w:snapToGrid/>
        <w:spacing w:line="360" w:lineRule="auto"/>
        <w:ind w:firstLine="480" w:firstLineChars="200"/>
        <w:contextualSpacing/>
        <w:jc w:val="both"/>
        <w:rPr>
          <w:rFonts w:ascii="Times New Roman" w:hAnsi="Times New Roman" w:cs="Times New Roman" w:eastAsiaTheme="minorEastAsia"/>
          <w:color w:val="auto"/>
          <w:sz w:val="24"/>
          <w:szCs w:val="24"/>
          <w:highlight w:val="none"/>
        </w:rPr>
      </w:pPr>
      <w:r>
        <w:rPr>
          <w:rFonts w:hint="eastAsia" w:ascii="Times New Roman" w:cs="Times New Roman" w:hAnsiTheme="minorEastAsia" w:eastAsiaTheme="minorEastAsia"/>
          <w:color w:val="auto"/>
          <w:sz w:val="24"/>
          <w:szCs w:val="24"/>
          <w:highlight w:val="none"/>
        </w:rPr>
        <w:t>本项目为</w:t>
      </w:r>
      <w:r>
        <w:rPr>
          <w:rFonts w:hint="eastAsia" w:ascii="Times New Roman" w:cs="Times New Roman" w:hAnsiTheme="minorEastAsia" w:eastAsiaTheme="minorEastAsia"/>
          <w:color w:val="auto"/>
          <w:sz w:val="24"/>
          <w:szCs w:val="24"/>
          <w:highlight w:val="none"/>
          <w:lang w:val="en-US" w:eastAsia="zh-CN"/>
        </w:rPr>
        <w:t>农村供水</w:t>
      </w:r>
      <w:r>
        <w:rPr>
          <w:rFonts w:hint="eastAsia" w:ascii="Times New Roman" w:cs="Times New Roman" w:hAnsiTheme="minorEastAsia" w:eastAsiaTheme="minorEastAsia"/>
          <w:color w:val="auto"/>
          <w:sz w:val="24"/>
          <w:szCs w:val="24"/>
          <w:highlight w:val="none"/>
        </w:rPr>
        <w:t>项目</w:t>
      </w:r>
      <w:r>
        <w:rPr>
          <w:rFonts w:ascii="Times New Roman" w:cs="Times New Roman" w:hAnsiTheme="minorEastAsia" w:eastAsiaTheme="minorEastAsia"/>
          <w:color w:val="auto"/>
          <w:sz w:val="24"/>
          <w:szCs w:val="24"/>
          <w:highlight w:val="none"/>
        </w:rPr>
        <w:t>，净水采用的给水处理工艺技术成熟。各项用水指标符合国家、地方及行业标准</w:t>
      </w:r>
      <w:r>
        <w:rPr>
          <w:rFonts w:hint="eastAsia" w:ascii="Times New Roman" w:cs="Times New Roman" w:hAnsiTheme="minorEastAsia" w:eastAsiaTheme="minorEastAsia"/>
          <w:color w:val="auto"/>
          <w:sz w:val="24"/>
          <w:szCs w:val="24"/>
          <w:highlight w:val="none"/>
          <w:lang w:eastAsia="zh-CN"/>
        </w:rPr>
        <w:t>，用</w:t>
      </w:r>
      <w:r>
        <w:rPr>
          <w:rFonts w:ascii="Times New Roman" w:cs="Times New Roman" w:hAnsiTheme="minorEastAsia" w:eastAsiaTheme="minorEastAsia"/>
          <w:color w:val="auto"/>
          <w:sz w:val="24"/>
          <w:szCs w:val="24"/>
          <w:highlight w:val="none"/>
        </w:rPr>
        <w:t>水量符合地方水资源规划；</w:t>
      </w:r>
      <w:r>
        <w:rPr>
          <w:rFonts w:ascii="Times New Roman" w:cs="Times New Roman" w:hAnsiTheme="minorEastAsia" w:eastAsiaTheme="minorEastAsia"/>
          <w:bCs/>
          <w:color w:val="auto"/>
          <w:sz w:val="24"/>
          <w:szCs w:val="24"/>
          <w:highlight w:val="none"/>
        </w:rPr>
        <w:t>项目用水量较小，</w:t>
      </w:r>
      <w:r>
        <w:rPr>
          <w:rFonts w:hint="default" w:ascii="Times New Roman" w:cs="Times New Roman" w:hAnsiTheme="minorEastAsia" w:eastAsiaTheme="minorEastAsia"/>
          <w:bCs/>
          <w:color w:val="auto"/>
          <w:sz w:val="24"/>
          <w:szCs w:val="24"/>
          <w:highlight w:val="none"/>
          <w:lang w:val="en-US" w:eastAsia="zh-CN"/>
        </w:rPr>
        <w:t>开采强度远低于区域地下水可开采承载能力</w:t>
      </w:r>
      <w:r>
        <w:rPr>
          <w:rFonts w:ascii="Times New Roman" w:cs="Times New Roman" w:hAnsiTheme="minorEastAsia" w:eastAsiaTheme="minorEastAsia"/>
          <w:bCs/>
          <w:color w:val="auto"/>
          <w:sz w:val="24"/>
          <w:szCs w:val="24"/>
          <w:highlight w:val="none"/>
        </w:rPr>
        <w:t>。</w:t>
      </w:r>
      <w:r>
        <w:rPr>
          <w:rFonts w:ascii="Times New Roman" w:cs="Times New Roman" w:hAnsiTheme="minorEastAsia" w:eastAsiaTheme="minorEastAsia"/>
          <w:color w:val="auto"/>
          <w:sz w:val="24"/>
          <w:szCs w:val="24"/>
          <w:highlight w:val="none"/>
        </w:rPr>
        <w:t>多年平均可开采量大于预测总用水量，取水安全可靠，不存在风险。</w:t>
      </w:r>
    </w:p>
    <w:p w14:paraId="020C0330">
      <w:pPr>
        <w:pStyle w:val="71"/>
        <w:adjustRightInd/>
        <w:snapToGrid/>
        <w:spacing w:line="360" w:lineRule="auto"/>
        <w:ind w:firstLine="480" w:firstLineChars="200"/>
        <w:contextualSpacing/>
        <w:jc w:val="both"/>
        <w:rPr>
          <w:rFonts w:ascii="Times New Roman" w:cs="Times New Roman" w:hAnsiTheme="minorEastAsia" w:eastAsiaTheme="minorEastAsia"/>
          <w:color w:val="auto"/>
          <w:sz w:val="24"/>
          <w:szCs w:val="24"/>
          <w:highlight w:val="none"/>
        </w:rPr>
      </w:pPr>
      <w:r>
        <w:rPr>
          <w:rFonts w:ascii="Times New Roman" w:cs="Times New Roman" w:hAnsiTheme="minorEastAsia" w:eastAsiaTheme="minorEastAsia"/>
          <w:color w:val="auto"/>
          <w:sz w:val="24"/>
          <w:szCs w:val="24"/>
          <w:highlight w:val="none"/>
        </w:rPr>
        <w:t>取水工艺为传统工艺，技术比较成熟，因此，取水措施合理，供水安全可靠。项目区开采地下水水量较小，不会对</w:t>
      </w:r>
      <w:r>
        <w:rPr>
          <w:rFonts w:hint="eastAsia" w:ascii="Times New Roman" w:cs="Times New Roman" w:hAnsiTheme="minorEastAsia" w:eastAsiaTheme="minorEastAsia"/>
          <w:color w:val="auto"/>
          <w:sz w:val="24"/>
          <w:szCs w:val="24"/>
          <w:highlight w:val="none"/>
          <w:lang w:eastAsia="zh-CN"/>
        </w:rPr>
        <w:t>其他</w:t>
      </w:r>
      <w:r>
        <w:rPr>
          <w:rFonts w:ascii="Times New Roman" w:cs="Times New Roman" w:hAnsiTheme="minorEastAsia" w:eastAsiaTheme="minorEastAsia"/>
          <w:color w:val="auto"/>
          <w:sz w:val="24"/>
          <w:szCs w:val="24"/>
          <w:highlight w:val="none"/>
        </w:rPr>
        <w:t>片区及其</w:t>
      </w:r>
      <w:r>
        <w:rPr>
          <w:rFonts w:hint="eastAsia" w:ascii="Times New Roman" w:cs="Times New Roman" w:hAnsiTheme="minorEastAsia" w:eastAsiaTheme="minorEastAsia"/>
          <w:color w:val="auto"/>
          <w:sz w:val="24"/>
          <w:szCs w:val="24"/>
          <w:highlight w:val="none"/>
          <w:lang w:eastAsia="zh-CN"/>
        </w:rPr>
        <w:t>他</w:t>
      </w:r>
      <w:r>
        <w:rPr>
          <w:rFonts w:ascii="Times New Roman" w:cs="Times New Roman" w:hAnsiTheme="minorEastAsia" w:eastAsiaTheme="minorEastAsia"/>
          <w:color w:val="auto"/>
          <w:sz w:val="24"/>
          <w:szCs w:val="24"/>
          <w:highlight w:val="none"/>
        </w:rPr>
        <w:t>用水户产生影响。</w:t>
      </w:r>
    </w:p>
    <w:p w14:paraId="33B3B1AF">
      <w:pPr>
        <w:pStyle w:val="71"/>
        <w:adjustRightInd/>
        <w:snapToGrid/>
        <w:spacing w:line="360" w:lineRule="auto"/>
        <w:ind w:firstLine="480" w:firstLineChars="200"/>
        <w:contextualSpacing/>
        <w:jc w:val="both"/>
        <w:rPr>
          <w:rFonts w:ascii="Times New Roman" w:hAnsi="Times New Roman" w:cs="Times New Roman" w:eastAsiaTheme="minorEastAsia"/>
          <w:color w:val="auto"/>
          <w:sz w:val="24"/>
          <w:szCs w:val="24"/>
          <w:highlight w:val="none"/>
        </w:rPr>
      </w:pPr>
      <w:r>
        <w:rPr>
          <w:rFonts w:ascii="Times New Roman" w:cs="Times New Roman" w:hAnsiTheme="minorEastAsia" w:eastAsiaTheme="minorEastAsia"/>
          <w:color w:val="auto"/>
          <w:sz w:val="24"/>
          <w:szCs w:val="24"/>
          <w:highlight w:val="none"/>
        </w:rPr>
        <w:t>综上所述，本项目开采地下水，取水方案合理可行，取水量安全可靠。本区域地下水水质经</w:t>
      </w:r>
      <w:r>
        <w:rPr>
          <w:rFonts w:hint="eastAsia" w:ascii="Times New Roman" w:cs="Times New Roman" w:hAnsiTheme="minorEastAsia" w:eastAsiaTheme="minorEastAsia"/>
          <w:color w:val="auto"/>
          <w:sz w:val="24"/>
          <w:szCs w:val="24"/>
          <w:highlight w:val="none"/>
          <w:lang w:eastAsia="zh-CN"/>
        </w:rPr>
        <w:t>过滤、消毒</w:t>
      </w:r>
      <w:r>
        <w:rPr>
          <w:rFonts w:ascii="Times New Roman" w:cs="Times New Roman" w:hAnsiTheme="minorEastAsia" w:eastAsiaTheme="minorEastAsia"/>
          <w:color w:val="auto"/>
          <w:sz w:val="24"/>
          <w:szCs w:val="24"/>
          <w:highlight w:val="none"/>
        </w:rPr>
        <w:t>处理后能够满足用水需求。</w:t>
      </w:r>
    </w:p>
    <w:p w14:paraId="27D36341">
      <w:pPr>
        <w:ind w:firstLine="480"/>
        <w:contextualSpacing/>
        <w:rPr>
          <w:rFonts w:hAnsiTheme="minorEastAsia" w:eastAsiaTheme="minorEastAsia"/>
          <w:bCs/>
          <w:color w:val="auto"/>
          <w:highlight w:val="none"/>
        </w:rPr>
      </w:pPr>
      <w:r>
        <w:rPr>
          <w:rFonts w:hint="eastAsia" w:hAnsiTheme="minorEastAsia" w:eastAsiaTheme="minorEastAsia"/>
          <w:bCs/>
          <w:color w:val="auto"/>
          <w:highlight w:val="none"/>
          <w:lang w:val="en-US" w:eastAsia="zh-CN"/>
        </w:rPr>
        <w:t>本项目取水层为承压水，</w:t>
      </w:r>
      <w:r>
        <w:rPr>
          <w:rFonts w:hAnsiTheme="minorEastAsia" w:eastAsiaTheme="minorEastAsia"/>
          <w:bCs/>
          <w:color w:val="auto"/>
          <w:highlight w:val="none"/>
        </w:rPr>
        <w:t>项目实施后，取水量较小，开采后地下水</w:t>
      </w:r>
      <w:r>
        <w:rPr>
          <w:rFonts w:hint="eastAsia" w:hAnsiTheme="minorEastAsia" w:eastAsiaTheme="minorEastAsia"/>
          <w:bCs/>
          <w:color w:val="auto"/>
          <w:highlight w:val="none"/>
        </w:rPr>
        <w:t>水位</w:t>
      </w:r>
      <w:r>
        <w:rPr>
          <w:rFonts w:hAnsiTheme="minorEastAsia" w:eastAsiaTheme="minorEastAsia"/>
          <w:bCs/>
          <w:color w:val="auto"/>
          <w:highlight w:val="none"/>
        </w:rPr>
        <w:t>没有发生大的变化。本项目取水</w:t>
      </w:r>
      <w:r>
        <w:rPr>
          <w:rFonts w:hint="eastAsia" w:hAnsiTheme="minorEastAsia" w:eastAsiaTheme="minorEastAsia"/>
          <w:bCs/>
          <w:color w:val="auto"/>
          <w:highlight w:val="none"/>
        </w:rPr>
        <w:t>不会造成地下水位大幅度下降及区域水均衡性破坏</w:t>
      </w:r>
      <w:r>
        <w:rPr>
          <w:rFonts w:hAnsiTheme="minorEastAsia" w:eastAsiaTheme="minorEastAsia"/>
          <w:bCs/>
          <w:color w:val="auto"/>
          <w:highlight w:val="none"/>
        </w:rPr>
        <w:t>，也不会产生严重的环境地质问题。所在区域地下水水质相对较好，</w:t>
      </w:r>
      <w:r>
        <w:rPr>
          <w:rFonts w:hint="eastAsia" w:hAnsiTheme="minorEastAsia" w:eastAsiaTheme="minorEastAsia"/>
          <w:bCs/>
          <w:color w:val="auto"/>
          <w:highlight w:val="none"/>
          <w:lang w:eastAsia="zh-CN"/>
        </w:rPr>
        <w:t>虽然</w:t>
      </w:r>
      <w:r>
        <w:rPr>
          <w:rFonts w:hAnsiTheme="minorEastAsia" w:eastAsiaTheme="minorEastAsia"/>
          <w:bCs/>
          <w:color w:val="auto"/>
          <w:highlight w:val="none"/>
        </w:rPr>
        <w:t>项目实施后局部地下水水位</w:t>
      </w:r>
      <w:r>
        <w:rPr>
          <w:rFonts w:hint="eastAsia" w:hAnsiTheme="minorEastAsia" w:eastAsiaTheme="minorEastAsia"/>
          <w:bCs/>
          <w:color w:val="auto"/>
          <w:highlight w:val="none"/>
          <w:lang w:eastAsia="zh-CN"/>
        </w:rPr>
        <w:t>会有变化</w:t>
      </w:r>
      <w:r>
        <w:rPr>
          <w:rFonts w:hAnsiTheme="minorEastAsia" w:eastAsiaTheme="minorEastAsia"/>
          <w:bCs/>
          <w:color w:val="auto"/>
          <w:highlight w:val="none"/>
        </w:rPr>
        <w:t>，</w:t>
      </w:r>
      <w:r>
        <w:rPr>
          <w:rFonts w:hint="eastAsia" w:hAnsiTheme="minorEastAsia" w:eastAsiaTheme="minorEastAsia"/>
          <w:bCs/>
          <w:color w:val="auto"/>
          <w:highlight w:val="none"/>
          <w:lang w:eastAsia="zh-CN"/>
        </w:rPr>
        <w:t>但开采</w:t>
      </w:r>
      <w:r>
        <w:rPr>
          <w:rFonts w:hAnsiTheme="minorEastAsia" w:eastAsiaTheme="minorEastAsia"/>
          <w:bCs/>
          <w:color w:val="auto"/>
          <w:highlight w:val="none"/>
        </w:rPr>
        <w:t>地下水不会改变区域地下水流场，因此项目实施后开采地下水对区域</w:t>
      </w:r>
      <w:r>
        <w:rPr>
          <w:rFonts w:hint="eastAsia" w:hAnsiTheme="minorEastAsia" w:eastAsiaTheme="minorEastAsia"/>
          <w:bCs/>
          <w:color w:val="auto"/>
          <w:highlight w:val="none"/>
          <w:lang w:eastAsia="zh-CN"/>
        </w:rPr>
        <w:t>水质</w:t>
      </w:r>
      <w:r>
        <w:rPr>
          <w:rFonts w:hAnsiTheme="minorEastAsia" w:eastAsiaTheme="minorEastAsia"/>
          <w:bCs/>
          <w:color w:val="auto"/>
          <w:highlight w:val="none"/>
        </w:rPr>
        <w:t>影响较小。</w:t>
      </w:r>
    </w:p>
    <w:p w14:paraId="7138F0D1">
      <w:pPr>
        <w:pStyle w:val="4"/>
        <w:ind w:firstLine="562" w:firstLineChars="200"/>
        <w:rPr>
          <w:rFonts w:ascii="Times New Roman" w:hAnsi="Times New Roman" w:eastAsiaTheme="minorEastAsia"/>
          <w:color w:val="auto"/>
          <w:sz w:val="28"/>
          <w:szCs w:val="28"/>
          <w:highlight w:val="none"/>
        </w:rPr>
      </w:pPr>
      <w:bookmarkStart w:id="29" w:name="_Toc9546"/>
      <w:bookmarkStart w:id="30" w:name="_Toc683"/>
      <w:r>
        <w:rPr>
          <w:rFonts w:hint="eastAsia" w:ascii="Times New Roman" w:hAnsi="Times New Roman" w:eastAsiaTheme="minorEastAsia"/>
          <w:color w:val="auto"/>
          <w:sz w:val="28"/>
          <w:szCs w:val="28"/>
          <w:highlight w:val="none"/>
        </w:rPr>
        <w:t>2建议</w:t>
      </w:r>
      <w:bookmarkEnd w:id="29"/>
      <w:bookmarkEnd w:id="30"/>
    </w:p>
    <w:p w14:paraId="25A9F680">
      <w:pPr>
        <w:keepNext w:val="0"/>
        <w:keepLines w:val="0"/>
        <w:pageBreakBefore w:val="0"/>
        <w:widowControl w:val="0"/>
        <w:kinsoku/>
        <w:wordWrap/>
        <w:overflowPunct/>
        <w:topLinePunct w:val="0"/>
        <w:bidi w:val="0"/>
        <w:snapToGrid/>
        <w:spacing w:line="360" w:lineRule="auto"/>
        <w:ind w:firstLine="480"/>
        <w:textAlignment w:val="auto"/>
        <w:rPr>
          <w:rFonts w:eastAsiaTheme="minorEastAsia"/>
          <w:color w:val="auto"/>
          <w:highlight w:val="none"/>
        </w:rPr>
      </w:pPr>
      <w:r>
        <w:rPr>
          <w:rFonts w:hint="eastAsia" w:eastAsiaTheme="minorEastAsia"/>
          <w:color w:val="auto"/>
          <w:highlight w:val="none"/>
          <w:lang w:eastAsia="zh-CN"/>
        </w:rPr>
        <w:t>（</w:t>
      </w:r>
      <w:r>
        <w:rPr>
          <w:rFonts w:hint="eastAsia" w:eastAsiaTheme="minorEastAsia"/>
          <w:color w:val="auto"/>
          <w:highlight w:val="none"/>
          <w:lang w:val="en-US" w:eastAsia="zh-CN"/>
        </w:rPr>
        <w:t>1</w:t>
      </w:r>
      <w:r>
        <w:rPr>
          <w:rFonts w:hint="eastAsia" w:eastAsiaTheme="minorEastAsia"/>
          <w:color w:val="auto"/>
          <w:highlight w:val="none"/>
          <w:lang w:eastAsia="zh-CN"/>
        </w:rPr>
        <w:t>）</w:t>
      </w:r>
      <w:r>
        <w:rPr>
          <w:rFonts w:hint="eastAsia" w:eastAsiaTheme="minorEastAsia"/>
          <w:color w:val="auto"/>
          <w:highlight w:val="none"/>
        </w:rPr>
        <w:t>加强水井占地范围内绿化工程。</w:t>
      </w:r>
    </w:p>
    <w:p w14:paraId="4A5AA4E6">
      <w:pPr>
        <w:keepNext w:val="0"/>
        <w:keepLines w:val="0"/>
        <w:pageBreakBefore w:val="0"/>
        <w:widowControl w:val="0"/>
        <w:kinsoku/>
        <w:wordWrap/>
        <w:overflowPunct/>
        <w:topLinePunct w:val="0"/>
        <w:bidi w:val="0"/>
        <w:snapToGrid/>
        <w:spacing w:line="360" w:lineRule="auto"/>
        <w:ind w:firstLine="480"/>
        <w:textAlignment w:val="auto"/>
        <w:rPr>
          <w:rFonts w:hint="eastAsia" w:eastAsiaTheme="minorEastAsia"/>
          <w:color w:val="auto"/>
          <w:highlight w:val="none"/>
          <w:lang w:eastAsia="zh-CN"/>
        </w:rPr>
      </w:pPr>
      <w:r>
        <w:rPr>
          <w:rFonts w:hint="eastAsia" w:eastAsiaTheme="minorEastAsia"/>
          <w:color w:val="auto"/>
          <w:highlight w:val="none"/>
          <w:lang w:val="en-US" w:eastAsia="zh-CN"/>
        </w:rPr>
        <w:t>（2）</w:t>
      </w:r>
      <w:r>
        <w:rPr>
          <w:rFonts w:hint="eastAsia" w:eastAsiaTheme="minorEastAsia"/>
          <w:color w:val="auto"/>
          <w:highlight w:val="none"/>
        </w:rPr>
        <w:t>加强水井占地范围内保护</w:t>
      </w:r>
      <w:r>
        <w:rPr>
          <w:rFonts w:hint="eastAsia" w:eastAsiaTheme="minorEastAsia"/>
          <w:color w:val="auto"/>
          <w:highlight w:val="none"/>
          <w:lang w:eastAsia="zh-CN"/>
        </w:rPr>
        <w:t>。</w:t>
      </w:r>
    </w:p>
    <w:p w14:paraId="19F3302B">
      <w:pPr>
        <w:pStyle w:val="64"/>
        <w:keepNext w:val="0"/>
        <w:keepLines w:val="0"/>
        <w:pageBreakBefore w:val="0"/>
        <w:widowControl w:val="0"/>
        <w:kinsoku/>
        <w:wordWrap/>
        <w:overflowPunct/>
        <w:topLinePunct w:val="0"/>
        <w:bidi w:val="0"/>
        <w:snapToGrid/>
        <w:spacing w:line="360" w:lineRule="auto"/>
        <w:ind w:firstLine="480" w:firstLineChars="200"/>
        <w:textAlignment w:val="auto"/>
        <w:rPr>
          <w:rFonts w:hint="default"/>
          <w:color w:val="auto"/>
          <w:highlight w:val="none"/>
          <w:lang w:val="en-US" w:eastAsia="zh-CN"/>
        </w:rPr>
      </w:pPr>
      <w:r>
        <w:rPr>
          <w:rFonts w:hint="eastAsia" w:ascii="Times New Roman" w:hAnsi="Times New Roman" w:cs="Times New Roman" w:eastAsiaTheme="minorEastAsia"/>
          <w:color w:val="auto"/>
          <w:highlight w:val="none"/>
          <w:lang w:val="en-US" w:eastAsia="zh-CN"/>
        </w:rPr>
        <w:t>（3）开工建设前取得</w:t>
      </w:r>
      <w:r>
        <w:rPr>
          <w:rFonts w:hint="default" w:ascii="Times New Roman" w:hAnsi="Times New Roman" w:cs="Times New Roman" w:eastAsiaTheme="minorEastAsia"/>
          <w:color w:val="auto"/>
          <w:highlight w:val="none"/>
          <w:lang w:val="en-US" w:eastAsia="zh-CN"/>
        </w:rPr>
        <w:t>取水许</w:t>
      </w:r>
      <w:r>
        <w:rPr>
          <w:rFonts w:hint="eastAsia" w:eastAsiaTheme="minorEastAsia"/>
          <w:color w:val="auto"/>
          <w:highlight w:val="none"/>
          <w:lang w:val="en-US" w:eastAsia="zh-CN"/>
        </w:rPr>
        <w:t>可证。</w:t>
      </w:r>
    </w:p>
    <w:p w14:paraId="5FD0DA13">
      <w:pPr>
        <w:ind w:firstLine="480"/>
        <w:rPr>
          <w:color w:val="auto"/>
          <w:highlight w:val="none"/>
        </w:rPr>
      </w:pPr>
      <w:bookmarkStart w:id="31" w:name="_GoBack"/>
      <w:bookmarkEnd w:id="31"/>
    </w:p>
    <w:p w14:paraId="6718FB9D">
      <w:pPr>
        <w:ind w:firstLine="480"/>
        <w:rPr>
          <w:color w:val="auto"/>
          <w:highlight w:val="none"/>
        </w:rPr>
      </w:pPr>
    </w:p>
    <w:p w14:paraId="7C9B3A55">
      <w:pPr>
        <w:ind w:firstLine="480"/>
        <w:rPr>
          <w:color w:val="auto"/>
          <w:highlight w:val="none"/>
        </w:rPr>
      </w:pPr>
    </w:p>
    <w:sectPr>
      <w:headerReference r:id="rId16" w:type="default"/>
      <w:footerReference r:id="rId17"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18"/>
      </w:pPr>
      <w:r>
        <w:separator/>
      </w:r>
    </w:p>
  </w:endnote>
  <w:endnote w:type="continuationSeparator" w:id="1">
    <w:p>
      <w:pPr>
        <w:spacing w:line="240" w:lineRule="auto"/>
        <w:ind w:firstLine="51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宋体 ...">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F674D">
    <w:pPr>
      <w:pStyle w:val="14"/>
      <w:ind w:firstLine="360"/>
      <w:jc w:val="center"/>
    </w:pPr>
    <w:r>
      <w:fldChar w:fldCharType="begin"/>
    </w:r>
    <w:r>
      <w:instrText xml:space="preserve">PAGE   \* MERGEFORMAT</w:instrText>
    </w:r>
    <w:r>
      <w:fldChar w:fldCharType="separate"/>
    </w:r>
    <w:r>
      <w:rPr>
        <w:lang w:val="zh-CN"/>
      </w:rPr>
      <w:t>2</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97A1F">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F5BD1">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kern w:val="2"/>
        <w:sz w:val="24"/>
        <w:szCs w:val="24"/>
        <w:lang w:val="en-US" w:eastAsia="zh-CN" w:bidi="ar-SA"/>
      </w:rPr>
      <w:id w:val="106104003"/>
      <w:docPartObj>
        <w:docPartGallery w:val="autotext"/>
      </w:docPartObj>
    </w:sdtPr>
    <w:sdtEndPr>
      <w:rPr>
        <w:rFonts w:ascii="Times New Roman" w:hAnsi="Times New Roman" w:eastAsia="宋体" w:cs="Times New Roman"/>
        <w:kern w:val="2"/>
        <w:sz w:val="24"/>
        <w:szCs w:val="24"/>
        <w:lang w:val="en-US" w:eastAsia="zh-CN" w:bidi="ar-SA"/>
      </w:rPr>
    </w:sdtEndPr>
    <w:sdtContent>
      <w:p w14:paraId="14DBC988">
        <w:pPr>
          <w:pStyle w:val="14"/>
          <w:ind w:firstLine="360"/>
          <w:jc w:val="center"/>
        </w:pPr>
        <w:r>
          <w:fldChar w:fldCharType="begin"/>
        </w:r>
        <w:r>
          <w:instrText xml:space="preserve"> PAGE   \* MERGEFORMAT </w:instrText>
        </w:r>
        <w:r>
          <w:fldChar w:fldCharType="separate"/>
        </w:r>
        <w:r>
          <w:rPr>
            <w:lang w:val="zh-CN"/>
          </w:rPr>
          <w:t>15</w:t>
        </w:r>
        <w:r>
          <w:rPr>
            <w:lang w:val="zh-CN"/>
          </w:rPr>
          <w:fldChar w:fldCharType="end"/>
        </w:r>
      </w:p>
    </w:sdtContent>
  </w:sdt>
  <w:p w14:paraId="53057089">
    <w:pPr>
      <w:pStyle w:val="14"/>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kern w:val="2"/>
        <w:sz w:val="24"/>
        <w:szCs w:val="24"/>
        <w:lang w:val="en-US" w:eastAsia="zh-CN" w:bidi="ar-SA"/>
      </w:rPr>
      <w:id w:val="147460557"/>
      <w:docPartObj>
        <w:docPartGallery w:val="autotext"/>
      </w:docPartObj>
    </w:sdtPr>
    <w:sdtEndPr>
      <w:rPr>
        <w:rFonts w:ascii="Times New Roman" w:hAnsi="Times New Roman" w:eastAsia="宋体" w:cs="Times New Roman"/>
        <w:kern w:val="2"/>
        <w:sz w:val="24"/>
        <w:szCs w:val="24"/>
        <w:lang w:val="en-US" w:eastAsia="zh-CN" w:bidi="ar-SA"/>
      </w:rPr>
    </w:sdtEndPr>
    <w:sdtContent>
      <w:p w14:paraId="6B719B52">
        <w:pPr>
          <w:pStyle w:val="14"/>
          <w:ind w:firstLine="360"/>
          <w:jc w:val="center"/>
        </w:pPr>
        <w:r>
          <w:fldChar w:fldCharType="begin"/>
        </w:r>
        <w:r>
          <w:instrText xml:space="preserve"> PAGE   \* MERGEFORMAT </w:instrText>
        </w:r>
        <w:r>
          <w:fldChar w:fldCharType="separate"/>
        </w:r>
        <w:r>
          <w:rPr>
            <w:lang w:val="zh-CN"/>
          </w:rPr>
          <w:t>15</w:t>
        </w:r>
        <w:r>
          <w:rPr>
            <w:lang w:val="zh-CN"/>
          </w:rPr>
          <w:fldChar w:fldCharType="end"/>
        </w:r>
      </w:p>
    </w:sdtContent>
  </w:sdt>
  <w:p w14:paraId="6B1F14BE">
    <w:pPr>
      <w:pStyle w:val="14"/>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61F00">
    <w:pPr>
      <w:pStyle w:val="14"/>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FCF758">
                          <w:pPr>
                            <w:pStyle w:val="14"/>
                            <w:ind w:firstLine="360"/>
                            <w:jc w:val="center"/>
                          </w:pPr>
                          <w:r>
                            <w:fldChar w:fldCharType="begin"/>
                          </w:r>
                          <w:r>
                            <w:instrText xml:space="preserve">PAGE   \* MERGEFORMAT</w:instrText>
                          </w:r>
                          <w:r>
                            <w:fldChar w:fldCharType="separate"/>
                          </w:r>
                          <w:r>
                            <w:rPr>
                              <w:lang w:val="zh-CN"/>
                            </w:rPr>
                            <w:t>17</w:t>
                          </w:r>
                          <w:r>
                            <w:rPr>
                              <w:lang w:val="zh-CN"/>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sh/JjIAQAAmQMAAA4AAAAAAAAAAQAgAAAAHgEAAGRycy9lMm9Eb2Mu&#10;eG1sUEsFBgAAAAAGAAYAWQEAAFgFAAAAAA==&#10;">
              <v:fill on="f" focussize="0,0"/>
              <v:stroke on="f"/>
              <v:imagedata o:title=""/>
              <o:lock v:ext="edit" aspectratio="f"/>
              <v:textbox inset="0mm,0mm,0mm,0mm" style="mso-fit-shape-to-text:t;">
                <w:txbxContent>
                  <w:p w14:paraId="14FCF758">
                    <w:pPr>
                      <w:pStyle w:val="14"/>
                      <w:ind w:firstLine="360"/>
                      <w:jc w:val="center"/>
                    </w:pPr>
                    <w:r>
                      <w:fldChar w:fldCharType="begin"/>
                    </w:r>
                    <w:r>
                      <w:instrText xml:space="preserve">PAGE   \* MERGEFORMAT</w:instrText>
                    </w:r>
                    <w:r>
                      <w:fldChar w:fldCharType="separate"/>
                    </w:r>
                    <w:r>
                      <w:rPr>
                        <w:lang w:val="zh-CN"/>
                      </w:rPr>
                      <w:t>17</w:t>
                    </w:r>
                    <w:r>
                      <w:rPr>
                        <w:lang w:val="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6DEC2">
    <w:pPr>
      <w:pStyle w:val="14"/>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0B6F7C">
                          <w:pPr>
                            <w:pStyle w:val="14"/>
                            <w:ind w:firstLine="360"/>
                            <w:jc w:val="center"/>
                          </w:pPr>
                          <w:r>
                            <w:fldChar w:fldCharType="begin"/>
                          </w:r>
                          <w:r>
                            <w:instrText xml:space="preserve">PAGE   \* MERGEFORMAT</w:instrText>
                          </w:r>
                          <w:r>
                            <w:fldChar w:fldCharType="separate"/>
                          </w:r>
                          <w:r>
                            <w:rPr>
                              <w:lang w:val="zh-CN"/>
                            </w:rPr>
                            <w:t>20</w:t>
                          </w:r>
                          <w:r>
                            <w:rPr>
                              <w:lang w:val="zh-CN"/>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RKtvMgBAACZ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Tb0BUljlsc+OXnj8uvP5ff38ky&#10;t6cPUGPWfcC8NLzzAy7N7Ad0ZtWDijZ/UQ/BODb3fG2uHBIR+dF6tV5XGBIYmy+Izx6ehwjpvfSW&#10;ZKOhEadXmspPHyGNqXNKrub8nTamTNC4fxyImT0scx85ZisN+2EStPftGfX0OPiGOtxzSswHh33N&#10;OzIbcTb2s3EMUR86pLYsvCDcHhOSKNxyhRF2KowTK+qm7cor8fhesh7+qO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kSrbzIAQAAmQMAAA4AAAAAAAAAAQAgAAAAHgEAAGRycy9lMm9Eb2Mu&#10;eG1sUEsFBgAAAAAGAAYAWQEAAFgFAAAAAA==&#10;">
              <v:fill on="f" focussize="0,0"/>
              <v:stroke on="f"/>
              <v:imagedata o:title=""/>
              <o:lock v:ext="edit" aspectratio="f"/>
              <v:textbox inset="0mm,0mm,0mm,0mm" style="mso-fit-shape-to-text:t;">
                <w:txbxContent>
                  <w:p w14:paraId="1F0B6F7C">
                    <w:pPr>
                      <w:pStyle w:val="14"/>
                      <w:ind w:firstLine="360"/>
                      <w:jc w:val="center"/>
                    </w:pPr>
                    <w:r>
                      <w:fldChar w:fldCharType="begin"/>
                    </w:r>
                    <w:r>
                      <w:instrText xml:space="preserve">PAGE   \* MERGEFORMAT</w:instrText>
                    </w:r>
                    <w:r>
                      <w:fldChar w:fldCharType="separate"/>
                    </w:r>
                    <w:r>
                      <w:rPr>
                        <w:lang w:val="zh-CN"/>
                      </w:rPr>
                      <w:t>20</w:t>
                    </w:r>
                    <w:r>
                      <w:rPr>
                        <w:lang w:val="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18"/>
      </w:pPr>
      <w:r>
        <w:separator/>
      </w:r>
    </w:p>
  </w:footnote>
  <w:footnote w:type="continuationSeparator" w:id="1">
    <w:p>
      <w:pPr>
        <w:spacing w:line="360" w:lineRule="auto"/>
        <w:ind w:firstLine="518"/>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9C5EC">
    <w:pPr>
      <w:pStyle w:val="15"/>
      <w:pBdr>
        <w:bottom w:val="none" w:color="auto" w:sz="0" w:space="0"/>
      </w:pBdr>
      <w:ind w:firstLine="360"/>
      <w:rPr>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3C118">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8F38A">
    <w:pPr>
      <w:pStyle w:val="15"/>
      <w:pBdr>
        <w:bottom w:val="none" w:color="auto" w:sz="0" w:space="0"/>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A9892">
    <w:pPr>
      <w:pBdr>
        <w:bottom w:val="single" w:color="auto" w:sz="4" w:space="1"/>
      </w:pBdr>
      <w:spacing w:line="240" w:lineRule="auto"/>
      <w:ind w:firstLine="0" w:firstLineChars="0"/>
      <w:jc w:val="center"/>
      <w:rPr>
        <w:rFonts w:eastAsiaTheme="minorEastAsia"/>
        <w:bCs/>
        <w:sz w:val="21"/>
        <w:szCs w:val="21"/>
      </w:rPr>
    </w:pPr>
    <w:r>
      <w:rPr>
        <w:rFonts w:hint="eastAsia" w:eastAsiaTheme="minorEastAsia"/>
        <w:bCs/>
        <w:sz w:val="21"/>
        <w:szCs w:val="21"/>
        <w:lang w:eastAsia="zh-CN"/>
      </w:rPr>
      <w:t>同江市赫乡冽泉饮品厂建设项目</w:t>
    </w:r>
    <w:r>
      <w:rPr>
        <w:rFonts w:eastAsiaTheme="minorEastAsia"/>
        <w:sz w:val="21"/>
        <w:szCs w:val="21"/>
      </w:rPr>
      <w:t>地下水环境影响专项评价</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3E3A2">
    <w:pPr>
      <w:pStyle w:val="1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F22C5">
    <w:pPr>
      <w:pStyle w:val="15"/>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259"/>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xYmQwYjBkNGZjYWI5ZWMxOTJjNDZkZmIyYjA1NDcifQ=="/>
  </w:docVars>
  <w:rsids>
    <w:rsidRoot w:val="00177CE2"/>
    <w:rsid w:val="000007B9"/>
    <w:rsid w:val="00001CD5"/>
    <w:rsid w:val="000030F5"/>
    <w:rsid w:val="00003E2C"/>
    <w:rsid w:val="0000549A"/>
    <w:rsid w:val="00005BC1"/>
    <w:rsid w:val="00005DFB"/>
    <w:rsid w:val="0000703B"/>
    <w:rsid w:val="0001025A"/>
    <w:rsid w:val="000120EF"/>
    <w:rsid w:val="0001258D"/>
    <w:rsid w:val="00012611"/>
    <w:rsid w:val="00016C1C"/>
    <w:rsid w:val="00017F39"/>
    <w:rsid w:val="00024613"/>
    <w:rsid w:val="000267BF"/>
    <w:rsid w:val="00026C92"/>
    <w:rsid w:val="00026E8D"/>
    <w:rsid w:val="0003178E"/>
    <w:rsid w:val="00034107"/>
    <w:rsid w:val="000345B4"/>
    <w:rsid w:val="000345BC"/>
    <w:rsid w:val="0003614E"/>
    <w:rsid w:val="000363F5"/>
    <w:rsid w:val="00037088"/>
    <w:rsid w:val="000373C8"/>
    <w:rsid w:val="000402B9"/>
    <w:rsid w:val="00040E4F"/>
    <w:rsid w:val="00043CE3"/>
    <w:rsid w:val="000445B4"/>
    <w:rsid w:val="0004620F"/>
    <w:rsid w:val="00046B41"/>
    <w:rsid w:val="000470AB"/>
    <w:rsid w:val="00050120"/>
    <w:rsid w:val="000511E7"/>
    <w:rsid w:val="00053AC8"/>
    <w:rsid w:val="00053EBC"/>
    <w:rsid w:val="00056937"/>
    <w:rsid w:val="00056C33"/>
    <w:rsid w:val="00057384"/>
    <w:rsid w:val="0006224A"/>
    <w:rsid w:val="000635AA"/>
    <w:rsid w:val="00063ECB"/>
    <w:rsid w:val="0006512D"/>
    <w:rsid w:val="00067006"/>
    <w:rsid w:val="00067CE9"/>
    <w:rsid w:val="00067D2F"/>
    <w:rsid w:val="00070A83"/>
    <w:rsid w:val="00073635"/>
    <w:rsid w:val="00075AF8"/>
    <w:rsid w:val="0008038C"/>
    <w:rsid w:val="00080B49"/>
    <w:rsid w:val="00080D8E"/>
    <w:rsid w:val="0008231B"/>
    <w:rsid w:val="00082C23"/>
    <w:rsid w:val="00082CB7"/>
    <w:rsid w:val="0008373B"/>
    <w:rsid w:val="00083A33"/>
    <w:rsid w:val="000840CB"/>
    <w:rsid w:val="00084752"/>
    <w:rsid w:val="000856AE"/>
    <w:rsid w:val="00085D38"/>
    <w:rsid w:val="00086521"/>
    <w:rsid w:val="00086FD5"/>
    <w:rsid w:val="00087B80"/>
    <w:rsid w:val="00090664"/>
    <w:rsid w:val="00090F5D"/>
    <w:rsid w:val="00092BD7"/>
    <w:rsid w:val="00094BAD"/>
    <w:rsid w:val="0009763A"/>
    <w:rsid w:val="000A053A"/>
    <w:rsid w:val="000A07B7"/>
    <w:rsid w:val="000A0C54"/>
    <w:rsid w:val="000A0D26"/>
    <w:rsid w:val="000A1241"/>
    <w:rsid w:val="000A1E4F"/>
    <w:rsid w:val="000A38D1"/>
    <w:rsid w:val="000A5F51"/>
    <w:rsid w:val="000A64DD"/>
    <w:rsid w:val="000A74CB"/>
    <w:rsid w:val="000B0D28"/>
    <w:rsid w:val="000B1276"/>
    <w:rsid w:val="000B1437"/>
    <w:rsid w:val="000B2229"/>
    <w:rsid w:val="000B467A"/>
    <w:rsid w:val="000B4A80"/>
    <w:rsid w:val="000B4C73"/>
    <w:rsid w:val="000B61DB"/>
    <w:rsid w:val="000C002B"/>
    <w:rsid w:val="000C02CF"/>
    <w:rsid w:val="000C02DB"/>
    <w:rsid w:val="000C0B05"/>
    <w:rsid w:val="000C1E2B"/>
    <w:rsid w:val="000C2536"/>
    <w:rsid w:val="000C3200"/>
    <w:rsid w:val="000C3583"/>
    <w:rsid w:val="000C36DB"/>
    <w:rsid w:val="000C3DC6"/>
    <w:rsid w:val="000C4986"/>
    <w:rsid w:val="000C4ADA"/>
    <w:rsid w:val="000C6888"/>
    <w:rsid w:val="000C7FBD"/>
    <w:rsid w:val="000D049F"/>
    <w:rsid w:val="000D04DE"/>
    <w:rsid w:val="000D0BC7"/>
    <w:rsid w:val="000D1F32"/>
    <w:rsid w:val="000D1FA6"/>
    <w:rsid w:val="000D3003"/>
    <w:rsid w:val="000E055F"/>
    <w:rsid w:val="000E2894"/>
    <w:rsid w:val="000E29B1"/>
    <w:rsid w:val="000E29D0"/>
    <w:rsid w:val="000E2F73"/>
    <w:rsid w:val="000E30D8"/>
    <w:rsid w:val="000E4C88"/>
    <w:rsid w:val="000E4DFF"/>
    <w:rsid w:val="000E4E84"/>
    <w:rsid w:val="000E5518"/>
    <w:rsid w:val="000F2218"/>
    <w:rsid w:val="000F2F74"/>
    <w:rsid w:val="000F459F"/>
    <w:rsid w:val="000F4EDB"/>
    <w:rsid w:val="00100339"/>
    <w:rsid w:val="00104B67"/>
    <w:rsid w:val="00105E87"/>
    <w:rsid w:val="00114F31"/>
    <w:rsid w:val="00115A48"/>
    <w:rsid w:val="00117649"/>
    <w:rsid w:val="00117D70"/>
    <w:rsid w:val="001206BD"/>
    <w:rsid w:val="00122984"/>
    <w:rsid w:val="00122EA8"/>
    <w:rsid w:val="00126F9C"/>
    <w:rsid w:val="00127F02"/>
    <w:rsid w:val="001300BD"/>
    <w:rsid w:val="00130817"/>
    <w:rsid w:val="0013642B"/>
    <w:rsid w:val="001371E7"/>
    <w:rsid w:val="001418D1"/>
    <w:rsid w:val="00141C97"/>
    <w:rsid w:val="00144E74"/>
    <w:rsid w:val="001455DD"/>
    <w:rsid w:val="00145C7C"/>
    <w:rsid w:val="00145E5F"/>
    <w:rsid w:val="001463FB"/>
    <w:rsid w:val="001469F9"/>
    <w:rsid w:val="001479DD"/>
    <w:rsid w:val="00150393"/>
    <w:rsid w:val="00151383"/>
    <w:rsid w:val="00151466"/>
    <w:rsid w:val="00151BF3"/>
    <w:rsid w:val="001535FE"/>
    <w:rsid w:val="0015487B"/>
    <w:rsid w:val="00155B6F"/>
    <w:rsid w:val="00156F1B"/>
    <w:rsid w:val="00160857"/>
    <w:rsid w:val="00160D17"/>
    <w:rsid w:val="001616EF"/>
    <w:rsid w:val="00163711"/>
    <w:rsid w:val="0016414C"/>
    <w:rsid w:val="00165412"/>
    <w:rsid w:val="00165FAD"/>
    <w:rsid w:val="00167DD6"/>
    <w:rsid w:val="00167DEB"/>
    <w:rsid w:val="00172852"/>
    <w:rsid w:val="00173D9E"/>
    <w:rsid w:val="00174543"/>
    <w:rsid w:val="001746CC"/>
    <w:rsid w:val="00175A77"/>
    <w:rsid w:val="001769EA"/>
    <w:rsid w:val="00177CE2"/>
    <w:rsid w:val="001804E9"/>
    <w:rsid w:val="001806F5"/>
    <w:rsid w:val="001826D8"/>
    <w:rsid w:val="00183907"/>
    <w:rsid w:val="0018438A"/>
    <w:rsid w:val="001851A2"/>
    <w:rsid w:val="001853EB"/>
    <w:rsid w:val="0018549A"/>
    <w:rsid w:val="0018661E"/>
    <w:rsid w:val="00186CD4"/>
    <w:rsid w:val="001876AE"/>
    <w:rsid w:val="00191CA2"/>
    <w:rsid w:val="00191E85"/>
    <w:rsid w:val="00192401"/>
    <w:rsid w:val="0019312B"/>
    <w:rsid w:val="0019333C"/>
    <w:rsid w:val="00195920"/>
    <w:rsid w:val="001960BF"/>
    <w:rsid w:val="00196C6E"/>
    <w:rsid w:val="001A2EF2"/>
    <w:rsid w:val="001A556B"/>
    <w:rsid w:val="001A7DE7"/>
    <w:rsid w:val="001B0CB9"/>
    <w:rsid w:val="001B1767"/>
    <w:rsid w:val="001B1B89"/>
    <w:rsid w:val="001B2233"/>
    <w:rsid w:val="001B2B23"/>
    <w:rsid w:val="001C08A0"/>
    <w:rsid w:val="001C0E33"/>
    <w:rsid w:val="001C2480"/>
    <w:rsid w:val="001C3270"/>
    <w:rsid w:val="001C4188"/>
    <w:rsid w:val="001C482B"/>
    <w:rsid w:val="001C758A"/>
    <w:rsid w:val="001D0267"/>
    <w:rsid w:val="001D0DBD"/>
    <w:rsid w:val="001D1300"/>
    <w:rsid w:val="001D25A2"/>
    <w:rsid w:val="001D2DB1"/>
    <w:rsid w:val="001D4284"/>
    <w:rsid w:val="001D50D3"/>
    <w:rsid w:val="001D66DA"/>
    <w:rsid w:val="001D71F0"/>
    <w:rsid w:val="001D72F9"/>
    <w:rsid w:val="001E0478"/>
    <w:rsid w:val="001E28B9"/>
    <w:rsid w:val="001E3333"/>
    <w:rsid w:val="001E395B"/>
    <w:rsid w:val="001E5BD1"/>
    <w:rsid w:val="001E72B3"/>
    <w:rsid w:val="001F0D1F"/>
    <w:rsid w:val="001F54BB"/>
    <w:rsid w:val="001F766D"/>
    <w:rsid w:val="00200B19"/>
    <w:rsid w:val="0020128F"/>
    <w:rsid w:val="00202B78"/>
    <w:rsid w:val="00203AB2"/>
    <w:rsid w:val="00207839"/>
    <w:rsid w:val="00212E77"/>
    <w:rsid w:val="00213247"/>
    <w:rsid w:val="00216CCC"/>
    <w:rsid w:val="00220143"/>
    <w:rsid w:val="00220A6C"/>
    <w:rsid w:val="002218DE"/>
    <w:rsid w:val="002228D1"/>
    <w:rsid w:val="00224643"/>
    <w:rsid w:val="00224E22"/>
    <w:rsid w:val="002277F9"/>
    <w:rsid w:val="00227D8F"/>
    <w:rsid w:val="00231399"/>
    <w:rsid w:val="00231733"/>
    <w:rsid w:val="00233061"/>
    <w:rsid w:val="00233BDD"/>
    <w:rsid w:val="002341AF"/>
    <w:rsid w:val="00235650"/>
    <w:rsid w:val="00236AB5"/>
    <w:rsid w:val="00236F1F"/>
    <w:rsid w:val="00237762"/>
    <w:rsid w:val="00241BDC"/>
    <w:rsid w:val="0024341E"/>
    <w:rsid w:val="00243869"/>
    <w:rsid w:val="002457AC"/>
    <w:rsid w:val="002459B2"/>
    <w:rsid w:val="00246ADA"/>
    <w:rsid w:val="0025404C"/>
    <w:rsid w:val="00255DDB"/>
    <w:rsid w:val="00264437"/>
    <w:rsid w:val="00264F07"/>
    <w:rsid w:val="00265370"/>
    <w:rsid w:val="002656B0"/>
    <w:rsid w:val="00265D28"/>
    <w:rsid w:val="002671E1"/>
    <w:rsid w:val="0027097F"/>
    <w:rsid w:val="00272CBD"/>
    <w:rsid w:val="0027471A"/>
    <w:rsid w:val="00274DB3"/>
    <w:rsid w:val="00275579"/>
    <w:rsid w:val="00275BA6"/>
    <w:rsid w:val="0027665E"/>
    <w:rsid w:val="0027748A"/>
    <w:rsid w:val="00277559"/>
    <w:rsid w:val="002802FB"/>
    <w:rsid w:val="00281EE4"/>
    <w:rsid w:val="0028253C"/>
    <w:rsid w:val="00284CD3"/>
    <w:rsid w:val="00284F3E"/>
    <w:rsid w:val="00285859"/>
    <w:rsid w:val="00285B5E"/>
    <w:rsid w:val="00287325"/>
    <w:rsid w:val="00287BD4"/>
    <w:rsid w:val="0029108E"/>
    <w:rsid w:val="002910E3"/>
    <w:rsid w:val="00293493"/>
    <w:rsid w:val="0029362C"/>
    <w:rsid w:val="002943A6"/>
    <w:rsid w:val="002949C6"/>
    <w:rsid w:val="002952F1"/>
    <w:rsid w:val="002962E5"/>
    <w:rsid w:val="00296FBF"/>
    <w:rsid w:val="00297A0C"/>
    <w:rsid w:val="002A108A"/>
    <w:rsid w:val="002A1A9E"/>
    <w:rsid w:val="002A2183"/>
    <w:rsid w:val="002A2C8F"/>
    <w:rsid w:val="002A420A"/>
    <w:rsid w:val="002A6B60"/>
    <w:rsid w:val="002B0961"/>
    <w:rsid w:val="002B2838"/>
    <w:rsid w:val="002B3B72"/>
    <w:rsid w:val="002B63EB"/>
    <w:rsid w:val="002C0079"/>
    <w:rsid w:val="002C3DEB"/>
    <w:rsid w:val="002C435C"/>
    <w:rsid w:val="002C45CF"/>
    <w:rsid w:val="002C4A7E"/>
    <w:rsid w:val="002C54DB"/>
    <w:rsid w:val="002C6655"/>
    <w:rsid w:val="002D0127"/>
    <w:rsid w:val="002D1734"/>
    <w:rsid w:val="002D2AF5"/>
    <w:rsid w:val="002D331A"/>
    <w:rsid w:val="002D3375"/>
    <w:rsid w:val="002D3D9C"/>
    <w:rsid w:val="002D46D1"/>
    <w:rsid w:val="002D5031"/>
    <w:rsid w:val="002D60AB"/>
    <w:rsid w:val="002D71D9"/>
    <w:rsid w:val="002D7233"/>
    <w:rsid w:val="002D72E7"/>
    <w:rsid w:val="002E25BA"/>
    <w:rsid w:val="002E36CD"/>
    <w:rsid w:val="002F2E14"/>
    <w:rsid w:val="002F3143"/>
    <w:rsid w:val="002F35F7"/>
    <w:rsid w:val="002F3D82"/>
    <w:rsid w:val="002F4166"/>
    <w:rsid w:val="002F446A"/>
    <w:rsid w:val="002F4C37"/>
    <w:rsid w:val="002F72C4"/>
    <w:rsid w:val="00301B8A"/>
    <w:rsid w:val="00301D66"/>
    <w:rsid w:val="00301E85"/>
    <w:rsid w:val="0030352C"/>
    <w:rsid w:val="0030480D"/>
    <w:rsid w:val="003077A3"/>
    <w:rsid w:val="00310A77"/>
    <w:rsid w:val="003110B0"/>
    <w:rsid w:val="003117D6"/>
    <w:rsid w:val="00311CF9"/>
    <w:rsid w:val="0031225A"/>
    <w:rsid w:val="003127FE"/>
    <w:rsid w:val="00314B44"/>
    <w:rsid w:val="003150E6"/>
    <w:rsid w:val="003159C8"/>
    <w:rsid w:val="00316884"/>
    <w:rsid w:val="0031735F"/>
    <w:rsid w:val="00317A20"/>
    <w:rsid w:val="00320620"/>
    <w:rsid w:val="00320648"/>
    <w:rsid w:val="00323BC6"/>
    <w:rsid w:val="00325BE2"/>
    <w:rsid w:val="00325CF8"/>
    <w:rsid w:val="00325D06"/>
    <w:rsid w:val="00325E87"/>
    <w:rsid w:val="003313B0"/>
    <w:rsid w:val="00331DED"/>
    <w:rsid w:val="00334F51"/>
    <w:rsid w:val="003350A2"/>
    <w:rsid w:val="00336F7E"/>
    <w:rsid w:val="0033775D"/>
    <w:rsid w:val="00337D04"/>
    <w:rsid w:val="00343332"/>
    <w:rsid w:val="003449F9"/>
    <w:rsid w:val="00344D3E"/>
    <w:rsid w:val="0034660C"/>
    <w:rsid w:val="0035028C"/>
    <w:rsid w:val="00350A0F"/>
    <w:rsid w:val="00354EF1"/>
    <w:rsid w:val="00357F50"/>
    <w:rsid w:val="00357F69"/>
    <w:rsid w:val="003612AB"/>
    <w:rsid w:val="003635B6"/>
    <w:rsid w:val="00365DB6"/>
    <w:rsid w:val="00366954"/>
    <w:rsid w:val="003703B2"/>
    <w:rsid w:val="003705CF"/>
    <w:rsid w:val="003711D8"/>
    <w:rsid w:val="0037156A"/>
    <w:rsid w:val="003726E9"/>
    <w:rsid w:val="00373AA5"/>
    <w:rsid w:val="00373CEB"/>
    <w:rsid w:val="0037408B"/>
    <w:rsid w:val="003747BE"/>
    <w:rsid w:val="0037534C"/>
    <w:rsid w:val="00375E9A"/>
    <w:rsid w:val="00377692"/>
    <w:rsid w:val="00380ACF"/>
    <w:rsid w:val="00380F39"/>
    <w:rsid w:val="0038130C"/>
    <w:rsid w:val="00381631"/>
    <w:rsid w:val="003824C4"/>
    <w:rsid w:val="00382747"/>
    <w:rsid w:val="003828A0"/>
    <w:rsid w:val="00382CFA"/>
    <w:rsid w:val="00383D21"/>
    <w:rsid w:val="00384F21"/>
    <w:rsid w:val="00385957"/>
    <w:rsid w:val="003867EF"/>
    <w:rsid w:val="003875A8"/>
    <w:rsid w:val="00390265"/>
    <w:rsid w:val="00390789"/>
    <w:rsid w:val="003915F7"/>
    <w:rsid w:val="003938F5"/>
    <w:rsid w:val="00393CB0"/>
    <w:rsid w:val="003940F7"/>
    <w:rsid w:val="00394EC3"/>
    <w:rsid w:val="00396158"/>
    <w:rsid w:val="00396504"/>
    <w:rsid w:val="003A0DEB"/>
    <w:rsid w:val="003A1380"/>
    <w:rsid w:val="003A339F"/>
    <w:rsid w:val="003A3F8E"/>
    <w:rsid w:val="003A67FE"/>
    <w:rsid w:val="003A75A6"/>
    <w:rsid w:val="003A7BBC"/>
    <w:rsid w:val="003B1633"/>
    <w:rsid w:val="003B1FCB"/>
    <w:rsid w:val="003B3C65"/>
    <w:rsid w:val="003B4E6A"/>
    <w:rsid w:val="003B5466"/>
    <w:rsid w:val="003B794A"/>
    <w:rsid w:val="003C16FD"/>
    <w:rsid w:val="003C248E"/>
    <w:rsid w:val="003C2792"/>
    <w:rsid w:val="003C402C"/>
    <w:rsid w:val="003C4FAA"/>
    <w:rsid w:val="003C59F5"/>
    <w:rsid w:val="003C64BD"/>
    <w:rsid w:val="003C678B"/>
    <w:rsid w:val="003C6911"/>
    <w:rsid w:val="003C6C82"/>
    <w:rsid w:val="003D1FCC"/>
    <w:rsid w:val="003D46FE"/>
    <w:rsid w:val="003D4DC3"/>
    <w:rsid w:val="003D7497"/>
    <w:rsid w:val="003E54A5"/>
    <w:rsid w:val="003E75C1"/>
    <w:rsid w:val="003F0AFC"/>
    <w:rsid w:val="003F0FA4"/>
    <w:rsid w:val="003F2FC2"/>
    <w:rsid w:val="003F4A20"/>
    <w:rsid w:val="003F5AE4"/>
    <w:rsid w:val="003F6CD3"/>
    <w:rsid w:val="003F715D"/>
    <w:rsid w:val="003F751F"/>
    <w:rsid w:val="003F76DA"/>
    <w:rsid w:val="0040021F"/>
    <w:rsid w:val="004011CD"/>
    <w:rsid w:val="004021C3"/>
    <w:rsid w:val="00402255"/>
    <w:rsid w:val="004030F6"/>
    <w:rsid w:val="00403C3E"/>
    <w:rsid w:val="0040415B"/>
    <w:rsid w:val="00404745"/>
    <w:rsid w:val="00404F39"/>
    <w:rsid w:val="00407359"/>
    <w:rsid w:val="00411C31"/>
    <w:rsid w:val="00411C37"/>
    <w:rsid w:val="00412184"/>
    <w:rsid w:val="004134DE"/>
    <w:rsid w:val="00413D9B"/>
    <w:rsid w:val="00421484"/>
    <w:rsid w:val="00422A38"/>
    <w:rsid w:val="00423A96"/>
    <w:rsid w:val="00423B9D"/>
    <w:rsid w:val="004251B1"/>
    <w:rsid w:val="004258AC"/>
    <w:rsid w:val="00425DDB"/>
    <w:rsid w:val="0042694B"/>
    <w:rsid w:val="00427C52"/>
    <w:rsid w:val="0043064D"/>
    <w:rsid w:val="0043328E"/>
    <w:rsid w:val="004346C6"/>
    <w:rsid w:val="004352D0"/>
    <w:rsid w:val="00435AB7"/>
    <w:rsid w:val="00441433"/>
    <w:rsid w:val="004418DA"/>
    <w:rsid w:val="0044197A"/>
    <w:rsid w:val="00442383"/>
    <w:rsid w:val="0044251A"/>
    <w:rsid w:val="00443139"/>
    <w:rsid w:val="004438AF"/>
    <w:rsid w:val="00443EBC"/>
    <w:rsid w:val="00444019"/>
    <w:rsid w:val="00444852"/>
    <w:rsid w:val="00444A37"/>
    <w:rsid w:val="00447918"/>
    <w:rsid w:val="00452511"/>
    <w:rsid w:val="0045266F"/>
    <w:rsid w:val="00452C30"/>
    <w:rsid w:val="00453F77"/>
    <w:rsid w:val="00454E3F"/>
    <w:rsid w:val="00455AD5"/>
    <w:rsid w:val="00456907"/>
    <w:rsid w:val="004578F7"/>
    <w:rsid w:val="0045790D"/>
    <w:rsid w:val="0046194E"/>
    <w:rsid w:val="004622CC"/>
    <w:rsid w:val="004622D0"/>
    <w:rsid w:val="00463F5B"/>
    <w:rsid w:val="00464D3E"/>
    <w:rsid w:val="00465843"/>
    <w:rsid w:val="00467717"/>
    <w:rsid w:val="00470E47"/>
    <w:rsid w:val="0047144A"/>
    <w:rsid w:val="00473432"/>
    <w:rsid w:val="004753B7"/>
    <w:rsid w:val="00476AEC"/>
    <w:rsid w:val="004774C6"/>
    <w:rsid w:val="00483544"/>
    <w:rsid w:val="004838A8"/>
    <w:rsid w:val="00483CA3"/>
    <w:rsid w:val="00484A44"/>
    <w:rsid w:val="00484DD0"/>
    <w:rsid w:val="0048512F"/>
    <w:rsid w:val="004851E9"/>
    <w:rsid w:val="00485402"/>
    <w:rsid w:val="00486182"/>
    <w:rsid w:val="00487016"/>
    <w:rsid w:val="0048730E"/>
    <w:rsid w:val="00487956"/>
    <w:rsid w:val="004910F4"/>
    <w:rsid w:val="00491980"/>
    <w:rsid w:val="00491AE8"/>
    <w:rsid w:val="0049317A"/>
    <w:rsid w:val="004942F3"/>
    <w:rsid w:val="00494AE1"/>
    <w:rsid w:val="00495204"/>
    <w:rsid w:val="00495A80"/>
    <w:rsid w:val="004970E9"/>
    <w:rsid w:val="00497A11"/>
    <w:rsid w:val="00497FF3"/>
    <w:rsid w:val="004A143B"/>
    <w:rsid w:val="004A1709"/>
    <w:rsid w:val="004A2121"/>
    <w:rsid w:val="004A2462"/>
    <w:rsid w:val="004A407A"/>
    <w:rsid w:val="004A462D"/>
    <w:rsid w:val="004A7B05"/>
    <w:rsid w:val="004B0407"/>
    <w:rsid w:val="004B2489"/>
    <w:rsid w:val="004B2CD4"/>
    <w:rsid w:val="004B2DE9"/>
    <w:rsid w:val="004B31C5"/>
    <w:rsid w:val="004B525B"/>
    <w:rsid w:val="004B5D3A"/>
    <w:rsid w:val="004C0812"/>
    <w:rsid w:val="004C164B"/>
    <w:rsid w:val="004C1724"/>
    <w:rsid w:val="004C39E4"/>
    <w:rsid w:val="004C4514"/>
    <w:rsid w:val="004C5932"/>
    <w:rsid w:val="004C6C79"/>
    <w:rsid w:val="004C7579"/>
    <w:rsid w:val="004D0875"/>
    <w:rsid w:val="004D1068"/>
    <w:rsid w:val="004D1459"/>
    <w:rsid w:val="004D3A72"/>
    <w:rsid w:val="004D578E"/>
    <w:rsid w:val="004D7AEA"/>
    <w:rsid w:val="004E0156"/>
    <w:rsid w:val="004E1168"/>
    <w:rsid w:val="004E1604"/>
    <w:rsid w:val="004E282D"/>
    <w:rsid w:val="004E42F0"/>
    <w:rsid w:val="004E460E"/>
    <w:rsid w:val="004E4918"/>
    <w:rsid w:val="004E5EED"/>
    <w:rsid w:val="004E7A92"/>
    <w:rsid w:val="004F0470"/>
    <w:rsid w:val="004F2C1C"/>
    <w:rsid w:val="004F2C66"/>
    <w:rsid w:val="004F2F52"/>
    <w:rsid w:val="004F395E"/>
    <w:rsid w:val="004F5F8E"/>
    <w:rsid w:val="004F71C8"/>
    <w:rsid w:val="005011AB"/>
    <w:rsid w:val="00501511"/>
    <w:rsid w:val="00503E4B"/>
    <w:rsid w:val="00506033"/>
    <w:rsid w:val="005061A9"/>
    <w:rsid w:val="00511182"/>
    <w:rsid w:val="005154C4"/>
    <w:rsid w:val="00516F46"/>
    <w:rsid w:val="00520739"/>
    <w:rsid w:val="00520998"/>
    <w:rsid w:val="00520BE4"/>
    <w:rsid w:val="0052123C"/>
    <w:rsid w:val="00525CCE"/>
    <w:rsid w:val="0052626E"/>
    <w:rsid w:val="005272A9"/>
    <w:rsid w:val="00530307"/>
    <w:rsid w:val="00531622"/>
    <w:rsid w:val="00532AE1"/>
    <w:rsid w:val="005334CF"/>
    <w:rsid w:val="00534966"/>
    <w:rsid w:val="00535398"/>
    <w:rsid w:val="005355FE"/>
    <w:rsid w:val="00536D4E"/>
    <w:rsid w:val="00543F23"/>
    <w:rsid w:val="00544880"/>
    <w:rsid w:val="0054492C"/>
    <w:rsid w:val="00545745"/>
    <w:rsid w:val="00545959"/>
    <w:rsid w:val="005475F6"/>
    <w:rsid w:val="0054778D"/>
    <w:rsid w:val="0055037C"/>
    <w:rsid w:val="00550FED"/>
    <w:rsid w:val="0055356D"/>
    <w:rsid w:val="00553BB5"/>
    <w:rsid w:val="00553BD8"/>
    <w:rsid w:val="00553D55"/>
    <w:rsid w:val="005556BE"/>
    <w:rsid w:val="0055638C"/>
    <w:rsid w:val="00556E9C"/>
    <w:rsid w:val="00557126"/>
    <w:rsid w:val="0056204E"/>
    <w:rsid w:val="005647A3"/>
    <w:rsid w:val="00564B23"/>
    <w:rsid w:val="00566B92"/>
    <w:rsid w:val="00570599"/>
    <w:rsid w:val="00570BAE"/>
    <w:rsid w:val="00572FEE"/>
    <w:rsid w:val="0057334B"/>
    <w:rsid w:val="00575FF9"/>
    <w:rsid w:val="0057704D"/>
    <w:rsid w:val="00581B45"/>
    <w:rsid w:val="00583A20"/>
    <w:rsid w:val="00583DF1"/>
    <w:rsid w:val="00583E72"/>
    <w:rsid w:val="00585AB2"/>
    <w:rsid w:val="00587A77"/>
    <w:rsid w:val="00591B4C"/>
    <w:rsid w:val="0059299B"/>
    <w:rsid w:val="005938C4"/>
    <w:rsid w:val="00593FAC"/>
    <w:rsid w:val="0059410C"/>
    <w:rsid w:val="00595918"/>
    <w:rsid w:val="00596720"/>
    <w:rsid w:val="005974C7"/>
    <w:rsid w:val="00597A07"/>
    <w:rsid w:val="005A016A"/>
    <w:rsid w:val="005A4189"/>
    <w:rsid w:val="005A78B4"/>
    <w:rsid w:val="005B00EF"/>
    <w:rsid w:val="005B0E73"/>
    <w:rsid w:val="005B12A0"/>
    <w:rsid w:val="005B44A1"/>
    <w:rsid w:val="005B44C6"/>
    <w:rsid w:val="005B623C"/>
    <w:rsid w:val="005B6D2D"/>
    <w:rsid w:val="005B75E0"/>
    <w:rsid w:val="005C14EF"/>
    <w:rsid w:val="005C162E"/>
    <w:rsid w:val="005C28BA"/>
    <w:rsid w:val="005C58EF"/>
    <w:rsid w:val="005D0AA9"/>
    <w:rsid w:val="005D1694"/>
    <w:rsid w:val="005D1839"/>
    <w:rsid w:val="005D1F75"/>
    <w:rsid w:val="005D28FE"/>
    <w:rsid w:val="005D337F"/>
    <w:rsid w:val="005D3745"/>
    <w:rsid w:val="005D382A"/>
    <w:rsid w:val="005D386D"/>
    <w:rsid w:val="005D4FA6"/>
    <w:rsid w:val="005E1BDF"/>
    <w:rsid w:val="005E2E47"/>
    <w:rsid w:val="005E4970"/>
    <w:rsid w:val="005E58EC"/>
    <w:rsid w:val="005E6367"/>
    <w:rsid w:val="005E72F4"/>
    <w:rsid w:val="005F0ADB"/>
    <w:rsid w:val="005F0E08"/>
    <w:rsid w:val="005F0ED0"/>
    <w:rsid w:val="005F132F"/>
    <w:rsid w:val="005F1601"/>
    <w:rsid w:val="005F1BB3"/>
    <w:rsid w:val="005F29E0"/>
    <w:rsid w:val="005F2A97"/>
    <w:rsid w:val="005F42F3"/>
    <w:rsid w:val="005F4563"/>
    <w:rsid w:val="005F4A71"/>
    <w:rsid w:val="005F4E12"/>
    <w:rsid w:val="005F7C3A"/>
    <w:rsid w:val="005F7DE9"/>
    <w:rsid w:val="00602520"/>
    <w:rsid w:val="00602844"/>
    <w:rsid w:val="00603BBC"/>
    <w:rsid w:val="0060675F"/>
    <w:rsid w:val="006072D8"/>
    <w:rsid w:val="0060765E"/>
    <w:rsid w:val="00610030"/>
    <w:rsid w:val="00610330"/>
    <w:rsid w:val="00610592"/>
    <w:rsid w:val="0061223B"/>
    <w:rsid w:val="0061642F"/>
    <w:rsid w:val="00617128"/>
    <w:rsid w:val="00617954"/>
    <w:rsid w:val="0062249E"/>
    <w:rsid w:val="006241D9"/>
    <w:rsid w:val="00626CF3"/>
    <w:rsid w:val="00630C10"/>
    <w:rsid w:val="00631194"/>
    <w:rsid w:val="00631896"/>
    <w:rsid w:val="00632485"/>
    <w:rsid w:val="0063394F"/>
    <w:rsid w:val="00634464"/>
    <w:rsid w:val="006348E2"/>
    <w:rsid w:val="006362E2"/>
    <w:rsid w:val="00636857"/>
    <w:rsid w:val="00636983"/>
    <w:rsid w:val="00636CDF"/>
    <w:rsid w:val="006401A9"/>
    <w:rsid w:val="006428DF"/>
    <w:rsid w:val="00643B52"/>
    <w:rsid w:val="00650213"/>
    <w:rsid w:val="00650E60"/>
    <w:rsid w:val="00651350"/>
    <w:rsid w:val="00651E49"/>
    <w:rsid w:val="00654864"/>
    <w:rsid w:val="00654D2E"/>
    <w:rsid w:val="0065555F"/>
    <w:rsid w:val="0065572F"/>
    <w:rsid w:val="00655CC6"/>
    <w:rsid w:val="00656B58"/>
    <w:rsid w:val="00656C64"/>
    <w:rsid w:val="00656CED"/>
    <w:rsid w:val="00657258"/>
    <w:rsid w:val="00660C76"/>
    <w:rsid w:val="00660E58"/>
    <w:rsid w:val="00663598"/>
    <w:rsid w:val="006673A5"/>
    <w:rsid w:val="00667C5D"/>
    <w:rsid w:val="0067185D"/>
    <w:rsid w:val="00671A53"/>
    <w:rsid w:val="00671C95"/>
    <w:rsid w:val="0067381B"/>
    <w:rsid w:val="00674B6B"/>
    <w:rsid w:val="00675744"/>
    <w:rsid w:val="006776F5"/>
    <w:rsid w:val="006807D9"/>
    <w:rsid w:val="006817E4"/>
    <w:rsid w:val="00681EF5"/>
    <w:rsid w:val="0068371C"/>
    <w:rsid w:val="00685145"/>
    <w:rsid w:val="00685416"/>
    <w:rsid w:val="0069391F"/>
    <w:rsid w:val="00693B5B"/>
    <w:rsid w:val="00693C27"/>
    <w:rsid w:val="006942C0"/>
    <w:rsid w:val="00694677"/>
    <w:rsid w:val="006A48D2"/>
    <w:rsid w:val="006A5D54"/>
    <w:rsid w:val="006A7548"/>
    <w:rsid w:val="006A7684"/>
    <w:rsid w:val="006A7F20"/>
    <w:rsid w:val="006B0EF3"/>
    <w:rsid w:val="006B3036"/>
    <w:rsid w:val="006B30C8"/>
    <w:rsid w:val="006B3F53"/>
    <w:rsid w:val="006B4072"/>
    <w:rsid w:val="006B4708"/>
    <w:rsid w:val="006B4A45"/>
    <w:rsid w:val="006B5FC2"/>
    <w:rsid w:val="006B69CD"/>
    <w:rsid w:val="006C2AEB"/>
    <w:rsid w:val="006C3DCA"/>
    <w:rsid w:val="006C438F"/>
    <w:rsid w:val="006C51FC"/>
    <w:rsid w:val="006C614E"/>
    <w:rsid w:val="006D406A"/>
    <w:rsid w:val="006E30B2"/>
    <w:rsid w:val="006E3951"/>
    <w:rsid w:val="006E76E7"/>
    <w:rsid w:val="006E7B4F"/>
    <w:rsid w:val="006F059E"/>
    <w:rsid w:val="006F0F7F"/>
    <w:rsid w:val="006F68AD"/>
    <w:rsid w:val="006F6FD0"/>
    <w:rsid w:val="00700700"/>
    <w:rsid w:val="00701B1F"/>
    <w:rsid w:val="00702DB5"/>
    <w:rsid w:val="00703C13"/>
    <w:rsid w:val="007042B5"/>
    <w:rsid w:val="007047D0"/>
    <w:rsid w:val="007064BD"/>
    <w:rsid w:val="007079B6"/>
    <w:rsid w:val="007102E6"/>
    <w:rsid w:val="007104A5"/>
    <w:rsid w:val="00710F10"/>
    <w:rsid w:val="00716846"/>
    <w:rsid w:val="00716B97"/>
    <w:rsid w:val="007209AB"/>
    <w:rsid w:val="00720E2A"/>
    <w:rsid w:val="00721B43"/>
    <w:rsid w:val="00723E89"/>
    <w:rsid w:val="0072484C"/>
    <w:rsid w:val="00730AB0"/>
    <w:rsid w:val="007320E3"/>
    <w:rsid w:val="00733F7B"/>
    <w:rsid w:val="00734498"/>
    <w:rsid w:val="00736DFD"/>
    <w:rsid w:val="007371C3"/>
    <w:rsid w:val="00740DA0"/>
    <w:rsid w:val="00741A45"/>
    <w:rsid w:val="00744AAE"/>
    <w:rsid w:val="0074527F"/>
    <w:rsid w:val="00745DF1"/>
    <w:rsid w:val="007463F9"/>
    <w:rsid w:val="00747892"/>
    <w:rsid w:val="007508A8"/>
    <w:rsid w:val="00750F69"/>
    <w:rsid w:val="00751488"/>
    <w:rsid w:val="00752CEB"/>
    <w:rsid w:val="00754A17"/>
    <w:rsid w:val="00755A2B"/>
    <w:rsid w:val="00756EF5"/>
    <w:rsid w:val="00757B19"/>
    <w:rsid w:val="00757FA3"/>
    <w:rsid w:val="00761A0F"/>
    <w:rsid w:val="00761E17"/>
    <w:rsid w:val="00762DA5"/>
    <w:rsid w:val="00763EC4"/>
    <w:rsid w:val="00765709"/>
    <w:rsid w:val="00765FE6"/>
    <w:rsid w:val="007660C3"/>
    <w:rsid w:val="00767638"/>
    <w:rsid w:val="00771DCF"/>
    <w:rsid w:val="007720B9"/>
    <w:rsid w:val="00772407"/>
    <w:rsid w:val="007724D8"/>
    <w:rsid w:val="00773953"/>
    <w:rsid w:val="00773AEA"/>
    <w:rsid w:val="0077507C"/>
    <w:rsid w:val="00775241"/>
    <w:rsid w:val="007752F5"/>
    <w:rsid w:val="00775F25"/>
    <w:rsid w:val="00777B0E"/>
    <w:rsid w:val="00781A5F"/>
    <w:rsid w:val="007822F4"/>
    <w:rsid w:val="00783B88"/>
    <w:rsid w:val="00784E7E"/>
    <w:rsid w:val="0079069E"/>
    <w:rsid w:val="00790FC7"/>
    <w:rsid w:val="00791043"/>
    <w:rsid w:val="00793E1B"/>
    <w:rsid w:val="00795273"/>
    <w:rsid w:val="007954F3"/>
    <w:rsid w:val="0079653A"/>
    <w:rsid w:val="00797594"/>
    <w:rsid w:val="007A0763"/>
    <w:rsid w:val="007A17E2"/>
    <w:rsid w:val="007A1D68"/>
    <w:rsid w:val="007A2805"/>
    <w:rsid w:val="007A33CE"/>
    <w:rsid w:val="007A5CEA"/>
    <w:rsid w:val="007A6572"/>
    <w:rsid w:val="007A7C7C"/>
    <w:rsid w:val="007B01A5"/>
    <w:rsid w:val="007B0A53"/>
    <w:rsid w:val="007B116C"/>
    <w:rsid w:val="007B154D"/>
    <w:rsid w:val="007B1BC9"/>
    <w:rsid w:val="007B1D4A"/>
    <w:rsid w:val="007B2965"/>
    <w:rsid w:val="007B4BC2"/>
    <w:rsid w:val="007B502F"/>
    <w:rsid w:val="007B5E26"/>
    <w:rsid w:val="007B6C6D"/>
    <w:rsid w:val="007B7F37"/>
    <w:rsid w:val="007C4B1E"/>
    <w:rsid w:val="007C50AF"/>
    <w:rsid w:val="007C5CEB"/>
    <w:rsid w:val="007C61BC"/>
    <w:rsid w:val="007C6988"/>
    <w:rsid w:val="007C6F09"/>
    <w:rsid w:val="007C7760"/>
    <w:rsid w:val="007D6639"/>
    <w:rsid w:val="007D6A89"/>
    <w:rsid w:val="007D7642"/>
    <w:rsid w:val="007D7D06"/>
    <w:rsid w:val="007E1A7F"/>
    <w:rsid w:val="007E4A28"/>
    <w:rsid w:val="007E4C11"/>
    <w:rsid w:val="007E4E2F"/>
    <w:rsid w:val="007E6098"/>
    <w:rsid w:val="007E6373"/>
    <w:rsid w:val="007F085E"/>
    <w:rsid w:val="007F1078"/>
    <w:rsid w:val="007F2952"/>
    <w:rsid w:val="007F2E76"/>
    <w:rsid w:val="007F786C"/>
    <w:rsid w:val="007F78E7"/>
    <w:rsid w:val="00800164"/>
    <w:rsid w:val="00804E62"/>
    <w:rsid w:val="00804FB1"/>
    <w:rsid w:val="0080518B"/>
    <w:rsid w:val="00805344"/>
    <w:rsid w:val="00807F91"/>
    <w:rsid w:val="008100B1"/>
    <w:rsid w:val="0081273E"/>
    <w:rsid w:val="00813663"/>
    <w:rsid w:val="00814553"/>
    <w:rsid w:val="008146FD"/>
    <w:rsid w:val="00815A88"/>
    <w:rsid w:val="00815D1D"/>
    <w:rsid w:val="0081638D"/>
    <w:rsid w:val="008177EA"/>
    <w:rsid w:val="00820B29"/>
    <w:rsid w:val="00820FC7"/>
    <w:rsid w:val="0082137E"/>
    <w:rsid w:val="00822A44"/>
    <w:rsid w:val="00823456"/>
    <w:rsid w:val="00824C45"/>
    <w:rsid w:val="008260B8"/>
    <w:rsid w:val="0082617F"/>
    <w:rsid w:val="008263BD"/>
    <w:rsid w:val="00826E95"/>
    <w:rsid w:val="00827E8E"/>
    <w:rsid w:val="00830032"/>
    <w:rsid w:val="00830073"/>
    <w:rsid w:val="0083023B"/>
    <w:rsid w:val="00831CEA"/>
    <w:rsid w:val="00836822"/>
    <w:rsid w:val="00843701"/>
    <w:rsid w:val="00845195"/>
    <w:rsid w:val="00846516"/>
    <w:rsid w:val="00847123"/>
    <w:rsid w:val="00847433"/>
    <w:rsid w:val="0085124C"/>
    <w:rsid w:val="0085321B"/>
    <w:rsid w:val="0085532D"/>
    <w:rsid w:val="0085665F"/>
    <w:rsid w:val="0085692E"/>
    <w:rsid w:val="00857CA9"/>
    <w:rsid w:val="00861367"/>
    <w:rsid w:val="00862154"/>
    <w:rsid w:val="008625EA"/>
    <w:rsid w:val="0086329E"/>
    <w:rsid w:val="00863B0E"/>
    <w:rsid w:val="00864645"/>
    <w:rsid w:val="00865917"/>
    <w:rsid w:val="00865C14"/>
    <w:rsid w:val="00870C6B"/>
    <w:rsid w:val="0087118A"/>
    <w:rsid w:val="0087193F"/>
    <w:rsid w:val="00871D57"/>
    <w:rsid w:val="008728CA"/>
    <w:rsid w:val="00873665"/>
    <w:rsid w:val="00876703"/>
    <w:rsid w:val="00876FF4"/>
    <w:rsid w:val="00880111"/>
    <w:rsid w:val="008814DE"/>
    <w:rsid w:val="00882319"/>
    <w:rsid w:val="00883A7C"/>
    <w:rsid w:val="00885BB7"/>
    <w:rsid w:val="008870FA"/>
    <w:rsid w:val="00887BAB"/>
    <w:rsid w:val="008907D3"/>
    <w:rsid w:val="008910A0"/>
    <w:rsid w:val="00891A2F"/>
    <w:rsid w:val="00892037"/>
    <w:rsid w:val="008933BE"/>
    <w:rsid w:val="008946B2"/>
    <w:rsid w:val="0089612F"/>
    <w:rsid w:val="008A178F"/>
    <w:rsid w:val="008A3DBD"/>
    <w:rsid w:val="008A404B"/>
    <w:rsid w:val="008A587D"/>
    <w:rsid w:val="008A5CD4"/>
    <w:rsid w:val="008B0054"/>
    <w:rsid w:val="008B21B0"/>
    <w:rsid w:val="008B2528"/>
    <w:rsid w:val="008B4361"/>
    <w:rsid w:val="008B4F93"/>
    <w:rsid w:val="008B5810"/>
    <w:rsid w:val="008B6480"/>
    <w:rsid w:val="008B6848"/>
    <w:rsid w:val="008B6898"/>
    <w:rsid w:val="008C09FF"/>
    <w:rsid w:val="008C1271"/>
    <w:rsid w:val="008C1985"/>
    <w:rsid w:val="008C3B64"/>
    <w:rsid w:val="008C4ED4"/>
    <w:rsid w:val="008C5187"/>
    <w:rsid w:val="008D0288"/>
    <w:rsid w:val="008D0B1B"/>
    <w:rsid w:val="008D0C20"/>
    <w:rsid w:val="008D322C"/>
    <w:rsid w:val="008D6EFF"/>
    <w:rsid w:val="008D799F"/>
    <w:rsid w:val="008E0058"/>
    <w:rsid w:val="008E0A3A"/>
    <w:rsid w:val="008E0F18"/>
    <w:rsid w:val="008E161C"/>
    <w:rsid w:val="008E2176"/>
    <w:rsid w:val="008E228B"/>
    <w:rsid w:val="008E22F6"/>
    <w:rsid w:val="008E3063"/>
    <w:rsid w:val="008E48C6"/>
    <w:rsid w:val="008E501B"/>
    <w:rsid w:val="008E5770"/>
    <w:rsid w:val="008E5B73"/>
    <w:rsid w:val="008F1B59"/>
    <w:rsid w:val="008F39F7"/>
    <w:rsid w:val="008F45F0"/>
    <w:rsid w:val="008F46B3"/>
    <w:rsid w:val="008F6217"/>
    <w:rsid w:val="008F6424"/>
    <w:rsid w:val="008F6EDB"/>
    <w:rsid w:val="008F790B"/>
    <w:rsid w:val="00900FEA"/>
    <w:rsid w:val="00901E2E"/>
    <w:rsid w:val="00902CF2"/>
    <w:rsid w:val="00902EFA"/>
    <w:rsid w:val="00905539"/>
    <w:rsid w:val="00906CE3"/>
    <w:rsid w:val="00906D85"/>
    <w:rsid w:val="00907744"/>
    <w:rsid w:val="00910127"/>
    <w:rsid w:val="009110CF"/>
    <w:rsid w:val="00912902"/>
    <w:rsid w:val="00912DAA"/>
    <w:rsid w:val="00912F4F"/>
    <w:rsid w:val="009138C2"/>
    <w:rsid w:val="00914254"/>
    <w:rsid w:val="00914479"/>
    <w:rsid w:val="0091677D"/>
    <w:rsid w:val="00916F37"/>
    <w:rsid w:val="00917FAF"/>
    <w:rsid w:val="00921FC4"/>
    <w:rsid w:val="009307F0"/>
    <w:rsid w:val="00931B0E"/>
    <w:rsid w:val="00933C93"/>
    <w:rsid w:val="009370BC"/>
    <w:rsid w:val="00944B5C"/>
    <w:rsid w:val="00945EBF"/>
    <w:rsid w:val="00946D61"/>
    <w:rsid w:val="00947B91"/>
    <w:rsid w:val="009506E9"/>
    <w:rsid w:val="0095088E"/>
    <w:rsid w:val="00950F66"/>
    <w:rsid w:val="00953382"/>
    <w:rsid w:val="00953F58"/>
    <w:rsid w:val="0095482D"/>
    <w:rsid w:val="00955112"/>
    <w:rsid w:val="0095548E"/>
    <w:rsid w:val="00956B1E"/>
    <w:rsid w:val="00960E76"/>
    <w:rsid w:val="009622D8"/>
    <w:rsid w:val="00962E34"/>
    <w:rsid w:val="009671C3"/>
    <w:rsid w:val="00970888"/>
    <w:rsid w:val="009710FC"/>
    <w:rsid w:val="009720CE"/>
    <w:rsid w:val="009729F0"/>
    <w:rsid w:val="009751C1"/>
    <w:rsid w:val="009770BC"/>
    <w:rsid w:val="009805CC"/>
    <w:rsid w:val="0098088E"/>
    <w:rsid w:val="0098157E"/>
    <w:rsid w:val="00983900"/>
    <w:rsid w:val="00983F48"/>
    <w:rsid w:val="00985608"/>
    <w:rsid w:val="0098789F"/>
    <w:rsid w:val="00987C6D"/>
    <w:rsid w:val="0099006D"/>
    <w:rsid w:val="0099084D"/>
    <w:rsid w:val="00990E9A"/>
    <w:rsid w:val="009923F7"/>
    <w:rsid w:val="00992CFA"/>
    <w:rsid w:val="00993371"/>
    <w:rsid w:val="009940DF"/>
    <w:rsid w:val="0099659E"/>
    <w:rsid w:val="009A0506"/>
    <w:rsid w:val="009A05FC"/>
    <w:rsid w:val="009A139C"/>
    <w:rsid w:val="009A23A6"/>
    <w:rsid w:val="009A3DF5"/>
    <w:rsid w:val="009A487E"/>
    <w:rsid w:val="009A546E"/>
    <w:rsid w:val="009A5DF6"/>
    <w:rsid w:val="009A5E93"/>
    <w:rsid w:val="009A63C6"/>
    <w:rsid w:val="009A6496"/>
    <w:rsid w:val="009B00F0"/>
    <w:rsid w:val="009B123D"/>
    <w:rsid w:val="009B1A3C"/>
    <w:rsid w:val="009B2E18"/>
    <w:rsid w:val="009B33EA"/>
    <w:rsid w:val="009B465D"/>
    <w:rsid w:val="009B585E"/>
    <w:rsid w:val="009B5C24"/>
    <w:rsid w:val="009B5F9C"/>
    <w:rsid w:val="009B60F4"/>
    <w:rsid w:val="009B70B8"/>
    <w:rsid w:val="009C125C"/>
    <w:rsid w:val="009C1BA1"/>
    <w:rsid w:val="009C1D73"/>
    <w:rsid w:val="009C3267"/>
    <w:rsid w:val="009C36B9"/>
    <w:rsid w:val="009C70CC"/>
    <w:rsid w:val="009D234D"/>
    <w:rsid w:val="009D3DF6"/>
    <w:rsid w:val="009D5A43"/>
    <w:rsid w:val="009D7831"/>
    <w:rsid w:val="009D7B59"/>
    <w:rsid w:val="009E198B"/>
    <w:rsid w:val="009E2C14"/>
    <w:rsid w:val="009E433C"/>
    <w:rsid w:val="009E4344"/>
    <w:rsid w:val="009E75CA"/>
    <w:rsid w:val="009E79AD"/>
    <w:rsid w:val="009F05C0"/>
    <w:rsid w:val="009F11D2"/>
    <w:rsid w:val="009F189E"/>
    <w:rsid w:val="009F206F"/>
    <w:rsid w:val="009F2968"/>
    <w:rsid w:val="009F361D"/>
    <w:rsid w:val="009F40D9"/>
    <w:rsid w:val="009F4B44"/>
    <w:rsid w:val="009F4C1E"/>
    <w:rsid w:val="009F4C9B"/>
    <w:rsid w:val="009F5660"/>
    <w:rsid w:val="009F7FC0"/>
    <w:rsid w:val="00A014A4"/>
    <w:rsid w:val="00A01E63"/>
    <w:rsid w:val="00A054FC"/>
    <w:rsid w:val="00A10069"/>
    <w:rsid w:val="00A10558"/>
    <w:rsid w:val="00A10F8E"/>
    <w:rsid w:val="00A11250"/>
    <w:rsid w:val="00A116D6"/>
    <w:rsid w:val="00A11E0A"/>
    <w:rsid w:val="00A136ED"/>
    <w:rsid w:val="00A15293"/>
    <w:rsid w:val="00A17CDE"/>
    <w:rsid w:val="00A17D47"/>
    <w:rsid w:val="00A20356"/>
    <w:rsid w:val="00A20833"/>
    <w:rsid w:val="00A209E9"/>
    <w:rsid w:val="00A2128F"/>
    <w:rsid w:val="00A23803"/>
    <w:rsid w:val="00A27CFC"/>
    <w:rsid w:val="00A30A64"/>
    <w:rsid w:val="00A32AE0"/>
    <w:rsid w:val="00A35038"/>
    <w:rsid w:val="00A35A1C"/>
    <w:rsid w:val="00A37966"/>
    <w:rsid w:val="00A37E05"/>
    <w:rsid w:val="00A41EB8"/>
    <w:rsid w:val="00A43E09"/>
    <w:rsid w:val="00A4491B"/>
    <w:rsid w:val="00A46112"/>
    <w:rsid w:val="00A46234"/>
    <w:rsid w:val="00A46282"/>
    <w:rsid w:val="00A46C20"/>
    <w:rsid w:val="00A4763A"/>
    <w:rsid w:val="00A47867"/>
    <w:rsid w:val="00A504E3"/>
    <w:rsid w:val="00A52460"/>
    <w:rsid w:val="00A5408E"/>
    <w:rsid w:val="00A54F6C"/>
    <w:rsid w:val="00A54FB2"/>
    <w:rsid w:val="00A5599F"/>
    <w:rsid w:val="00A55BE0"/>
    <w:rsid w:val="00A577F6"/>
    <w:rsid w:val="00A57A5C"/>
    <w:rsid w:val="00A57C36"/>
    <w:rsid w:val="00A57CE2"/>
    <w:rsid w:val="00A64818"/>
    <w:rsid w:val="00A65118"/>
    <w:rsid w:val="00A70BCB"/>
    <w:rsid w:val="00A70CCE"/>
    <w:rsid w:val="00A71423"/>
    <w:rsid w:val="00A71B70"/>
    <w:rsid w:val="00A73F4D"/>
    <w:rsid w:val="00A74DC4"/>
    <w:rsid w:val="00A754C0"/>
    <w:rsid w:val="00A75518"/>
    <w:rsid w:val="00A826F8"/>
    <w:rsid w:val="00A847A9"/>
    <w:rsid w:val="00A862CC"/>
    <w:rsid w:val="00A86E8C"/>
    <w:rsid w:val="00A90365"/>
    <w:rsid w:val="00A9326D"/>
    <w:rsid w:val="00A93FAA"/>
    <w:rsid w:val="00A959CF"/>
    <w:rsid w:val="00A95DD7"/>
    <w:rsid w:val="00A9705D"/>
    <w:rsid w:val="00A976F9"/>
    <w:rsid w:val="00A97CF5"/>
    <w:rsid w:val="00AA17F6"/>
    <w:rsid w:val="00AA2A6A"/>
    <w:rsid w:val="00AA3399"/>
    <w:rsid w:val="00AA3C47"/>
    <w:rsid w:val="00AA4523"/>
    <w:rsid w:val="00AA4CAB"/>
    <w:rsid w:val="00AA5AF5"/>
    <w:rsid w:val="00AA6915"/>
    <w:rsid w:val="00AA7FCA"/>
    <w:rsid w:val="00AB0AF4"/>
    <w:rsid w:val="00AB0B40"/>
    <w:rsid w:val="00AB16CC"/>
    <w:rsid w:val="00AB2C8A"/>
    <w:rsid w:val="00AB322F"/>
    <w:rsid w:val="00AB3A4D"/>
    <w:rsid w:val="00AB70C3"/>
    <w:rsid w:val="00AB76EB"/>
    <w:rsid w:val="00AB7FA1"/>
    <w:rsid w:val="00AC18EE"/>
    <w:rsid w:val="00AC46F5"/>
    <w:rsid w:val="00AC6AD1"/>
    <w:rsid w:val="00AC7E45"/>
    <w:rsid w:val="00AD0A67"/>
    <w:rsid w:val="00AD1141"/>
    <w:rsid w:val="00AD271B"/>
    <w:rsid w:val="00AD4FE7"/>
    <w:rsid w:val="00AD5717"/>
    <w:rsid w:val="00AD5FE4"/>
    <w:rsid w:val="00AE1AE6"/>
    <w:rsid w:val="00AE264B"/>
    <w:rsid w:val="00AE2815"/>
    <w:rsid w:val="00AE34A4"/>
    <w:rsid w:val="00AE3F42"/>
    <w:rsid w:val="00AE400C"/>
    <w:rsid w:val="00AE41EF"/>
    <w:rsid w:val="00AE4596"/>
    <w:rsid w:val="00AE57EF"/>
    <w:rsid w:val="00AE6393"/>
    <w:rsid w:val="00AE71E8"/>
    <w:rsid w:val="00AE7846"/>
    <w:rsid w:val="00AE7F3F"/>
    <w:rsid w:val="00AF2EDC"/>
    <w:rsid w:val="00AF4DAD"/>
    <w:rsid w:val="00AF6FFF"/>
    <w:rsid w:val="00AF7667"/>
    <w:rsid w:val="00B012F4"/>
    <w:rsid w:val="00B0276C"/>
    <w:rsid w:val="00B02A00"/>
    <w:rsid w:val="00B05D4A"/>
    <w:rsid w:val="00B07A64"/>
    <w:rsid w:val="00B07AAB"/>
    <w:rsid w:val="00B07B45"/>
    <w:rsid w:val="00B12204"/>
    <w:rsid w:val="00B12654"/>
    <w:rsid w:val="00B135B9"/>
    <w:rsid w:val="00B13DA1"/>
    <w:rsid w:val="00B13F37"/>
    <w:rsid w:val="00B157DA"/>
    <w:rsid w:val="00B171B4"/>
    <w:rsid w:val="00B172A4"/>
    <w:rsid w:val="00B17709"/>
    <w:rsid w:val="00B17B54"/>
    <w:rsid w:val="00B20B7E"/>
    <w:rsid w:val="00B20C40"/>
    <w:rsid w:val="00B21F80"/>
    <w:rsid w:val="00B2221F"/>
    <w:rsid w:val="00B22F65"/>
    <w:rsid w:val="00B244C1"/>
    <w:rsid w:val="00B24ACB"/>
    <w:rsid w:val="00B25D41"/>
    <w:rsid w:val="00B2670F"/>
    <w:rsid w:val="00B276BF"/>
    <w:rsid w:val="00B31738"/>
    <w:rsid w:val="00B32074"/>
    <w:rsid w:val="00B3265A"/>
    <w:rsid w:val="00B32888"/>
    <w:rsid w:val="00B330AA"/>
    <w:rsid w:val="00B3383F"/>
    <w:rsid w:val="00B36012"/>
    <w:rsid w:val="00B432CE"/>
    <w:rsid w:val="00B445C4"/>
    <w:rsid w:val="00B4590C"/>
    <w:rsid w:val="00B50748"/>
    <w:rsid w:val="00B51678"/>
    <w:rsid w:val="00B53985"/>
    <w:rsid w:val="00B558B3"/>
    <w:rsid w:val="00B566C6"/>
    <w:rsid w:val="00B567B0"/>
    <w:rsid w:val="00B56BA3"/>
    <w:rsid w:val="00B60C1D"/>
    <w:rsid w:val="00B61D29"/>
    <w:rsid w:val="00B632E3"/>
    <w:rsid w:val="00B63DAE"/>
    <w:rsid w:val="00B63DF8"/>
    <w:rsid w:val="00B6518C"/>
    <w:rsid w:val="00B65FAF"/>
    <w:rsid w:val="00B676F0"/>
    <w:rsid w:val="00B70449"/>
    <w:rsid w:val="00B70F5B"/>
    <w:rsid w:val="00B71470"/>
    <w:rsid w:val="00B71B10"/>
    <w:rsid w:val="00B71C2B"/>
    <w:rsid w:val="00B7312C"/>
    <w:rsid w:val="00B73955"/>
    <w:rsid w:val="00B7487E"/>
    <w:rsid w:val="00B74F75"/>
    <w:rsid w:val="00B76175"/>
    <w:rsid w:val="00B76430"/>
    <w:rsid w:val="00B7653E"/>
    <w:rsid w:val="00B7696C"/>
    <w:rsid w:val="00B76ACE"/>
    <w:rsid w:val="00B8176A"/>
    <w:rsid w:val="00B82F4E"/>
    <w:rsid w:val="00B839C9"/>
    <w:rsid w:val="00B8481D"/>
    <w:rsid w:val="00B84B6C"/>
    <w:rsid w:val="00B857F8"/>
    <w:rsid w:val="00B85ACE"/>
    <w:rsid w:val="00B9026A"/>
    <w:rsid w:val="00B9123F"/>
    <w:rsid w:val="00B92E5B"/>
    <w:rsid w:val="00B93069"/>
    <w:rsid w:val="00B95DF8"/>
    <w:rsid w:val="00B968BE"/>
    <w:rsid w:val="00B96B45"/>
    <w:rsid w:val="00B977CB"/>
    <w:rsid w:val="00B978BE"/>
    <w:rsid w:val="00BA30EB"/>
    <w:rsid w:val="00BA3C3D"/>
    <w:rsid w:val="00BA53A6"/>
    <w:rsid w:val="00BA6019"/>
    <w:rsid w:val="00BB064D"/>
    <w:rsid w:val="00BB1AAA"/>
    <w:rsid w:val="00BC1304"/>
    <w:rsid w:val="00BC1DBB"/>
    <w:rsid w:val="00BC49B7"/>
    <w:rsid w:val="00BC514F"/>
    <w:rsid w:val="00BC705F"/>
    <w:rsid w:val="00BC7199"/>
    <w:rsid w:val="00BD00E4"/>
    <w:rsid w:val="00BD18CC"/>
    <w:rsid w:val="00BD29F5"/>
    <w:rsid w:val="00BD34EC"/>
    <w:rsid w:val="00BD376E"/>
    <w:rsid w:val="00BD3B8A"/>
    <w:rsid w:val="00BD3F7C"/>
    <w:rsid w:val="00BD4FFC"/>
    <w:rsid w:val="00BD5A84"/>
    <w:rsid w:val="00BD5D9E"/>
    <w:rsid w:val="00BD6C17"/>
    <w:rsid w:val="00BD6D63"/>
    <w:rsid w:val="00BD70DA"/>
    <w:rsid w:val="00BD71B8"/>
    <w:rsid w:val="00BE053B"/>
    <w:rsid w:val="00BE0B2E"/>
    <w:rsid w:val="00BE22C8"/>
    <w:rsid w:val="00BE3675"/>
    <w:rsid w:val="00BE5293"/>
    <w:rsid w:val="00BE6615"/>
    <w:rsid w:val="00BE678D"/>
    <w:rsid w:val="00BF1750"/>
    <w:rsid w:val="00BF1AF5"/>
    <w:rsid w:val="00BF1E19"/>
    <w:rsid w:val="00BF364A"/>
    <w:rsid w:val="00BF36C5"/>
    <w:rsid w:val="00BF49D2"/>
    <w:rsid w:val="00BF5B77"/>
    <w:rsid w:val="00C02DF4"/>
    <w:rsid w:val="00C02FE7"/>
    <w:rsid w:val="00C04EE0"/>
    <w:rsid w:val="00C1029F"/>
    <w:rsid w:val="00C10AD3"/>
    <w:rsid w:val="00C1108E"/>
    <w:rsid w:val="00C11414"/>
    <w:rsid w:val="00C11C6F"/>
    <w:rsid w:val="00C134EB"/>
    <w:rsid w:val="00C1441B"/>
    <w:rsid w:val="00C14566"/>
    <w:rsid w:val="00C14BCC"/>
    <w:rsid w:val="00C17194"/>
    <w:rsid w:val="00C172C7"/>
    <w:rsid w:val="00C20298"/>
    <w:rsid w:val="00C212F0"/>
    <w:rsid w:val="00C2155E"/>
    <w:rsid w:val="00C23312"/>
    <w:rsid w:val="00C27820"/>
    <w:rsid w:val="00C2782A"/>
    <w:rsid w:val="00C27FFB"/>
    <w:rsid w:val="00C3001C"/>
    <w:rsid w:val="00C300E4"/>
    <w:rsid w:val="00C316AE"/>
    <w:rsid w:val="00C31AC1"/>
    <w:rsid w:val="00C32095"/>
    <w:rsid w:val="00C32EBF"/>
    <w:rsid w:val="00C32EF5"/>
    <w:rsid w:val="00C34B35"/>
    <w:rsid w:val="00C44A40"/>
    <w:rsid w:val="00C458A3"/>
    <w:rsid w:val="00C50938"/>
    <w:rsid w:val="00C51DB5"/>
    <w:rsid w:val="00C52746"/>
    <w:rsid w:val="00C54DB6"/>
    <w:rsid w:val="00C55D7B"/>
    <w:rsid w:val="00C60F4C"/>
    <w:rsid w:val="00C6145C"/>
    <w:rsid w:val="00C61768"/>
    <w:rsid w:val="00C6216D"/>
    <w:rsid w:val="00C63437"/>
    <w:rsid w:val="00C63D89"/>
    <w:rsid w:val="00C646D6"/>
    <w:rsid w:val="00C654D8"/>
    <w:rsid w:val="00C705B4"/>
    <w:rsid w:val="00C70D44"/>
    <w:rsid w:val="00C724C1"/>
    <w:rsid w:val="00C7291D"/>
    <w:rsid w:val="00C72B74"/>
    <w:rsid w:val="00C73337"/>
    <w:rsid w:val="00C77E05"/>
    <w:rsid w:val="00C81B9B"/>
    <w:rsid w:val="00C822BE"/>
    <w:rsid w:val="00C84332"/>
    <w:rsid w:val="00C853ED"/>
    <w:rsid w:val="00C86323"/>
    <w:rsid w:val="00C86B2E"/>
    <w:rsid w:val="00C91207"/>
    <w:rsid w:val="00C92CC2"/>
    <w:rsid w:val="00C92FEA"/>
    <w:rsid w:val="00C9331C"/>
    <w:rsid w:val="00C961FB"/>
    <w:rsid w:val="00C969AA"/>
    <w:rsid w:val="00C97704"/>
    <w:rsid w:val="00C97A6B"/>
    <w:rsid w:val="00CA2024"/>
    <w:rsid w:val="00CA3A3E"/>
    <w:rsid w:val="00CA5A09"/>
    <w:rsid w:val="00CA5A95"/>
    <w:rsid w:val="00CB2700"/>
    <w:rsid w:val="00CB4139"/>
    <w:rsid w:val="00CB4AE2"/>
    <w:rsid w:val="00CC6B0A"/>
    <w:rsid w:val="00CC7FA5"/>
    <w:rsid w:val="00CD0251"/>
    <w:rsid w:val="00CD2622"/>
    <w:rsid w:val="00CD277F"/>
    <w:rsid w:val="00CD30B0"/>
    <w:rsid w:val="00CD36DB"/>
    <w:rsid w:val="00CD6172"/>
    <w:rsid w:val="00CD6AEF"/>
    <w:rsid w:val="00CE03C9"/>
    <w:rsid w:val="00CE1BD9"/>
    <w:rsid w:val="00CE302C"/>
    <w:rsid w:val="00CE4AD9"/>
    <w:rsid w:val="00CE5257"/>
    <w:rsid w:val="00CE746E"/>
    <w:rsid w:val="00CE7EAF"/>
    <w:rsid w:val="00CF35FB"/>
    <w:rsid w:val="00CF4D53"/>
    <w:rsid w:val="00CF509A"/>
    <w:rsid w:val="00CF5213"/>
    <w:rsid w:val="00CF77BE"/>
    <w:rsid w:val="00CF7EDA"/>
    <w:rsid w:val="00D000D2"/>
    <w:rsid w:val="00D004CB"/>
    <w:rsid w:val="00D0154E"/>
    <w:rsid w:val="00D01756"/>
    <w:rsid w:val="00D019ED"/>
    <w:rsid w:val="00D01F67"/>
    <w:rsid w:val="00D038B5"/>
    <w:rsid w:val="00D04920"/>
    <w:rsid w:val="00D055C6"/>
    <w:rsid w:val="00D05DCD"/>
    <w:rsid w:val="00D11366"/>
    <w:rsid w:val="00D115E5"/>
    <w:rsid w:val="00D13FF0"/>
    <w:rsid w:val="00D1497C"/>
    <w:rsid w:val="00D17B65"/>
    <w:rsid w:val="00D2058D"/>
    <w:rsid w:val="00D205D1"/>
    <w:rsid w:val="00D2129E"/>
    <w:rsid w:val="00D22124"/>
    <w:rsid w:val="00D226AF"/>
    <w:rsid w:val="00D242A5"/>
    <w:rsid w:val="00D24EA1"/>
    <w:rsid w:val="00D25A4A"/>
    <w:rsid w:val="00D26817"/>
    <w:rsid w:val="00D26871"/>
    <w:rsid w:val="00D26B19"/>
    <w:rsid w:val="00D27450"/>
    <w:rsid w:val="00D27D84"/>
    <w:rsid w:val="00D310A5"/>
    <w:rsid w:val="00D3287F"/>
    <w:rsid w:val="00D32EDD"/>
    <w:rsid w:val="00D33EB9"/>
    <w:rsid w:val="00D34F61"/>
    <w:rsid w:val="00D36819"/>
    <w:rsid w:val="00D37927"/>
    <w:rsid w:val="00D37B8A"/>
    <w:rsid w:val="00D4017F"/>
    <w:rsid w:val="00D4053E"/>
    <w:rsid w:val="00D406F1"/>
    <w:rsid w:val="00D423F0"/>
    <w:rsid w:val="00D44089"/>
    <w:rsid w:val="00D45364"/>
    <w:rsid w:val="00D4545D"/>
    <w:rsid w:val="00D47BD1"/>
    <w:rsid w:val="00D5000D"/>
    <w:rsid w:val="00D51DD4"/>
    <w:rsid w:val="00D54A62"/>
    <w:rsid w:val="00D55125"/>
    <w:rsid w:val="00D55160"/>
    <w:rsid w:val="00D57681"/>
    <w:rsid w:val="00D602DE"/>
    <w:rsid w:val="00D60DEF"/>
    <w:rsid w:val="00D616D2"/>
    <w:rsid w:val="00D619A1"/>
    <w:rsid w:val="00D6360A"/>
    <w:rsid w:val="00D63EDF"/>
    <w:rsid w:val="00D6448F"/>
    <w:rsid w:val="00D65182"/>
    <w:rsid w:val="00D67393"/>
    <w:rsid w:val="00D677D7"/>
    <w:rsid w:val="00D67B69"/>
    <w:rsid w:val="00D7256E"/>
    <w:rsid w:val="00D72629"/>
    <w:rsid w:val="00D732D9"/>
    <w:rsid w:val="00D74F0F"/>
    <w:rsid w:val="00D7538C"/>
    <w:rsid w:val="00D76296"/>
    <w:rsid w:val="00D76509"/>
    <w:rsid w:val="00D76729"/>
    <w:rsid w:val="00D77022"/>
    <w:rsid w:val="00D775FD"/>
    <w:rsid w:val="00D777F2"/>
    <w:rsid w:val="00D77816"/>
    <w:rsid w:val="00D77AFD"/>
    <w:rsid w:val="00D80C44"/>
    <w:rsid w:val="00D814D5"/>
    <w:rsid w:val="00D82221"/>
    <w:rsid w:val="00D82516"/>
    <w:rsid w:val="00D8283B"/>
    <w:rsid w:val="00D83172"/>
    <w:rsid w:val="00D83976"/>
    <w:rsid w:val="00D83E49"/>
    <w:rsid w:val="00D90352"/>
    <w:rsid w:val="00D91135"/>
    <w:rsid w:val="00D92873"/>
    <w:rsid w:val="00D9298C"/>
    <w:rsid w:val="00D92A52"/>
    <w:rsid w:val="00D938B0"/>
    <w:rsid w:val="00D95EE6"/>
    <w:rsid w:val="00D97981"/>
    <w:rsid w:val="00DA0169"/>
    <w:rsid w:val="00DA34AE"/>
    <w:rsid w:val="00DA4F8B"/>
    <w:rsid w:val="00DA643E"/>
    <w:rsid w:val="00DA7E61"/>
    <w:rsid w:val="00DB5B91"/>
    <w:rsid w:val="00DB6F66"/>
    <w:rsid w:val="00DB7689"/>
    <w:rsid w:val="00DC0619"/>
    <w:rsid w:val="00DC07BC"/>
    <w:rsid w:val="00DC15E4"/>
    <w:rsid w:val="00DC253B"/>
    <w:rsid w:val="00DC302D"/>
    <w:rsid w:val="00DC3DC4"/>
    <w:rsid w:val="00DC4BBA"/>
    <w:rsid w:val="00DC5C89"/>
    <w:rsid w:val="00DC6137"/>
    <w:rsid w:val="00DC7150"/>
    <w:rsid w:val="00DC761E"/>
    <w:rsid w:val="00DD19AA"/>
    <w:rsid w:val="00DD2BE1"/>
    <w:rsid w:val="00DD402F"/>
    <w:rsid w:val="00DD4EAC"/>
    <w:rsid w:val="00DD55A4"/>
    <w:rsid w:val="00DD65FF"/>
    <w:rsid w:val="00DD7146"/>
    <w:rsid w:val="00DD72B9"/>
    <w:rsid w:val="00DD7C13"/>
    <w:rsid w:val="00DE0999"/>
    <w:rsid w:val="00DE103A"/>
    <w:rsid w:val="00DE1FB4"/>
    <w:rsid w:val="00DE3495"/>
    <w:rsid w:val="00DE5BD7"/>
    <w:rsid w:val="00DE6768"/>
    <w:rsid w:val="00DE70FC"/>
    <w:rsid w:val="00DF08B3"/>
    <w:rsid w:val="00DF0966"/>
    <w:rsid w:val="00DF0C36"/>
    <w:rsid w:val="00DF10E0"/>
    <w:rsid w:val="00DF2C83"/>
    <w:rsid w:val="00DF3D8D"/>
    <w:rsid w:val="00DF4137"/>
    <w:rsid w:val="00DF5162"/>
    <w:rsid w:val="00DF5755"/>
    <w:rsid w:val="00DF5C8C"/>
    <w:rsid w:val="00DF767A"/>
    <w:rsid w:val="00E0223E"/>
    <w:rsid w:val="00E0233B"/>
    <w:rsid w:val="00E02DA9"/>
    <w:rsid w:val="00E03A8C"/>
    <w:rsid w:val="00E04BFA"/>
    <w:rsid w:val="00E05B54"/>
    <w:rsid w:val="00E05D48"/>
    <w:rsid w:val="00E05E16"/>
    <w:rsid w:val="00E0685F"/>
    <w:rsid w:val="00E11847"/>
    <w:rsid w:val="00E12F6B"/>
    <w:rsid w:val="00E13804"/>
    <w:rsid w:val="00E13E76"/>
    <w:rsid w:val="00E16489"/>
    <w:rsid w:val="00E20F97"/>
    <w:rsid w:val="00E24695"/>
    <w:rsid w:val="00E26C5F"/>
    <w:rsid w:val="00E304A2"/>
    <w:rsid w:val="00E3105C"/>
    <w:rsid w:val="00E312A5"/>
    <w:rsid w:val="00E360C4"/>
    <w:rsid w:val="00E37050"/>
    <w:rsid w:val="00E448C3"/>
    <w:rsid w:val="00E44FC8"/>
    <w:rsid w:val="00E4569E"/>
    <w:rsid w:val="00E502C6"/>
    <w:rsid w:val="00E521B2"/>
    <w:rsid w:val="00E5220B"/>
    <w:rsid w:val="00E52C85"/>
    <w:rsid w:val="00E52EB2"/>
    <w:rsid w:val="00E5371C"/>
    <w:rsid w:val="00E53F06"/>
    <w:rsid w:val="00E55E1E"/>
    <w:rsid w:val="00E56F1D"/>
    <w:rsid w:val="00E5743B"/>
    <w:rsid w:val="00E634FB"/>
    <w:rsid w:val="00E63993"/>
    <w:rsid w:val="00E64E91"/>
    <w:rsid w:val="00E66D15"/>
    <w:rsid w:val="00E70E9D"/>
    <w:rsid w:val="00E71E7F"/>
    <w:rsid w:val="00E72E6B"/>
    <w:rsid w:val="00E73DF6"/>
    <w:rsid w:val="00E76C1C"/>
    <w:rsid w:val="00E76E33"/>
    <w:rsid w:val="00E8071D"/>
    <w:rsid w:val="00E8198F"/>
    <w:rsid w:val="00E8288A"/>
    <w:rsid w:val="00E842F5"/>
    <w:rsid w:val="00E855BD"/>
    <w:rsid w:val="00E86E6B"/>
    <w:rsid w:val="00E915D3"/>
    <w:rsid w:val="00E92246"/>
    <w:rsid w:val="00E92A51"/>
    <w:rsid w:val="00E9372E"/>
    <w:rsid w:val="00E94626"/>
    <w:rsid w:val="00E95DC2"/>
    <w:rsid w:val="00E96A1A"/>
    <w:rsid w:val="00E96DD2"/>
    <w:rsid w:val="00E97787"/>
    <w:rsid w:val="00EA1387"/>
    <w:rsid w:val="00EB1BB7"/>
    <w:rsid w:val="00EB293C"/>
    <w:rsid w:val="00EB3E51"/>
    <w:rsid w:val="00EB4D7B"/>
    <w:rsid w:val="00EB56A4"/>
    <w:rsid w:val="00EB607C"/>
    <w:rsid w:val="00EB662B"/>
    <w:rsid w:val="00EC14F4"/>
    <w:rsid w:val="00EC3CD3"/>
    <w:rsid w:val="00EC50D5"/>
    <w:rsid w:val="00EC5B15"/>
    <w:rsid w:val="00ED085A"/>
    <w:rsid w:val="00ED18C9"/>
    <w:rsid w:val="00ED2FC2"/>
    <w:rsid w:val="00ED3B53"/>
    <w:rsid w:val="00ED5537"/>
    <w:rsid w:val="00ED590D"/>
    <w:rsid w:val="00ED61EC"/>
    <w:rsid w:val="00ED67CE"/>
    <w:rsid w:val="00ED6E5E"/>
    <w:rsid w:val="00EE0F0F"/>
    <w:rsid w:val="00EE16A2"/>
    <w:rsid w:val="00EE19D5"/>
    <w:rsid w:val="00EE4A75"/>
    <w:rsid w:val="00EE4AE0"/>
    <w:rsid w:val="00EE4C2E"/>
    <w:rsid w:val="00EE4E75"/>
    <w:rsid w:val="00EE6889"/>
    <w:rsid w:val="00EF0A26"/>
    <w:rsid w:val="00EF0FDE"/>
    <w:rsid w:val="00EF185C"/>
    <w:rsid w:val="00EF232E"/>
    <w:rsid w:val="00EF28C8"/>
    <w:rsid w:val="00EF322B"/>
    <w:rsid w:val="00EF489D"/>
    <w:rsid w:val="00EF56CE"/>
    <w:rsid w:val="00EF5BA2"/>
    <w:rsid w:val="00F00010"/>
    <w:rsid w:val="00F00E37"/>
    <w:rsid w:val="00F01EDC"/>
    <w:rsid w:val="00F02572"/>
    <w:rsid w:val="00F04225"/>
    <w:rsid w:val="00F042D7"/>
    <w:rsid w:val="00F069D9"/>
    <w:rsid w:val="00F10B4D"/>
    <w:rsid w:val="00F131F5"/>
    <w:rsid w:val="00F13D10"/>
    <w:rsid w:val="00F1407B"/>
    <w:rsid w:val="00F1430D"/>
    <w:rsid w:val="00F16F84"/>
    <w:rsid w:val="00F17D38"/>
    <w:rsid w:val="00F216E3"/>
    <w:rsid w:val="00F21FDC"/>
    <w:rsid w:val="00F227F1"/>
    <w:rsid w:val="00F238BA"/>
    <w:rsid w:val="00F24EC6"/>
    <w:rsid w:val="00F24ED7"/>
    <w:rsid w:val="00F252D2"/>
    <w:rsid w:val="00F25D15"/>
    <w:rsid w:val="00F261C7"/>
    <w:rsid w:val="00F2702C"/>
    <w:rsid w:val="00F271A1"/>
    <w:rsid w:val="00F30C83"/>
    <w:rsid w:val="00F31FFE"/>
    <w:rsid w:val="00F326BC"/>
    <w:rsid w:val="00F32D5D"/>
    <w:rsid w:val="00F33135"/>
    <w:rsid w:val="00F332A6"/>
    <w:rsid w:val="00F33675"/>
    <w:rsid w:val="00F33D3F"/>
    <w:rsid w:val="00F346A9"/>
    <w:rsid w:val="00F353A5"/>
    <w:rsid w:val="00F357C7"/>
    <w:rsid w:val="00F4067F"/>
    <w:rsid w:val="00F44267"/>
    <w:rsid w:val="00F45295"/>
    <w:rsid w:val="00F46755"/>
    <w:rsid w:val="00F46C5F"/>
    <w:rsid w:val="00F47933"/>
    <w:rsid w:val="00F50623"/>
    <w:rsid w:val="00F52C39"/>
    <w:rsid w:val="00F547A9"/>
    <w:rsid w:val="00F60DDA"/>
    <w:rsid w:val="00F623C3"/>
    <w:rsid w:val="00F62780"/>
    <w:rsid w:val="00F62B5B"/>
    <w:rsid w:val="00F651AE"/>
    <w:rsid w:val="00F66563"/>
    <w:rsid w:val="00F677DC"/>
    <w:rsid w:val="00F67A90"/>
    <w:rsid w:val="00F70683"/>
    <w:rsid w:val="00F70977"/>
    <w:rsid w:val="00F71805"/>
    <w:rsid w:val="00F7381B"/>
    <w:rsid w:val="00F752A9"/>
    <w:rsid w:val="00F762EA"/>
    <w:rsid w:val="00F769E3"/>
    <w:rsid w:val="00F77EC8"/>
    <w:rsid w:val="00F83426"/>
    <w:rsid w:val="00F839DB"/>
    <w:rsid w:val="00F84488"/>
    <w:rsid w:val="00F87F50"/>
    <w:rsid w:val="00F90A63"/>
    <w:rsid w:val="00F92526"/>
    <w:rsid w:val="00F935DB"/>
    <w:rsid w:val="00F9699F"/>
    <w:rsid w:val="00F97E2C"/>
    <w:rsid w:val="00FA0A57"/>
    <w:rsid w:val="00FA4EDF"/>
    <w:rsid w:val="00FA5AE2"/>
    <w:rsid w:val="00FA78BC"/>
    <w:rsid w:val="00FB0898"/>
    <w:rsid w:val="00FB0EBC"/>
    <w:rsid w:val="00FB1203"/>
    <w:rsid w:val="00FB3155"/>
    <w:rsid w:val="00FB65C8"/>
    <w:rsid w:val="00FB7338"/>
    <w:rsid w:val="00FB7820"/>
    <w:rsid w:val="00FC0F01"/>
    <w:rsid w:val="00FC24FE"/>
    <w:rsid w:val="00FC2568"/>
    <w:rsid w:val="00FC2ED2"/>
    <w:rsid w:val="00FC45E0"/>
    <w:rsid w:val="00FC49E7"/>
    <w:rsid w:val="00FC55D7"/>
    <w:rsid w:val="00FC63FD"/>
    <w:rsid w:val="00FD1339"/>
    <w:rsid w:val="00FD147F"/>
    <w:rsid w:val="00FD3F18"/>
    <w:rsid w:val="00FD6097"/>
    <w:rsid w:val="00FD6F39"/>
    <w:rsid w:val="00FD7590"/>
    <w:rsid w:val="00FE165F"/>
    <w:rsid w:val="00FE3486"/>
    <w:rsid w:val="00FE4673"/>
    <w:rsid w:val="00FE6040"/>
    <w:rsid w:val="00FE73A2"/>
    <w:rsid w:val="00FF01EC"/>
    <w:rsid w:val="00FF1212"/>
    <w:rsid w:val="00FF344C"/>
    <w:rsid w:val="00FF6EE1"/>
    <w:rsid w:val="00FF7832"/>
    <w:rsid w:val="06D57774"/>
    <w:rsid w:val="08E94D6A"/>
    <w:rsid w:val="0BAE0A8F"/>
    <w:rsid w:val="114F1D45"/>
    <w:rsid w:val="1B9E1021"/>
    <w:rsid w:val="1C41644E"/>
    <w:rsid w:val="1D6731B7"/>
    <w:rsid w:val="2AA97FFB"/>
    <w:rsid w:val="39C71DE1"/>
    <w:rsid w:val="464C4CE5"/>
    <w:rsid w:val="491A5C36"/>
    <w:rsid w:val="56B03D9A"/>
    <w:rsid w:val="59BF2F1D"/>
    <w:rsid w:val="5B292038"/>
    <w:rsid w:val="5D276C9F"/>
    <w:rsid w:val="6C4D0D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3"/>
    <w:link w:val="27"/>
    <w:qFormat/>
    <w:uiPriority w:val="0"/>
    <w:pPr>
      <w:keepNext/>
      <w:keepLines/>
      <w:spacing w:beforeLines="50" w:afterLines="50" w:line="240" w:lineRule="exact"/>
      <w:ind w:firstLine="0" w:firstLineChars="0"/>
      <w:outlineLvl w:val="0"/>
    </w:pPr>
    <w:rPr>
      <w:b/>
      <w:bCs/>
      <w:kern w:val="44"/>
      <w:sz w:val="28"/>
      <w:szCs w:val="44"/>
    </w:rPr>
  </w:style>
  <w:style w:type="paragraph" w:styleId="4">
    <w:name w:val="heading 2"/>
    <w:basedOn w:val="1"/>
    <w:next w:val="1"/>
    <w:link w:val="28"/>
    <w:qFormat/>
    <w:uiPriority w:val="0"/>
    <w:pPr>
      <w:keepNext/>
      <w:keepLines/>
      <w:ind w:firstLine="0" w:firstLineChars="0"/>
      <w:outlineLvl w:val="1"/>
    </w:pPr>
    <w:rPr>
      <w:rFonts w:ascii="Arial" w:hAnsi="Arial"/>
      <w:b/>
      <w:bCs/>
      <w:szCs w:val="32"/>
    </w:rPr>
  </w:style>
  <w:style w:type="paragraph" w:styleId="5">
    <w:name w:val="heading 3"/>
    <w:basedOn w:val="1"/>
    <w:next w:val="1"/>
    <w:link w:val="29"/>
    <w:autoRedefine/>
    <w:qFormat/>
    <w:uiPriority w:val="0"/>
    <w:pPr>
      <w:keepNext/>
      <w:keepLines/>
      <w:spacing w:line="415" w:lineRule="auto"/>
      <w:ind w:firstLine="0" w:firstLineChars="0"/>
      <w:outlineLvl w:val="2"/>
    </w:pPr>
    <w:rPr>
      <w:b/>
      <w:bCs/>
      <w:szCs w:val="32"/>
    </w:rPr>
  </w:style>
  <w:style w:type="paragraph" w:styleId="6">
    <w:name w:val="heading 4"/>
    <w:basedOn w:val="1"/>
    <w:next w:val="1"/>
    <w:link w:val="30"/>
    <w:autoRedefine/>
    <w:qFormat/>
    <w:uiPriority w:val="0"/>
    <w:pPr>
      <w:keepNext/>
      <w:keepLines/>
      <w:spacing w:before="280" w:after="290" w:line="374"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0"/>
    <w:pPr>
      <w:kinsoku w:val="0"/>
      <w:spacing w:line="400" w:lineRule="atLeast"/>
      <w:ind w:firstLine="200" w:firstLineChars="200"/>
      <w:jc w:val="both"/>
    </w:pPr>
    <w:rPr>
      <w:sz w:val="21"/>
      <w:szCs w:val="21"/>
      <w:lang w:val="en-GB" w:eastAsia="zh-CN" w:bidi="ar-SA"/>
    </w:rPr>
  </w:style>
  <w:style w:type="paragraph" w:styleId="7">
    <w:name w:val="Document Map"/>
    <w:basedOn w:val="1"/>
    <w:link w:val="31"/>
    <w:autoRedefine/>
    <w:semiHidden/>
    <w:qFormat/>
    <w:uiPriority w:val="0"/>
    <w:pPr>
      <w:shd w:val="clear" w:color="auto" w:fill="000080"/>
    </w:pPr>
  </w:style>
  <w:style w:type="paragraph" w:styleId="8">
    <w:name w:val="annotation text"/>
    <w:basedOn w:val="1"/>
    <w:link w:val="65"/>
    <w:semiHidden/>
    <w:unhideWhenUsed/>
    <w:qFormat/>
    <w:uiPriority w:val="99"/>
    <w:pPr>
      <w:jc w:val="left"/>
    </w:pPr>
  </w:style>
  <w:style w:type="paragraph" w:styleId="9">
    <w:name w:val="Body Text"/>
    <w:basedOn w:val="1"/>
    <w:link w:val="72"/>
    <w:semiHidden/>
    <w:unhideWhenUsed/>
    <w:qFormat/>
    <w:uiPriority w:val="99"/>
    <w:pPr>
      <w:spacing w:after="120"/>
    </w:pPr>
  </w:style>
  <w:style w:type="paragraph" w:styleId="10">
    <w:name w:val="Body Text Indent"/>
    <w:basedOn w:val="1"/>
    <w:link w:val="53"/>
    <w:autoRedefine/>
    <w:qFormat/>
    <w:uiPriority w:val="0"/>
    <w:pPr>
      <w:spacing w:line="440" w:lineRule="exact"/>
      <w:ind w:firstLine="480"/>
    </w:pPr>
  </w:style>
  <w:style w:type="paragraph" w:styleId="11">
    <w:name w:val="Plain Text"/>
    <w:basedOn w:val="1"/>
    <w:link w:val="36"/>
    <w:autoRedefine/>
    <w:unhideWhenUsed/>
    <w:qFormat/>
    <w:uiPriority w:val="99"/>
    <w:pPr>
      <w:spacing w:line="240" w:lineRule="auto"/>
    </w:pPr>
    <w:rPr>
      <w:rFonts w:ascii="宋体" w:hAnsi="Courier New"/>
      <w:color w:val="000000"/>
      <w:sz w:val="21"/>
      <w:szCs w:val="20"/>
    </w:rPr>
  </w:style>
  <w:style w:type="paragraph" w:styleId="12">
    <w:name w:val="Date"/>
    <w:basedOn w:val="1"/>
    <w:next w:val="1"/>
    <w:link w:val="51"/>
    <w:autoRedefine/>
    <w:semiHidden/>
    <w:unhideWhenUsed/>
    <w:qFormat/>
    <w:uiPriority w:val="99"/>
    <w:pPr>
      <w:ind w:left="100" w:leftChars="2500"/>
    </w:pPr>
  </w:style>
  <w:style w:type="paragraph" w:styleId="13">
    <w:name w:val="Balloon Text"/>
    <w:basedOn w:val="1"/>
    <w:link w:val="37"/>
    <w:qFormat/>
    <w:uiPriority w:val="0"/>
    <w:pPr>
      <w:spacing w:line="240" w:lineRule="auto"/>
    </w:pPr>
    <w:rPr>
      <w:sz w:val="18"/>
      <w:szCs w:val="18"/>
    </w:rPr>
  </w:style>
  <w:style w:type="paragraph" w:styleId="14">
    <w:name w:val="footer"/>
    <w:basedOn w:val="1"/>
    <w:link w:val="26"/>
    <w:autoRedefine/>
    <w:unhideWhenUsed/>
    <w:qFormat/>
    <w:uiPriority w:val="0"/>
    <w:pPr>
      <w:tabs>
        <w:tab w:val="center" w:pos="4153"/>
        <w:tab w:val="right" w:pos="8306"/>
      </w:tabs>
      <w:snapToGrid w:val="0"/>
      <w:jc w:val="left"/>
    </w:pPr>
    <w:rPr>
      <w:sz w:val="18"/>
      <w:szCs w:val="18"/>
    </w:rPr>
  </w:style>
  <w:style w:type="paragraph" w:styleId="15">
    <w:name w:val="header"/>
    <w:basedOn w:val="1"/>
    <w:link w:val="2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39"/>
    <w:pPr>
      <w:ind w:firstLine="0" w:firstLineChars="0"/>
      <w:jc w:val="center"/>
    </w:pPr>
    <w:rPr>
      <w:b/>
    </w:rPr>
  </w:style>
  <w:style w:type="paragraph" w:styleId="17">
    <w:name w:val="toc 2"/>
    <w:basedOn w:val="1"/>
    <w:next w:val="1"/>
    <w:autoRedefine/>
    <w:qFormat/>
    <w:uiPriority w:val="39"/>
    <w:pPr>
      <w:tabs>
        <w:tab w:val="right" w:leader="dot" w:pos="9060"/>
      </w:tabs>
      <w:ind w:left="480" w:leftChars="200"/>
      <w:jc w:val="center"/>
    </w:pPr>
  </w:style>
  <w:style w:type="paragraph" w:styleId="18">
    <w:name w:val="Normal (Web)"/>
    <w:basedOn w:val="1"/>
    <w:autoRedefine/>
    <w:semiHidden/>
    <w:unhideWhenUsed/>
    <w:qFormat/>
    <w:uiPriority w:val="99"/>
    <w:pPr>
      <w:widowControl/>
      <w:spacing w:before="100" w:beforeAutospacing="1" w:after="100" w:afterAutospacing="1" w:line="240" w:lineRule="auto"/>
      <w:ind w:firstLine="0" w:firstLineChars="0"/>
      <w:jc w:val="left"/>
    </w:pPr>
    <w:rPr>
      <w:rFonts w:ascii="宋体" w:hAnsi="宋体"/>
      <w:color w:val="000000"/>
      <w:kern w:val="0"/>
    </w:rPr>
  </w:style>
  <w:style w:type="paragraph" w:styleId="19">
    <w:name w:val="annotation subject"/>
    <w:basedOn w:val="8"/>
    <w:next w:val="8"/>
    <w:link w:val="66"/>
    <w:semiHidden/>
    <w:unhideWhenUsed/>
    <w:qFormat/>
    <w:uiPriority w:val="99"/>
    <w:rPr>
      <w:b/>
      <w:bCs/>
    </w:rPr>
  </w:style>
  <w:style w:type="table" w:styleId="21">
    <w:name w:val="Table Grid"/>
    <w:basedOn w:val="20"/>
    <w:autoRedefine/>
    <w:qFormat/>
    <w:uiPriority w:val="0"/>
    <w:pPr>
      <w:widowControl w:val="0"/>
      <w:spacing w:line="360" w:lineRule="auto"/>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Hyperlink"/>
    <w:autoRedefine/>
    <w:qFormat/>
    <w:uiPriority w:val="99"/>
    <w:rPr>
      <w:color w:val="0000FF"/>
      <w:u w:val="single"/>
    </w:rPr>
  </w:style>
  <w:style w:type="character" w:styleId="24">
    <w:name w:val="annotation reference"/>
    <w:basedOn w:val="22"/>
    <w:semiHidden/>
    <w:unhideWhenUsed/>
    <w:qFormat/>
    <w:uiPriority w:val="99"/>
    <w:rPr>
      <w:sz w:val="21"/>
      <w:szCs w:val="21"/>
    </w:rPr>
  </w:style>
  <w:style w:type="character" w:customStyle="1" w:styleId="25">
    <w:name w:val="页眉 Char"/>
    <w:basedOn w:val="22"/>
    <w:link w:val="15"/>
    <w:autoRedefine/>
    <w:qFormat/>
    <w:uiPriority w:val="99"/>
    <w:rPr>
      <w:sz w:val="18"/>
      <w:szCs w:val="18"/>
    </w:rPr>
  </w:style>
  <w:style w:type="character" w:customStyle="1" w:styleId="26">
    <w:name w:val="页脚 Char"/>
    <w:basedOn w:val="22"/>
    <w:link w:val="14"/>
    <w:qFormat/>
    <w:uiPriority w:val="0"/>
    <w:rPr>
      <w:sz w:val="18"/>
      <w:szCs w:val="18"/>
    </w:rPr>
  </w:style>
  <w:style w:type="character" w:customStyle="1" w:styleId="27">
    <w:name w:val="标题 1 Char"/>
    <w:basedOn w:val="22"/>
    <w:link w:val="2"/>
    <w:autoRedefine/>
    <w:qFormat/>
    <w:uiPriority w:val="0"/>
    <w:rPr>
      <w:rFonts w:ascii="Times New Roman" w:hAnsi="Times New Roman"/>
      <w:b/>
      <w:bCs/>
      <w:kern w:val="44"/>
      <w:sz w:val="28"/>
      <w:szCs w:val="44"/>
    </w:rPr>
  </w:style>
  <w:style w:type="character" w:customStyle="1" w:styleId="28">
    <w:name w:val="标题 2 Char"/>
    <w:basedOn w:val="22"/>
    <w:link w:val="4"/>
    <w:qFormat/>
    <w:uiPriority w:val="0"/>
    <w:rPr>
      <w:rFonts w:ascii="Arial" w:hAnsi="Arial"/>
      <w:b/>
      <w:bCs/>
      <w:kern w:val="2"/>
      <w:sz w:val="24"/>
      <w:szCs w:val="32"/>
    </w:rPr>
  </w:style>
  <w:style w:type="character" w:customStyle="1" w:styleId="29">
    <w:name w:val="标题 3 Char"/>
    <w:basedOn w:val="22"/>
    <w:link w:val="5"/>
    <w:autoRedefine/>
    <w:qFormat/>
    <w:uiPriority w:val="0"/>
    <w:rPr>
      <w:rFonts w:ascii="Times New Roman" w:hAnsi="Times New Roman"/>
      <w:b/>
      <w:bCs/>
      <w:kern w:val="2"/>
      <w:sz w:val="24"/>
      <w:szCs w:val="32"/>
    </w:rPr>
  </w:style>
  <w:style w:type="character" w:customStyle="1" w:styleId="30">
    <w:name w:val="标题 4 Char"/>
    <w:basedOn w:val="22"/>
    <w:link w:val="6"/>
    <w:autoRedefine/>
    <w:qFormat/>
    <w:uiPriority w:val="0"/>
    <w:rPr>
      <w:rFonts w:ascii="Arial" w:hAnsi="Arial" w:eastAsia="黑体" w:cs="Times New Roman"/>
      <w:b/>
      <w:bCs/>
      <w:sz w:val="28"/>
      <w:szCs w:val="28"/>
    </w:rPr>
  </w:style>
  <w:style w:type="character" w:customStyle="1" w:styleId="31">
    <w:name w:val="文档结构图 Char"/>
    <w:basedOn w:val="22"/>
    <w:link w:val="7"/>
    <w:autoRedefine/>
    <w:semiHidden/>
    <w:qFormat/>
    <w:uiPriority w:val="0"/>
    <w:rPr>
      <w:rFonts w:ascii="Times New Roman" w:hAnsi="Times New Roman" w:eastAsia="仿宋_GB2312" w:cs="Times New Roman"/>
      <w:sz w:val="24"/>
      <w:szCs w:val="24"/>
      <w:shd w:val="clear" w:color="auto" w:fill="000080"/>
    </w:rPr>
  </w:style>
  <w:style w:type="paragraph" w:customStyle="1" w:styleId="32">
    <w:name w:val="表格内容"/>
    <w:basedOn w:val="1"/>
    <w:autoRedefine/>
    <w:qFormat/>
    <w:uiPriority w:val="0"/>
    <w:pPr>
      <w:spacing w:line="240" w:lineRule="auto"/>
      <w:jc w:val="center"/>
    </w:pPr>
    <w:rPr>
      <w:rFonts w:cs="宋体"/>
      <w:sz w:val="21"/>
      <w:szCs w:val="20"/>
    </w:rPr>
  </w:style>
  <w:style w:type="paragraph" w:customStyle="1" w:styleId="33">
    <w:name w:val="Char"/>
    <w:basedOn w:val="1"/>
    <w:autoRedefine/>
    <w:semiHidden/>
    <w:qFormat/>
    <w:uiPriority w:val="0"/>
    <w:pPr>
      <w:widowControl/>
      <w:spacing w:after="160" w:line="240" w:lineRule="exact"/>
      <w:jc w:val="left"/>
    </w:pPr>
    <w:rPr>
      <w:rFonts w:ascii="Verdana" w:hAnsi="Verdana"/>
      <w:kern w:val="0"/>
      <w:sz w:val="20"/>
      <w:szCs w:val="20"/>
      <w:lang w:eastAsia="en-US"/>
    </w:rPr>
  </w:style>
  <w:style w:type="paragraph" w:customStyle="1" w:styleId="34">
    <w:name w:val="Char2"/>
    <w:basedOn w:val="1"/>
    <w:autoRedefine/>
    <w:semiHidden/>
    <w:qFormat/>
    <w:uiPriority w:val="0"/>
    <w:pPr>
      <w:widowControl/>
      <w:spacing w:after="160" w:line="240" w:lineRule="exact"/>
      <w:jc w:val="left"/>
    </w:pPr>
    <w:rPr>
      <w:rFonts w:ascii="Verdana" w:hAnsi="Verdana"/>
      <w:kern w:val="0"/>
      <w:sz w:val="20"/>
      <w:szCs w:val="20"/>
      <w:lang w:eastAsia="en-US"/>
    </w:rPr>
  </w:style>
  <w:style w:type="paragraph" w:customStyle="1" w:styleId="35">
    <w:name w:val="Char Char Char Char"/>
    <w:basedOn w:val="1"/>
    <w:autoRedefine/>
    <w:semiHidden/>
    <w:qFormat/>
    <w:uiPriority w:val="0"/>
    <w:pPr>
      <w:spacing w:line="240" w:lineRule="auto"/>
    </w:pPr>
    <w:rPr>
      <w:sz w:val="21"/>
    </w:rPr>
  </w:style>
  <w:style w:type="character" w:customStyle="1" w:styleId="36">
    <w:name w:val="纯文本 Char"/>
    <w:basedOn w:val="22"/>
    <w:link w:val="11"/>
    <w:autoRedefine/>
    <w:qFormat/>
    <w:uiPriority w:val="99"/>
    <w:rPr>
      <w:rFonts w:ascii="宋体" w:hAnsi="Courier New" w:eastAsia="宋体" w:cs="Times New Roman"/>
      <w:color w:val="000000"/>
      <w:szCs w:val="20"/>
    </w:rPr>
  </w:style>
  <w:style w:type="character" w:customStyle="1" w:styleId="37">
    <w:name w:val="批注框文本 Char"/>
    <w:basedOn w:val="22"/>
    <w:link w:val="13"/>
    <w:autoRedefine/>
    <w:qFormat/>
    <w:uiPriority w:val="0"/>
    <w:rPr>
      <w:rFonts w:ascii="Times New Roman" w:hAnsi="Times New Roman" w:eastAsia="仿宋_GB2312" w:cs="Times New Roman"/>
      <w:sz w:val="18"/>
      <w:szCs w:val="18"/>
    </w:rPr>
  </w:style>
  <w:style w:type="character" w:customStyle="1" w:styleId="38">
    <w:name w:val="正文00 Char Char"/>
    <w:link w:val="39"/>
    <w:autoRedefine/>
    <w:qFormat/>
    <w:uiPriority w:val="0"/>
    <w:rPr>
      <w:rFonts w:eastAsia="宋体"/>
      <w:sz w:val="24"/>
      <w:szCs w:val="24"/>
    </w:rPr>
  </w:style>
  <w:style w:type="paragraph" w:customStyle="1" w:styleId="39">
    <w:name w:val="正文00"/>
    <w:basedOn w:val="1"/>
    <w:link w:val="38"/>
    <w:autoRedefine/>
    <w:qFormat/>
    <w:uiPriority w:val="0"/>
    <w:pPr>
      <w:jc w:val="left"/>
    </w:pPr>
    <w:rPr>
      <w:rFonts w:ascii="Calibri" w:hAnsi="Calibri"/>
      <w:kern w:val="0"/>
    </w:rPr>
  </w:style>
  <w:style w:type="character" w:customStyle="1" w:styleId="40">
    <w:name w:val="Header Char"/>
    <w:basedOn w:val="22"/>
    <w:qFormat/>
    <w:locked/>
    <w:uiPriority w:val="0"/>
    <w:rPr>
      <w:rFonts w:cs="Times New Roman"/>
      <w:sz w:val="18"/>
      <w:szCs w:val="18"/>
    </w:rPr>
  </w:style>
  <w:style w:type="character" w:customStyle="1" w:styleId="41">
    <w:name w:val="Footer Char"/>
    <w:basedOn w:val="22"/>
    <w:autoRedefine/>
    <w:qFormat/>
    <w:locked/>
    <w:uiPriority w:val="0"/>
    <w:rPr>
      <w:rFonts w:cs="Times New Roman"/>
      <w:sz w:val="18"/>
      <w:szCs w:val="18"/>
    </w:rPr>
  </w:style>
  <w:style w:type="character" w:customStyle="1" w:styleId="42">
    <w:name w:val="Heading 3 Char"/>
    <w:basedOn w:val="22"/>
    <w:autoRedefine/>
    <w:qFormat/>
    <w:locked/>
    <w:uiPriority w:val="0"/>
    <w:rPr>
      <w:rFonts w:cs="Times New Roman"/>
      <w:b/>
      <w:bCs/>
      <w:sz w:val="32"/>
      <w:szCs w:val="32"/>
    </w:rPr>
  </w:style>
  <w:style w:type="paragraph" w:customStyle="1" w:styleId="43">
    <w:name w:val="表格标题"/>
    <w:basedOn w:val="1"/>
    <w:link w:val="44"/>
    <w:qFormat/>
    <w:uiPriority w:val="0"/>
    <w:pPr>
      <w:spacing w:line="480" w:lineRule="auto"/>
      <w:jc w:val="center"/>
    </w:pPr>
    <w:rPr>
      <w:rFonts w:cs="宋体"/>
      <w:szCs w:val="20"/>
    </w:rPr>
  </w:style>
  <w:style w:type="character" w:customStyle="1" w:styleId="44">
    <w:name w:val="表格标题 Char"/>
    <w:basedOn w:val="22"/>
    <w:link w:val="43"/>
    <w:autoRedefine/>
    <w:qFormat/>
    <w:locked/>
    <w:uiPriority w:val="0"/>
    <w:rPr>
      <w:rFonts w:ascii="Times New Roman" w:hAnsi="Times New Roman" w:eastAsia="宋体" w:cs="宋体"/>
      <w:sz w:val="24"/>
      <w:szCs w:val="20"/>
    </w:rPr>
  </w:style>
  <w:style w:type="paragraph" w:customStyle="1" w:styleId="45">
    <w:name w:val="Char1"/>
    <w:basedOn w:val="1"/>
    <w:autoRedefine/>
    <w:semiHidden/>
    <w:qFormat/>
    <w:uiPriority w:val="0"/>
    <w:pPr>
      <w:widowControl/>
      <w:spacing w:after="160" w:line="240" w:lineRule="exact"/>
      <w:jc w:val="left"/>
    </w:pPr>
    <w:rPr>
      <w:rFonts w:ascii="Verdana" w:hAnsi="Verdana"/>
      <w:w w:val="90"/>
      <w:kern w:val="0"/>
      <w:sz w:val="20"/>
      <w:szCs w:val="20"/>
      <w:lang w:eastAsia="en-US"/>
    </w:rPr>
  </w:style>
  <w:style w:type="character" w:customStyle="1" w:styleId="46">
    <w:name w:val="Balloon Text Char"/>
    <w:basedOn w:val="22"/>
    <w:autoRedefine/>
    <w:semiHidden/>
    <w:qFormat/>
    <w:locked/>
    <w:uiPriority w:val="0"/>
    <w:rPr>
      <w:rFonts w:cs="Times New Roman"/>
      <w:sz w:val="18"/>
      <w:szCs w:val="18"/>
    </w:rPr>
  </w:style>
  <w:style w:type="character" w:customStyle="1" w:styleId="47">
    <w:name w:val="占位符文本1"/>
    <w:basedOn w:val="22"/>
    <w:semiHidden/>
    <w:qFormat/>
    <w:uiPriority w:val="0"/>
    <w:rPr>
      <w:rFonts w:cs="Times New Roman"/>
      <w:color w:val="808080"/>
    </w:rPr>
  </w:style>
  <w:style w:type="paragraph" w:customStyle="1" w:styleId="48">
    <w:name w:val="Char Char Char Char1"/>
    <w:basedOn w:val="1"/>
    <w:autoRedefine/>
    <w:semiHidden/>
    <w:qFormat/>
    <w:uiPriority w:val="0"/>
    <w:pPr>
      <w:widowControl/>
      <w:spacing w:after="160" w:line="240" w:lineRule="exact"/>
      <w:jc w:val="left"/>
    </w:pPr>
    <w:rPr>
      <w:rFonts w:ascii="Verdana" w:hAnsi="Verdana" w:cs="Verdana"/>
      <w:kern w:val="0"/>
      <w:sz w:val="20"/>
      <w:szCs w:val="20"/>
      <w:lang w:eastAsia="en-US"/>
    </w:rPr>
  </w:style>
  <w:style w:type="paragraph" w:customStyle="1" w:styleId="49">
    <w:name w:val="内容"/>
    <w:basedOn w:val="1"/>
    <w:link w:val="50"/>
    <w:qFormat/>
    <w:uiPriority w:val="0"/>
    <w:pPr>
      <w:spacing w:beforeLines="50" w:afterLines="50" w:line="240" w:lineRule="auto"/>
    </w:pPr>
    <w:rPr>
      <w:color w:val="000000"/>
      <w:kern w:val="0"/>
      <w:szCs w:val="20"/>
    </w:rPr>
  </w:style>
  <w:style w:type="character" w:customStyle="1" w:styleId="50">
    <w:name w:val="内容 Char"/>
    <w:link w:val="49"/>
    <w:autoRedefine/>
    <w:qFormat/>
    <w:locked/>
    <w:uiPriority w:val="0"/>
    <w:rPr>
      <w:rFonts w:ascii="Times New Roman" w:hAnsi="Times New Roman" w:eastAsia="宋体" w:cs="Times New Roman"/>
      <w:color w:val="000000"/>
      <w:kern w:val="0"/>
      <w:sz w:val="24"/>
      <w:szCs w:val="20"/>
    </w:rPr>
  </w:style>
  <w:style w:type="character" w:customStyle="1" w:styleId="51">
    <w:name w:val="日期 Char"/>
    <w:basedOn w:val="22"/>
    <w:link w:val="12"/>
    <w:autoRedefine/>
    <w:semiHidden/>
    <w:qFormat/>
    <w:uiPriority w:val="99"/>
    <w:rPr>
      <w:rFonts w:ascii="Times New Roman" w:hAnsi="Times New Roman"/>
      <w:kern w:val="2"/>
      <w:sz w:val="24"/>
      <w:szCs w:val="24"/>
    </w:rPr>
  </w:style>
  <w:style w:type="character" w:styleId="52">
    <w:name w:val="Placeholder Text"/>
    <w:basedOn w:val="22"/>
    <w:autoRedefine/>
    <w:semiHidden/>
    <w:qFormat/>
    <w:uiPriority w:val="99"/>
    <w:rPr>
      <w:color w:val="808080"/>
    </w:rPr>
  </w:style>
  <w:style w:type="character" w:customStyle="1" w:styleId="53">
    <w:name w:val="正文文本缩进 Char"/>
    <w:basedOn w:val="22"/>
    <w:link w:val="10"/>
    <w:autoRedefine/>
    <w:qFormat/>
    <w:uiPriority w:val="0"/>
    <w:rPr>
      <w:rFonts w:ascii="Times New Roman" w:hAnsi="Times New Roman"/>
      <w:kern w:val="2"/>
      <w:sz w:val="24"/>
      <w:szCs w:val="24"/>
    </w:rPr>
  </w:style>
  <w:style w:type="character" w:customStyle="1" w:styleId="54">
    <w:name w:val="apple-converted-space"/>
    <w:basedOn w:val="22"/>
    <w:autoRedefine/>
    <w:qFormat/>
    <w:uiPriority w:val="0"/>
  </w:style>
  <w:style w:type="character" w:customStyle="1" w:styleId="55">
    <w:name w:val="number"/>
    <w:basedOn w:val="22"/>
    <w:autoRedefine/>
    <w:qFormat/>
    <w:uiPriority w:val="0"/>
  </w:style>
  <w:style w:type="character" w:customStyle="1" w:styleId="56">
    <w:name w:val="description"/>
    <w:basedOn w:val="22"/>
    <w:autoRedefine/>
    <w:qFormat/>
    <w:uiPriority w:val="0"/>
  </w:style>
  <w:style w:type="paragraph" w:styleId="57">
    <w:name w:val="List Paragraph"/>
    <w:basedOn w:val="1"/>
    <w:autoRedefine/>
    <w:qFormat/>
    <w:uiPriority w:val="34"/>
    <w:pPr>
      <w:ind w:firstLine="420"/>
    </w:pPr>
  </w:style>
  <w:style w:type="character" w:customStyle="1" w:styleId="58">
    <w:name w:val="正文文本 (2)_"/>
    <w:basedOn w:val="22"/>
    <w:link w:val="59"/>
    <w:autoRedefine/>
    <w:qFormat/>
    <w:uiPriority w:val="99"/>
    <w:rPr>
      <w:rFonts w:ascii="微软雅黑" w:eastAsia="微软雅黑" w:cs="微软雅黑"/>
      <w:spacing w:val="10"/>
      <w:sz w:val="14"/>
      <w:szCs w:val="14"/>
      <w:shd w:val="clear" w:color="auto" w:fill="FFFFFF"/>
    </w:rPr>
  </w:style>
  <w:style w:type="paragraph" w:customStyle="1" w:styleId="59">
    <w:name w:val="正文文本 (2)"/>
    <w:basedOn w:val="1"/>
    <w:link w:val="58"/>
    <w:autoRedefine/>
    <w:qFormat/>
    <w:uiPriority w:val="99"/>
    <w:pPr>
      <w:shd w:val="clear" w:color="auto" w:fill="FFFFFF"/>
      <w:spacing w:line="278" w:lineRule="exact"/>
      <w:ind w:firstLine="0" w:firstLineChars="0"/>
      <w:jc w:val="distribute"/>
    </w:pPr>
    <w:rPr>
      <w:rFonts w:ascii="微软雅黑" w:hAnsi="Calibri" w:eastAsia="微软雅黑" w:cs="微软雅黑"/>
      <w:spacing w:val="10"/>
      <w:kern w:val="0"/>
      <w:sz w:val="14"/>
      <w:szCs w:val="14"/>
    </w:rPr>
  </w:style>
  <w:style w:type="character" w:customStyle="1" w:styleId="60">
    <w:name w:val="正文文本 (2) + 6.5 pt"/>
    <w:basedOn w:val="58"/>
    <w:autoRedefine/>
    <w:qFormat/>
    <w:uiPriority w:val="99"/>
    <w:rPr>
      <w:rFonts w:ascii="微软雅黑" w:hAnsi="微软雅黑" w:eastAsia="微软雅黑" w:cs="微软雅黑"/>
      <w:spacing w:val="10"/>
      <w:sz w:val="13"/>
      <w:szCs w:val="13"/>
      <w:shd w:val="clear" w:color="auto" w:fill="FFFFFF"/>
      <w:lang w:val="en-US" w:eastAsia="en-US"/>
    </w:rPr>
  </w:style>
  <w:style w:type="character" w:customStyle="1" w:styleId="61">
    <w:name w:val="正文文本 (2) + 6.5 pt2"/>
    <w:basedOn w:val="58"/>
    <w:autoRedefine/>
    <w:qFormat/>
    <w:uiPriority w:val="99"/>
    <w:rPr>
      <w:rFonts w:ascii="微软雅黑" w:hAnsi="微软雅黑" w:eastAsia="微软雅黑" w:cs="微软雅黑"/>
      <w:spacing w:val="0"/>
      <w:sz w:val="13"/>
      <w:szCs w:val="13"/>
      <w:u w:val="none"/>
      <w:shd w:val="clear" w:color="auto" w:fill="FFFFFF"/>
      <w:lang w:val="en-US" w:eastAsia="en-US"/>
    </w:rPr>
  </w:style>
  <w:style w:type="character" w:customStyle="1" w:styleId="62">
    <w:name w:val="正文文本 (2) + 6.5 pt1"/>
    <w:basedOn w:val="58"/>
    <w:autoRedefine/>
    <w:qFormat/>
    <w:uiPriority w:val="99"/>
    <w:rPr>
      <w:rFonts w:ascii="微软雅黑" w:eastAsia="微软雅黑" w:cs="微软雅黑"/>
      <w:spacing w:val="0"/>
      <w:sz w:val="13"/>
      <w:szCs w:val="13"/>
      <w:u w:val="none"/>
      <w:shd w:val="clear" w:color="auto" w:fill="FFFFFF"/>
    </w:rPr>
  </w:style>
  <w:style w:type="character" w:customStyle="1" w:styleId="63">
    <w:name w:val="正文文本 (2) + 6 pt"/>
    <w:basedOn w:val="58"/>
    <w:autoRedefine/>
    <w:qFormat/>
    <w:uiPriority w:val="99"/>
    <w:rPr>
      <w:rFonts w:ascii="微软雅黑" w:eastAsia="微软雅黑" w:cs="微软雅黑"/>
      <w:spacing w:val="0"/>
      <w:sz w:val="12"/>
      <w:szCs w:val="12"/>
      <w:u w:val="none"/>
      <w:shd w:val="clear" w:color="auto" w:fill="FFFFFF"/>
    </w:rPr>
  </w:style>
  <w:style w:type="paragraph" w:customStyle="1" w:styleId="64">
    <w:name w:val="Default"/>
    <w:autoRedefine/>
    <w:qFormat/>
    <w:uiPriority w:val="0"/>
    <w:pPr>
      <w:widowControl w:val="0"/>
      <w:autoSpaceDE w:val="0"/>
      <w:autoSpaceDN w:val="0"/>
      <w:adjustRightInd w:val="0"/>
    </w:pPr>
    <w:rPr>
      <w:rFonts w:ascii="宋体 ..." w:hAnsi="Calibri" w:eastAsia="宋体 ..." w:cs="宋体 ..."/>
      <w:color w:val="000000"/>
      <w:sz w:val="24"/>
      <w:szCs w:val="24"/>
      <w:lang w:val="en-US" w:eastAsia="zh-CN" w:bidi="ar-SA"/>
    </w:rPr>
  </w:style>
  <w:style w:type="character" w:customStyle="1" w:styleId="65">
    <w:name w:val="批注文字 Char"/>
    <w:basedOn w:val="22"/>
    <w:link w:val="8"/>
    <w:autoRedefine/>
    <w:semiHidden/>
    <w:qFormat/>
    <w:uiPriority w:val="99"/>
    <w:rPr>
      <w:rFonts w:ascii="Times New Roman" w:hAnsi="Times New Roman"/>
      <w:kern w:val="2"/>
      <w:sz w:val="24"/>
      <w:szCs w:val="24"/>
    </w:rPr>
  </w:style>
  <w:style w:type="character" w:customStyle="1" w:styleId="66">
    <w:name w:val="批注主题 Char"/>
    <w:basedOn w:val="65"/>
    <w:link w:val="19"/>
    <w:semiHidden/>
    <w:qFormat/>
    <w:uiPriority w:val="99"/>
    <w:rPr>
      <w:rFonts w:ascii="Times New Roman" w:hAnsi="Times New Roman"/>
      <w:b/>
      <w:bCs/>
      <w:kern w:val="2"/>
      <w:sz w:val="24"/>
      <w:szCs w:val="24"/>
    </w:rPr>
  </w:style>
  <w:style w:type="character" w:customStyle="1" w:styleId="67">
    <w:name w:val="表头 Char"/>
    <w:link w:val="68"/>
    <w:qFormat/>
    <w:uiPriority w:val="0"/>
    <w:rPr>
      <w:rFonts w:eastAsia="黑体"/>
    </w:rPr>
  </w:style>
  <w:style w:type="paragraph" w:customStyle="1" w:styleId="68">
    <w:name w:val="表头"/>
    <w:basedOn w:val="1"/>
    <w:next w:val="11"/>
    <w:link w:val="67"/>
    <w:autoRedefine/>
    <w:qFormat/>
    <w:uiPriority w:val="0"/>
    <w:pPr>
      <w:adjustRightInd w:val="0"/>
      <w:snapToGrid w:val="0"/>
      <w:ind w:firstLine="0" w:firstLineChars="0"/>
      <w:jc w:val="center"/>
    </w:pPr>
    <w:rPr>
      <w:rFonts w:ascii="Calibri" w:hAnsi="Calibri" w:eastAsia="黑体"/>
      <w:kern w:val="0"/>
      <w:sz w:val="20"/>
      <w:szCs w:val="20"/>
    </w:rPr>
  </w:style>
  <w:style w:type="paragraph" w:customStyle="1" w:styleId="69">
    <w:name w:val="表"/>
    <w:basedOn w:val="1"/>
    <w:autoRedefine/>
    <w:qFormat/>
    <w:uiPriority w:val="0"/>
    <w:pPr>
      <w:spacing w:line="240" w:lineRule="auto"/>
      <w:ind w:firstLine="0" w:firstLineChars="0"/>
      <w:jc w:val="left"/>
    </w:pPr>
    <w:rPr>
      <w:color w:val="FF0000"/>
      <w:sz w:val="21"/>
      <w:szCs w:val="21"/>
    </w:rPr>
  </w:style>
  <w:style w:type="character" w:customStyle="1" w:styleId="70">
    <w:name w:val="正文111 Char Char"/>
    <w:link w:val="71"/>
    <w:autoRedefine/>
    <w:qFormat/>
    <w:uiPriority w:val="0"/>
    <w:rPr>
      <w:rFonts w:ascii="宋体" w:hAnsi="宋体" w:cs="宋体"/>
      <w:kern w:val="2"/>
      <w:sz w:val="24"/>
      <w:szCs w:val="24"/>
    </w:rPr>
  </w:style>
  <w:style w:type="paragraph" w:customStyle="1" w:styleId="71">
    <w:name w:val="正文111"/>
    <w:link w:val="70"/>
    <w:autoRedefine/>
    <w:qFormat/>
    <w:uiPriority w:val="0"/>
    <w:pPr>
      <w:adjustRightInd w:val="0"/>
      <w:snapToGrid w:val="0"/>
    </w:pPr>
    <w:rPr>
      <w:rFonts w:ascii="宋体" w:hAnsi="宋体" w:eastAsia="宋体" w:cs="宋体"/>
      <w:lang w:val="en-US" w:eastAsia="zh-CN" w:bidi="ar-SA"/>
    </w:rPr>
  </w:style>
  <w:style w:type="character" w:customStyle="1" w:styleId="72">
    <w:name w:val="正文文本 Char"/>
    <w:basedOn w:val="22"/>
    <w:link w:val="9"/>
    <w:autoRedefine/>
    <w:semiHidden/>
    <w:qFormat/>
    <w:uiPriority w:val="99"/>
    <w:rPr>
      <w:rFonts w:ascii="Times New Roman" w:hAnsi="Times New Roman"/>
      <w:kern w:val="2"/>
      <w:sz w:val="24"/>
      <w:szCs w:val="24"/>
    </w:rPr>
  </w:style>
  <w:style w:type="paragraph" w:customStyle="1" w:styleId="73">
    <w:name w:val="表格样式"/>
    <w:basedOn w:val="1"/>
    <w:autoRedefine/>
    <w:qFormat/>
    <w:uiPriority w:val="0"/>
    <w:pPr>
      <w:adjustRightInd w:val="0"/>
      <w:snapToGrid w:val="0"/>
      <w:spacing w:line="0" w:lineRule="atLeast"/>
      <w:ind w:firstLine="0" w:firstLineChars="0"/>
      <w:jc w:val="center"/>
    </w:pPr>
    <w:rPr>
      <w:rFonts w:cstheme="minorBidi"/>
      <w:sz w:val="28"/>
      <w:szCs w:val="20"/>
    </w:rPr>
  </w:style>
  <w:style w:type="character" w:customStyle="1" w:styleId="74">
    <w:name w:val="【正文】 Char"/>
    <w:basedOn w:val="22"/>
    <w:link w:val="75"/>
    <w:autoRedefine/>
    <w:qFormat/>
    <w:locked/>
    <w:uiPriority w:val="0"/>
    <w:rPr>
      <w:sz w:val="24"/>
      <w:szCs w:val="24"/>
    </w:rPr>
  </w:style>
  <w:style w:type="paragraph" w:customStyle="1" w:styleId="75">
    <w:name w:val="【正文】"/>
    <w:basedOn w:val="1"/>
    <w:link w:val="74"/>
    <w:autoRedefine/>
    <w:qFormat/>
    <w:uiPriority w:val="0"/>
    <w:pPr>
      <w:widowControl/>
      <w:adjustRightInd w:val="0"/>
      <w:snapToGrid w:val="0"/>
      <w:ind w:firstLine="480"/>
      <w:jc w:val="left"/>
    </w:pPr>
    <w:rPr>
      <w:rFonts w:ascii="Calibri" w:hAnsi="Calibri"/>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ontractReview xmlns="http://schemas.wps.cn/vas-ai-hub/contract-review">
  <reviewItems>
    <reviewItem>
      <errorID>8e03e1eb-5b8f-4e54-97e7-c1be43634eeb</errorID>
      <errorWord>》（试行）</errorWord>
      <group>L1_Word</group>
      <groupName>字词问题</groupName>
      <ability>L2_Typo</ability>
      <abilityName>字词错误</abilityName>
      <candidateList>
        <item>（试行）》</item>
      </candidateList>
      <explain/>
      <paraID>414DCC90</paraID>
      <start>27</start>
      <end>32</end>
      <status>modified</status>
      <modifiedWord>（试行）》</modifiedWord>
      <trackRevisions>false</trackRevisions>
    </reviewItem>
    <reviewItem>
      <errorID>0a0ab52a-864d-4e33-87dd-0164988f1e80</errorID>
      <errorWord>（5）</errorWord>
      <group>L1_Format</group>
      <groupName>格式问题</groupName>
      <ability>L2_Ordinal</ability>
      <abilityName>序号格式</abilityName>
      <candidateList>
        <item>（4）</item>
      </candidateList>
      <explain>标题顺序错误，请检查标题顺序是否合理。</explain>
      <paraID>7D9AE4EC</paraID>
      <start>0</start>
      <end>3</end>
      <status>modified</status>
      <modifiedWord>（4）</modifiedWord>
      <trackRevisions>false</trackRevisions>
    </reviewItem>
    <reviewItem>
      <errorID>43673a70-3acf-4d1e-8a3a-9babdeccf24c</errorID>
      <errorWord>）</errorWord>
      <group>L1_Punc</group>
      <groupName>标点问题</groupName>
      <ability>L2_Punc_CN</ability>
      <abilityName>标点符号问题</abilityName>
      <candidateList>
        <item>，</item>
      </candidateList>
      <explain/>
      <paraID>7D9AE4EC</paraID>
      <start>18</start>
      <end>19</end>
      <status>modified</status>
      <modifiedWord>，</modifiedWord>
      <trackRevisions>false</trackRevisions>
    </reviewItem>
    <reviewItem>
      <errorID>992c51ef-10ed-4548-b51a-c39a7faf8807</errorID>
      <errorWord>。</errorWord>
      <group>L1_Punc</group>
      <groupName>标点问题</groupName>
      <ability>L2_Punc_CN</ability>
      <abilityName>标点符号问题</abilityName>
      <candidateList>
        <item>）。</item>
      </candidateList>
      <explain/>
      <paraID>7D9AE4EC</paraID>
      <start>29</start>
      <end>31</end>
      <status>modified</status>
      <modifiedWord>）。</modifiedWord>
      <trackRevisions>false</trackRevisions>
    </reviewItem>
    <reviewItem>
      <errorID>b3bba50b-5798-472b-8bf0-34175162ee1a</errorID>
      <errorWord>部部</errorWord>
      <group>L1_Word</group>
      <groupName>字词问题</groupName>
      <ability>L2_Typo</ability>
      <abilityName>字词错误</abilityName>
      <candidateList>
        <item>部</item>
      </candidateList>
      <explain>❶部分；部位：内～｜上～｜胸～｜局～。❷〈名〉中央政府按业务划分的单位（级别比局、厅高）：外交～｜商务～。❸一般机关企业按业务划分的单位：编辑～｜门市～。❹军队（连以上）等的领导机构或其所在地：连～｜司令～。❺〈名〉指部队：率～突围。❻〈书〉统辖；统率；所～｜～领。❼〈量〉a）用于书籍、影片等：两～字典｜一～纪录片｜三～电视剧。</explain>
      <paraID>648DCDFE</paraID>
      <start>34</start>
      <end>36</end>
      <status>unmodified</status>
      <modifiedWord/>
      <trackRevisions>false</trackRevisions>
    </reviewItem>
    <reviewItem>
      <errorID>436de2da-8b1a-48af-9fdf-fd01fce89a8c</errorID>
      <errorWord>。</errorWord>
      <group>L1_Punc</group>
      <groupName>标点问题</groupName>
      <ability>L2_Punc_CN</ability>
      <abilityName>标点符号问题</abilityName>
      <candidateList>
        <item>）。</item>
      </candidateList>
      <explain/>
      <paraID>648DCDFE</paraID>
      <start>53</start>
      <end>54</end>
      <status>unmodified</status>
      <modifiedWord/>
      <trackRevisions>false</trackRevisions>
    </reviewItem>
    <reviewItem>
      <errorID>07316c75-479c-431e-b9ba-db040da6f466</errorID>
      <errorWord>相关的其它</errorWord>
      <group>L1_Word</group>
      <groupName>字词问题</groupName>
      <ability>L2_Alias</ability>
      <abilityName>也作/曾用词</abilityName>
      <candidateList>
        <item>相关的其他</item>
      </candidateList>
      <explain>词汇[相关的其它]为不规范表述或旧称，其规范书面表述为[相关的其他]。</explain>
      <paraID>64C687A1</paraID>
      <start>71</start>
      <end>76</end>
      <status>unmodified</status>
      <modifiedWord/>
      <trackRevisions>false</trackRevisions>
    </reviewItem>
    <reviewItem>
      <errorID>de379395-72d3-48ea-a010-4acd84abc2c7</errorID>
      <errorWord>集中水式</errorWord>
      <group>L1_Word</group>
      <groupName>字词问题</groupName>
      <ability>L2_Typo</ability>
      <abilityName>字词错误</abilityName>
      <candidateList>
        <item>集中式</item>
      </candidateList>
      <explain/>
      <paraID>3AA0BC5A</paraID>
      <start>59</start>
      <end>63</end>
      <status>unmodified</status>
      <modifiedWord/>
      <trackRevisions>false</trackRevisions>
    </reviewItem>
    <reviewItem>
      <errorID>1e918c33-db72-4680-8bdf-d0e1bf12e734</errorID>
      <errorWord>浊度（浑浊度）</errorWord>
      <group>L1_Other</group>
      <groupName>其他问题</groupName>
      <ability>L2_Consistency</ability>
      <abilityName>一致性检查</abilityName>
      <candidateList>
        <item>浊度</item>
      </candidateList>
      <explain>术语一致性：表述应统一为更简洁的‘浊度’</explain>
      <paraID>32D64F76</paraID>
      <start>0</start>
      <end>7</end>
      <status>unmodified</status>
      <modifiedWord/>
      <trackRevisions>false</trackRevisions>
    </reviewItem>
    <reviewItem>
      <errorID>0e2ec1c8-3a5f-49ad-afbb-678bd547fa02</errorID>
      <errorWord>六价铬量（六价铬）</errorWord>
      <group>L1_Other</group>
      <groupName>其他问题</groupName>
      <ability>L2_Consistency</ability>
      <abilityName>一致性检查</abilityName>
      <candidateList>
        <item>六价铬</item>
      </candidateList>
      <explain>术语一致性：表述应统一为更简洁的‘六价铬’</explain>
      <paraID> FD531D2</paraID>
      <start>0</start>
      <end>9</end>
      <status>unmodified</status>
      <modifiedWord/>
      <trackRevisions>false</trackRevisions>
    </reviewItem>
    <reviewItem>
      <errorID>907dd07b-f749-4ad7-a140-550edb2880d1</errorID>
      <errorWord>海拔高度</errorWord>
      <group>L1_Word</group>
      <groupName>字词问题</groupName>
      <ability>L2_Typo</ability>
      <abilityName>字词错误</abilityName>
      <candidateList>
        <item>海拔</item>
      </candidateList>
      <explain>〈名〉从平均海平面起算的高度。</explain>
      <paraID>4104BD59</paraID>
      <start>58</start>
      <end>62</end>
      <status>unmodified</status>
      <modifiedWord/>
      <trackRevisions>false</trackRevisions>
    </reviewItem>
    <reviewItem>
      <errorID>4193ec7b-b7c4-4c51-9ae4-16e47aad6377</errorID>
      <errorWord>-</errorWord>
      <group>L1_Format</group>
      <groupName>格式问题</groupName>
      <ability>L2_HalfPunc_CN</ability>
      <abilityName>全半角问题</abilityName>
      <candidateList>
        <item>－</item>
      </candidateList>
      <explain>文本全半角错误。</explain>
      <paraID>7597E241</paraID>
      <start>16</start>
      <end>17</end>
      <status>modified</status>
      <modifiedWord>－</modifiedWord>
      <trackRevisions>false</trackRevisions>
    </reviewItem>
    <reviewItem>
      <errorID>3b85e196-9cba-45f6-adca-9dcdee1f0649</errorID>
      <errorWord>(</errorWord>
      <group>L1_Format</group>
      <groupName>格式问题</groupName>
      <ability>L2_HalfPunc_CN</ability>
      <abilityName>全半角问题</abilityName>
      <candidateList>
        <item>（</item>
      </candidateList>
      <explain>文本全半角错误。</explain>
      <paraID>5F40B44A</paraID>
      <start>7</start>
      <end>8</end>
      <status>modified</status>
      <modifiedWord>（</modifiedWord>
      <trackRevisions>false</trackRevisions>
    </reviewItem>
    <reviewItem>
      <errorID>7ed63946-9cd4-476e-a149-44ae733d6d7c</errorID>
      <errorWord>)</errorWord>
      <group>L1_Format</group>
      <groupName>格式问题</groupName>
      <ability>L2_HalfPunc_CN</ability>
      <abilityName>全半角问题</abilityName>
      <candidateList>
        <item>）</item>
      </candidateList>
      <explain>文本全半角错误。</explain>
      <paraID>5F40B44A</paraID>
      <start>9</start>
      <end>10</end>
      <status>modified</status>
      <modifiedWord>）</modifiedWord>
      <trackRevisions>false</trackRevisions>
    </reviewItem>
    <reviewItem>
      <errorID>d3e2ffb4-c035-4374-930d-4e1124c5e97b</errorID>
      <errorWord>(</errorWord>
      <group>L1_Format</group>
      <groupName>格式问题</groupName>
      <ability>L2_HalfPunc_CN</ability>
      <abilityName>全半角问题</abilityName>
      <candidateList>
        <item>（</item>
      </candidateList>
      <explain>文本全半角错误。</explain>
      <paraID>5F40B44A</paraID>
      <start>32</start>
      <end>33</end>
      <status>modified</status>
      <modifiedWord>（</modifiedWord>
      <trackRevisions>false</trackRevisions>
    </reviewItem>
    <reviewItem>
      <errorID>ac296462-32e5-4521-a8a2-d995478a0ea8</errorID>
      <errorWord>)</errorWord>
      <group>L1_Format</group>
      <groupName>格式问题</groupName>
      <ability>L2_HalfPunc_CN</ability>
      <abilityName>全半角问题</abilityName>
      <candidateList>
        <item>）</item>
      </candidateList>
      <explain>文本全半角错误。</explain>
      <paraID>5F40B44A</paraID>
      <start>35</start>
      <end>36</end>
      <status>modified</status>
      <modifiedWord>）</modifiedWord>
      <trackRevisions>false</trackRevisions>
    </reviewItem>
    <reviewItem>
      <errorID>c4e37161-571d-49d5-924b-ab98177bd353</errorID>
      <errorWord>拌有</errorWord>
      <group>L1_Word</group>
      <groupName>字词问题</groupName>
      <ability>L2_Typo</ability>
      <abilityName>字词错误</abilityName>
      <candidateList>
        <item>伴有</item>
      </candidateList>
      <explain>存在发音相同字词的误用。</explain>
      <paraID>24C75C5D</paraID>
      <start>64</start>
      <end>66</end>
      <status>modified</status>
      <modifiedWord>伴有</modifiedWord>
      <trackRevisions>false</trackRevisions>
    </reviewItem>
    <reviewItem>
      <errorID>5939158e-850d-4ca9-b6c9-c34d55ac32be</errorID>
      <errorWord>(</errorWord>
      <group>L1_Format</group>
      <groupName>格式问题</groupName>
      <ability>L2_HalfPunc_CN</ability>
      <abilityName>全半角问题</abilityName>
      <candidateList>
        <item>（</item>
      </candidateList>
      <explain>文本全半角错误。</explain>
      <paraID>4F711932</paraID>
      <start>5</start>
      <end>6</end>
      <status>modified</status>
      <modifiedWord>（</modifiedWord>
      <trackRevisions>false</trackRevisions>
    </reviewItem>
    <reviewItem>
      <errorID>c485a197-b74e-4cc1-80de-ab46c61cefde</errorID>
      <errorWord>)</errorWord>
      <group>L1_Format</group>
      <groupName>格式问题</groupName>
      <ability>L2_HalfPunc_CN</ability>
      <abilityName>全半角问题</abilityName>
      <candidateList>
        <item>）</item>
      </candidateList>
      <explain>文本全半角错误。</explain>
      <paraID>4F711932</paraID>
      <start>8</start>
      <end>9</end>
      <status>modified</status>
      <modifiedWord>）</modifiedWord>
      <trackRevisions>false</trackRevisions>
    </reviewItem>
    <reviewItem>
      <errorID>fac4feb9-83b4-4260-b60c-bfd67815bcde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5249B1B2</paraID>
      <start>62</start>
      <end>63</end>
      <status>modified</status>
      <modifiedWord>—</modifiedWord>
      <trackRevisions>false</trackRevisions>
    </reviewItem>
    <reviewItem>
      <errorID>670d428f-c29f-4ce5-bac7-f889749b45e6</errorID>
      <errorWord>(</errorWord>
      <group>L1_Format</group>
      <groupName>格式问题</groupName>
      <ability>L2_HalfPunc_CN</ability>
      <abilityName>全半角问题</abilityName>
      <candidateList>
        <item>（</item>
      </candidateList>
      <explain>文本全半角错误。</explain>
      <paraID>4AE08F21</paraID>
      <start>4</start>
      <end>5</end>
      <status>modified</status>
      <modifiedWord>（</modifiedWord>
      <trackRevisions>false</trackRevisions>
    </reviewItem>
    <reviewItem>
      <errorID>077fe311-a869-49f8-80da-f136c537bc17</errorID>
      <errorWord>)</errorWord>
      <group>L1_Format</group>
      <groupName>格式问题</groupName>
      <ability>L2_HalfPunc_CN</ability>
      <abilityName>全半角问题</abilityName>
      <candidateList>
        <item>）</item>
      </candidateList>
      <explain>文本全半角错误。</explain>
      <paraID>4AE08F21</paraID>
      <start>6</start>
      <end>7</end>
      <status>modified</status>
      <modifiedWord>）</modifiedWord>
      <trackRevisions>false</trackRevisions>
    </reviewItem>
    <reviewItem>
      <errorID>72b47a60-ef86-40ad-91cf-36110320bdf9</errorID>
      <errorWord>(</errorWord>
      <group>L1_Format</group>
      <groupName>格式问题</groupName>
      <ability>L2_HalfPunc_CN</ability>
      <abilityName>全半角问题</abilityName>
      <candidateList>
        <item>（</item>
      </candidateList>
      <explain>文本全半角错误。</explain>
      <paraID>39201233</paraID>
      <start>10</start>
      <end>11</end>
      <status>modified</status>
      <modifiedWord>（</modifiedWord>
      <trackRevisions>false</trackRevisions>
    </reviewItem>
    <reviewItem>
      <errorID>6c0b7aea-6cfd-438b-93b3-1b89402f7a94</errorID>
      <errorWord>)</errorWord>
      <group>L1_Format</group>
      <groupName>格式问题</groupName>
      <ability>L2_HalfPunc_CN</ability>
      <abilityName>全半角问题</abilityName>
      <candidateList>
        <item>）</item>
      </candidateList>
      <explain>文本全半角错误。</explain>
      <paraID>39201233</paraID>
      <start>13</start>
      <end>14</end>
      <status>modified</status>
      <modifiedWord>）</modifiedWord>
      <trackRevisions>false</trackRevisions>
    </reviewItem>
    <reviewItem>
      <errorID>6ee3e8c6-61d9-4f40-89c9-0540f6a0a704</errorID>
      <errorWord>的粘性</errorWord>
      <group>L1_Word</group>
      <groupName>字词问题</groupName>
      <ability>L2_Typo</ability>
      <abilityName>字词错误</abilityName>
      <candidateList>
        <item>的黏性</item>
      </candidateList>
      <explain/>
      <paraID>4FE960B2</paraID>
      <start>39</start>
      <end>42</end>
      <status>modified</status>
      <modifiedWord>的黏性</modifiedWord>
      <trackRevisions>false</trackRevisions>
    </reviewItem>
    <reviewItem>
      <errorID>0640b241-b2a1-435a-aebf-b84b26e92422</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4FE960B2</paraID>
      <start>51</start>
      <end>52</end>
      <status>modified</status>
      <modifiedWord>—</modifiedWord>
      <trackRevisions>false</trackRevisions>
    </reviewItem>
    <reviewItem>
      <errorID>107b7db1-13e3-4129-8a28-682d164261ca</errorID>
      <errorWord>(</errorWord>
      <group>L1_Format</group>
      <groupName>格式问题</groupName>
      <ability>L2_HalfPunc_CN</ability>
      <abilityName>全半角问题</abilityName>
      <candidateList>
        <item>（</item>
      </candidateList>
      <explain>文本全半角错误。</explain>
      <paraID>650150F6</paraID>
      <start>11</start>
      <end>12</end>
      <status>modified</status>
      <modifiedWord>（</modifiedWord>
      <trackRevisions>false</trackRevisions>
    </reviewItem>
    <reviewItem>
      <errorID>2c9cb723-a19b-4664-a541-ded007888054</errorID>
      <errorWord>)</errorWord>
      <group>L1_Format</group>
      <groupName>格式问题</groupName>
      <ability>L2_HalfPunc_CN</ability>
      <abilityName>全半角问题</abilityName>
      <candidateList>
        <item>）</item>
      </candidateList>
      <explain>文本全半角错误。</explain>
      <paraID>650150F6</paraID>
      <start>14</start>
      <end>15</end>
      <status>modified</status>
      <modifiedWord>）</modifiedWord>
      <trackRevisions>false</trackRevisions>
    </reviewItem>
    <reviewItem>
      <errorID>0662245a-c1a1-4067-8f5d-b5ff2844e896</errorID>
      <errorWord>-</errorWord>
      <group>L1_Format</group>
      <groupName>格式问题</groupName>
      <ability>L2_HalfPunc_CN</ability>
      <abilityName>全半角问题</abilityName>
      <candidateList>
        <item>－</item>
      </candidateList>
      <explain>文本全半角错误。</explain>
      <paraID>58768562</paraID>
      <start>24</start>
      <end>25</end>
      <status>modified</status>
      <modifiedWord>－</modifiedWord>
      <trackRevisions>false</trackRevisions>
    </reviewItem>
    <reviewItem>
      <errorID>c38c5985-17dc-4ac4-b234-f58494e1de06</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58768562</paraID>
      <start>113</start>
      <end>114</end>
      <status>modified</status>
      <modifiedWord>—</modifiedWord>
      <trackRevisions>false</trackRevisions>
    </reviewItem>
    <reviewItem>
      <errorID>7a523e4f-7388-47c9-a240-b1fa4ed0a365</errorID>
      <errorWord>(</errorWord>
      <group>L1_Format</group>
      <groupName>格式问题</groupName>
      <ability>L2_HalfPunc_CN</ability>
      <abilityName>全半角问题</abilityName>
      <candidateList>
        <item>（</item>
      </candidateList>
      <explain>文本全半角错误。</explain>
      <paraID> F7BF577</paraID>
      <start>7</start>
      <end>8</end>
      <status>modified</status>
      <modifiedWord>（</modifiedWord>
      <trackRevisions>false</trackRevisions>
    </reviewItem>
    <reviewItem>
      <errorID>ca433ce3-0ca9-477f-a6c7-985e5c2ac90b</errorID>
      <errorWord>)</errorWord>
      <group>L1_Format</group>
      <groupName>格式问题</groupName>
      <ability>L2_HalfPunc_CN</ability>
      <abilityName>全半角问题</abilityName>
      <candidateList>
        <item>）</item>
      </candidateList>
      <explain>文本全半角错误。</explain>
      <paraID> F7BF577</paraID>
      <start>13</start>
      <end>14</end>
      <status>modified</status>
      <modifiedWord>）</modifiedWord>
      <trackRevisions>false</trackRevisions>
    </reviewItem>
    <reviewItem>
      <errorID>9adf55cc-8881-4d0f-84a2-bea95ef7f71a</errorID>
      <errorWord>(</errorWord>
      <group>L1_Format</group>
      <groupName>格式问题</groupName>
      <ability>L2_HalfPunc_CN</ability>
      <abilityName>全半角问题</abilityName>
      <candidateList>
        <item>（</item>
      </candidateList>
      <explain>文本全半角错误。</explain>
      <paraID>3DD665BB</paraID>
      <start>19</start>
      <end>20</end>
      <status>modified</status>
      <modifiedWord>（</modifiedWord>
      <trackRevisions>false</trackRevisions>
    </reviewItem>
    <reviewItem>
      <errorID>85e70b06-fde5-4125-bf41-3521497b021e</errorID>
      <errorWord>)</errorWord>
      <group>L1_Format</group>
      <groupName>格式问题</groupName>
      <ability>L2_HalfPunc_CN</ability>
      <abilityName>全半角问题</abilityName>
      <candidateList>
        <item>）</item>
      </candidateList>
      <explain>文本全半角错误。</explain>
      <paraID>3DD665BB</paraID>
      <start>21</start>
      <end>22</end>
      <status>modified</status>
      <modifiedWord>）</modifiedWord>
      <trackRevisions>false</trackRevisions>
    </reviewItem>
    <reviewItem>
      <errorID>1a672a9e-2649-4bc6-93cd-896dc3360d2c</errorID>
      <errorWord>主要以深成侵入岩为主</errorWord>
      <group>L1_Grammar</group>
      <groupName>语法问题</groupName>
      <ability>L2_Grammar</ability>
      <abilityName>语法错误</abilityName>
      <candidateList>
        <item>以深成侵入岩为主</item>
      </candidateList>
      <explain>该表达中的“主要以深成侵入岩为主”存在语义重复。</explain>
      <paraID>5CDEFEBF</paraID>
      <start>2</start>
      <end>10</end>
      <status>modified</status>
      <modifiedWord>以深成侵入岩为主</modifiedWord>
      <trackRevisions>false</trackRevisions>
    </reviewItem>
    <reviewItem>
      <errorID>25a85637-6cdf-4100-affc-a111951142b5</errorID>
      <errorWord>(</errorWord>
      <group>L1_Format</group>
      <groupName>格式问题</groupName>
      <ability>L2_HalfPunc_CN</ability>
      <abilityName>全半角问题</abilityName>
      <candidateList>
        <item>（</item>
      </candidateList>
      <explain>文本全半角错误。</explain>
      <paraID>5CDEFEBF</paraID>
      <start>30</start>
      <end>31</end>
      <status>modified</status>
      <modifiedWord>（</modifiedWord>
      <trackRevisions>false</trackRevisions>
    </reviewItem>
    <reviewItem>
      <errorID>a887457a-98e9-4401-9736-34187bd44764</errorID>
      <errorWord>)</errorWord>
      <group>L1_Format</group>
      <groupName>格式问题</groupName>
      <ability>L2_HalfPunc_CN</ability>
      <abilityName>全半角问题</abilityName>
      <candidateList>
        <item>）</item>
      </candidateList>
      <explain>文本全半角错误。</explain>
      <paraID>5CDEFEBF</paraID>
      <start>35</start>
      <end>36</end>
      <status>modified</status>
      <modifiedWord>）</modifiedWord>
      <trackRevisions>false</trackRevisions>
    </reviewItem>
    <reviewItem>
      <errorID>e7c6d3a9-e9bf-4597-8e33-cfa47dabbe31</errorID>
      <errorWord>主要以花岗岩为主</errorWord>
      <group>L1_Grammar</group>
      <groupName>语法问题</groupName>
      <ability>L2_Grammar</ability>
      <abilityName>语法错误</abilityName>
      <candidateList>
        <item>以花岗岩为主</item>
      </candidateList>
      <explain>该表达中的“主要以花岗岩为主”存在语义重复。</explain>
      <paraID>5CDEFEBF</paraID>
      <start>37</start>
      <end>43</end>
      <status>modified</status>
      <modifiedWord>以花岗岩为主</modifiedWord>
      <trackRevisions>false</trackRevisions>
    </reviewItem>
    <reviewItem>
      <errorID>5804a2e8-d35b-4290-80f2-0c4189d5ccea</errorID>
      <errorWord>"</errorWord>
      <group>L1_Format</group>
      <groupName>格式问题</groupName>
      <ability>L2_HalfPunc_CN</ability>
      <abilityName>全半角问题</abilityName>
      <candidateList>
        <item>“</item>
      </candidateList>
      <explain>文本全半角错误。</explain>
      <paraID> 2820AE2</paraID>
      <start>56</start>
      <end>57</end>
      <status>modified</status>
      <modifiedWord>“</modifiedWord>
      <trackRevisions>false</trackRevisions>
    </reviewItem>
    <reviewItem>
      <errorID>63fabd53-104b-4d59-8f60-e66c916628ce</errorID>
      <errorWord>"</errorWord>
      <group>L1_Format</group>
      <groupName>格式问题</groupName>
      <ability>L2_HalfPunc_CN</ability>
      <abilityName>全半角问题</abilityName>
      <candidateList>
        <item>”</item>
      </candidateList>
      <explain>文本全半角错误。</explain>
      <paraID> 2820AE2</paraID>
      <start>60</start>
      <end>61</end>
      <status>modified</status>
      <modifiedWord>”</modifiedWord>
      <trackRevisions>false</trackRevisions>
    </reviewItem>
    <reviewItem>
      <errorID>ee4b3a65-f815-452d-afba-44bb16c36026</errorID>
      <errorWord>"</errorWord>
      <group>L1_Format</group>
      <groupName>格式问题</groupName>
      <ability>L2_HalfPunc_CN</ability>
      <abilityName>全半角问题</abilityName>
      <candidateList>
        <item>“</item>
      </candidateList>
      <explain>文本全半角错误。</explain>
      <paraID> 2820AE2</paraID>
      <start>62</start>
      <end>63</end>
      <status>modified</status>
      <modifiedWord>“</modifiedWord>
      <trackRevisions>false</trackRevisions>
    </reviewItem>
    <reviewItem>
      <errorID>f06ddc2b-bbdd-4271-a1c0-17c0d4b690dc</errorID>
      <errorWord>"</errorWord>
      <group>L1_Format</group>
      <groupName>格式问题</groupName>
      <ability>L2_HalfPunc_CN</ability>
      <abilityName>全半角问题</abilityName>
      <candidateList>
        <item>”</item>
      </candidateList>
      <explain>文本全半角错误。</explain>
      <paraID> 2820AE2</paraID>
      <start>66</start>
      <end>67</end>
      <status>modified</status>
      <modifiedWord>”</modifiedWord>
      <trackRevisions>false</trackRevisions>
    </reviewItem>
    <reviewItem>
      <errorID>20c32890-19a5-43ae-a3c9-88eb5cd9bfed</errorID>
      <errorWord>"</errorWord>
      <group>L1_Format</group>
      <groupName>格式问题</groupName>
      <ability>L2_HalfPunc_CN</ability>
      <abilityName>全半角问题</abilityName>
      <candidateList>
        <item>“</item>
      </candidateList>
      <explain>文本全半角错误。</explain>
      <paraID> 2820AE2</paraID>
      <start>70</start>
      <end>71</end>
      <status>modified</status>
      <modifiedWord>“</modifiedWord>
      <trackRevisions>false</trackRevisions>
    </reviewItem>
    <reviewItem>
      <errorID>2c5913ef-9861-4b05-a9e6-95d9af308517</errorID>
      <errorWord>"</errorWord>
      <group>L1_Format</group>
      <groupName>格式问题</groupName>
      <ability>L2_HalfPunc_CN</ability>
      <abilityName>全半角问题</abilityName>
      <candidateList>
        <item>”</item>
      </candidateList>
      <explain>文本全半角错误。</explain>
      <paraID> 2820AE2</paraID>
      <start>74</start>
      <end>75</end>
      <status>modified</status>
      <modifiedWord>”</modifiedWord>
      <trackRevisions>false</trackRevisions>
    </reviewItem>
    <reviewItem>
      <errorID>a538fa00-fe93-4a75-b865-fcb69aaa3034</errorID>
      <errorWord>"</errorWord>
      <group>L1_Format</group>
      <groupName>格式问题</groupName>
      <ability>L2_HalfPunc_CN</ability>
      <abilityName>全半角问题</abilityName>
      <candidateList>
        <item>“</item>
      </candidateList>
      <explain>文本全半角错误。</explain>
      <paraID> 2820AE2</paraID>
      <start>78</start>
      <end>79</end>
      <status>modified</status>
      <modifiedWord>“</modifiedWord>
      <trackRevisions>false</trackRevisions>
    </reviewItem>
    <reviewItem>
      <errorID>77e61fe2-a696-44f2-ae98-88b12a66aff7</errorID>
      <errorWord>"</errorWord>
      <group>L1_Format</group>
      <groupName>格式问题</groupName>
      <ability>L2_HalfPunc_CN</ability>
      <abilityName>全半角问题</abilityName>
      <candidateList>
        <item>”</item>
      </candidateList>
      <explain>文本全半角错误。</explain>
      <paraID> 2820AE2</paraID>
      <start>82</start>
      <end>83</end>
      <status>modified</status>
      <modifiedWord>”</modifiedWord>
      <trackRevisions>false</trackRevisions>
    </reviewItem>
    <reviewItem>
      <errorID>fb4b2bb1-0756-4ffa-acd0-99245c7d2e7e</errorID>
      <errorWord>"</errorWord>
      <group>L1_Format</group>
      <groupName>格式问题</groupName>
      <ability>L2_HalfPunc_CN</ability>
      <abilityName>全半角问题</abilityName>
      <candidateList>
        <item>“</item>
      </candidateList>
      <explain>文本全半角错误。</explain>
      <paraID> 2820AE2</paraID>
      <start>87</start>
      <end>88</end>
      <status>modified</status>
      <modifiedWord>“</modifiedWord>
      <trackRevisions>false</trackRevisions>
    </reviewItem>
    <reviewItem>
      <errorID>cd5d2fc1-1174-4244-969d-1409679002bc</errorID>
      <errorWord>"</errorWord>
      <group>L1_Format</group>
      <groupName>格式问题</groupName>
      <ability>L2_HalfPunc_CN</ability>
      <abilityName>全半角问题</abilityName>
      <candidateList>
        <item>”</item>
      </candidateList>
      <explain>文本全半角错误。</explain>
      <paraID> 2820AE2</paraID>
      <start>91</start>
      <end>92</end>
      <status>modified</status>
      <modifiedWord>”</modifiedWord>
      <trackRevisions>false</trackRevisions>
    </reviewItem>
    <reviewItem>
      <errorID>0bf738d4-bba9-41cb-b1dc-f6fb9152849f</errorID>
      <errorWord>"</errorWord>
      <group>L1_Format</group>
      <groupName>格式问题</groupName>
      <ability>L2_HalfPunc_CN</ability>
      <abilityName>全半角问题</abilityName>
      <candidateList>
        <item>“</item>
      </candidateList>
      <explain>文本全半角错误。</explain>
      <paraID> 2820AE2</paraID>
      <start>93</start>
      <end>94</end>
      <status>modified</status>
      <modifiedWord>“</modifiedWord>
      <trackRevisions>false</trackRevisions>
    </reviewItem>
    <reviewItem>
      <errorID>437bd56c-7552-405c-b609-3deb695c8040</errorID>
      <errorWord>"</errorWord>
      <group>L1_Format</group>
      <groupName>格式问题</groupName>
      <ability>L2_HalfPunc_CN</ability>
      <abilityName>全半角问题</abilityName>
      <candidateList>
        <item>”</item>
      </candidateList>
      <explain>文本全半角错误。</explain>
      <paraID> 2820AE2</paraID>
      <start>97</start>
      <end>98</end>
      <status>modified</status>
      <modifiedWord>”</modifiedWord>
      <trackRevisions>false</trackRevisions>
    </reviewItem>
    <reviewItem>
      <errorID>3acd00d5-83de-436e-a1fa-7e99755467fb</errorID>
      <errorWord>"</errorWord>
      <group>L1_Format</group>
      <groupName>格式问题</groupName>
      <ability>L2_HalfPunc_CN</ability>
      <abilityName>全半角问题</abilityName>
      <candidateList>
        <item>“</item>
      </candidateList>
      <explain>文本全半角错误。</explain>
      <paraID> 2820AE2</paraID>
      <start>103</start>
      <end>104</end>
      <status>modified</status>
      <modifiedWord>“</modifiedWord>
      <trackRevisions>false</trackRevisions>
    </reviewItem>
    <reviewItem>
      <errorID>8c533f73-295d-419f-a2de-ad8bdf9a32f8</errorID>
      <errorWord>"</errorWord>
      <group>L1_Format</group>
      <groupName>格式问题</groupName>
      <ability>L2_HalfPunc_CN</ability>
      <abilityName>全半角问题</abilityName>
      <candidateList>
        <item>”</item>
      </candidateList>
      <explain>文本全半角错误。</explain>
      <paraID> 2820AE2</paraID>
      <start>107</start>
      <end>108</end>
      <status>modified</status>
      <modifiedWord>”</modifiedWord>
      <trackRevisions>false</trackRevisions>
    </reviewItem>
    <reviewItem>
      <errorID>b784dfc0-f904-4f7a-8ca2-cd4a6f1ffbc8</errorID>
      <errorWord>(</errorWord>
      <group>L1_Format</group>
      <groupName>格式问题</groupName>
      <ability>L2_HalfPunc_CN</ability>
      <abilityName>全半角问题</abilityName>
      <candidateList>
        <item>（</item>
      </candidateList>
      <explain>文本全半角错误。</explain>
      <paraID> 2820AE2</paraID>
      <start>154</start>
      <end>155</end>
      <status>modified</status>
      <modifiedWord>（</modifiedWord>
      <trackRevisions>false</trackRevisions>
    </reviewItem>
    <reviewItem>
      <errorID>68f9ccf7-aa0f-45fb-badb-8e7844485b35</errorID>
      <errorWord>)</errorWord>
      <group>L1_Format</group>
      <groupName>格式问题</groupName>
      <ability>L2_HalfPunc_CN</ability>
      <abilityName>全半角问题</abilityName>
      <candidateList>
        <item>）</item>
      </candidateList>
      <explain>文本全半角错误。</explain>
      <paraID> 2820AE2</paraID>
      <start>159</start>
      <end>160</end>
      <status>modified</status>
      <modifiedWord>）</modifiedWord>
      <trackRevisions>false</trackRevisions>
    </reviewItem>
    <reviewItem>
      <errorID>6bd5bfe8-4e04-41da-a26e-9803d56a85d0</errorID>
      <errorWord>;</errorWord>
      <group>L1_Format</group>
      <groupName>格式问题</groupName>
      <ability>L2_HalfPunc_CN</ability>
      <abilityName>全半角问题</abilityName>
      <candidateList>
        <item>；</item>
      </candidateList>
      <explain>文本全半角错误。</explain>
      <paraID> 2820AE2</paraID>
      <start>165</start>
      <end>166</end>
      <status>modified</status>
      <modifiedWord>；</modifiedWord>
      <trackRevisions>false</trackRevisions>
    </reviewItem>
    <reviewItem>
      <errorID>963ec11a-c741-41f4-9507-6da7f20b1843</errorID>
      <errorWord>(</errorWord>
      <group>L1_Format</group>
      <groupName>格式问题</groupName>
      <ability>L2_HalfPunc_CN</ability>
      <abilityName>全半角问题</abilityName>
      <candidateList>
        <item>（</item>
      </candidateList>
      <explain>文本全半角错误。</explain>
      <paraID> 2820AE2</paraID>
      <start>213</start>
      <end>214</end>
      <status>modified</status>
      <modifiedWord>（</modifiedWord>
      <trackRevisions>false</trackRevisions>
    </reviewItem>
    <reviewItem>
      <errorID>c980d749-2fdc-4c76-acb0-34277c064120</errorID>
      <errorWord>)</errorWord>
      <group>L1_Format</group>
      <groupName>格式问题</groupName>
      <ability>L2_HalfPunc_CN</ability>
      <abilityName>全半角问题</abilityName>
      <candidateList>
        <item>）</item>
      </candidateList>
      <explain>文本全半角错误。</explain>
      <paraID> 2820AE2</paraID>
      <start>221</start>
      <end>222</end>
      <status>modified</status>
      <modifiedWord>）</modifiedWord>
      <trackRevisions>false</trackRevisions>
    </reviewItem>
    <reviewItem>
      <errorID>3fe723d8-066c-4828-aa89-183e717a5b9f</errorID>
      <errorWord>流经在</errorWord>
      <group>L1_Word</group>
      <groupName>字词问题</groupName>
      <ability>L2_Typo</ability>
      <abilityName>字词错误</abilityName>
      <candidateList>
        <item>流经</item>
      </candidateList>
      <explain/>
      <paraID>29956F69</paraID>
      <start>5</start>
      <end>7</end>
      <status>modified</status>
      <modifiedWord>流经</modifiedWord>
      <trackRevisions>false</trackRevisions>
    </reviewItem>
    <reviewItem>
      <errorID>14325622-a384-47e6-a956-13425697ecb1</errorID>
      <errorWord>、</errorWord>
      <group>L1_Punc</group>
      <groupName>标点问题</groupName>
      <ability>L2_Punc_CN</ability>
      <abilityName>标点符号问题</abilityName>
      <candidateList>
        <item>，</item>
      </candidateList>
      <explain/>
      <paraID>660B10F5</paraID>
      <start>19</start>
      <end>20</end>
      <status>modified</status>
      <modifiedWord>，</modifiedWord>
      <trackRevisions>false</trackRevisions>
    </reviewItem>
    <reviewItem>
      <errorID>c2153e5c-2a5e-4546-a1e7-d8d9b3f80d26</errorID>
      <errorWord>饮水</errorWord>
      <group>L1_Word</group>
      <groupName>字词问题</groupName>
      <ability>L2_Typo</ability>
      <abilityName>字词错误</abilityName>
      <candidateList>
        <item>与饮水</item>
      </candidateList>
      <explain/>
      <paraID>660B10F5</paraID>
      <start>21</start>
      <end>24</end>
      <status>modified</status>
      <modifiedWord>与饮水</modifiedWord>
      <trackRevisions>false</trackRevisions>
    </reviewItem>
    <reviewItem>
      <errorID>07b23a08-41dc-4059-8485-81342cede1bf</errorID>
      <errorWord>、</errorWord>
      <group>L1_Grammar</group>
      <groupName>语法问题</groupName>
      <ability>L2_Grammar</ability>
      <abilityName>语法错误</abilityName>
      <candidateList>
        <item>点，无与</item>
      </candidateList>
      <explain/>
      <paraID> 8E6C281</paraID>
      <start>25</start>
      <end>29</end>
      <status>modified</status>
      <modifiedWord>点，无与</modifiedWord>
      <trackRevisions>false</trackRevisions>
    </reviewItem>
    <reviewItem>
      <errorID>21f0c23f-e745-4446-971d-7f70208332bd</errorID>
      <errorWord>地方</errorWord>
      <group>L1_Word</group>
      <groupName>字词问题</groupName>
      <ability>L2_Typo</ability>
      <abilityName>字词错误</abilityName>
      <candidateList>
        <item>和地方</item>
      </candidateList>
      <explain/>
      <paraID>4C9C95AB</paraID>
      <start>16</start>
      <end>19</end>
      <status>modified</status>
      <modifiedWord>和地方</modifiedWord>
      <trackRevisions>false</trackRevisions>
    </reviewItem>
    <reviewItem>
      <errorID>fd298b76-6154-4d6c-949b-fb7f0b0e9f3a</errorID>
      <errorWord>相关</errorWord>
      <group>L1_Word</group>
      <groupName>字词问题</groupName>
      <ability>L2_Typo</ability>
      <abilityName>字词错误</abilityName>
      <candidateList>
        <item>的</item>
      </candidateList>
      <explain/>
      <paraID>4C9C95AB</paraID>
      <start>26</start>
      <end>27</end>
      <status>modified</status>
      <modifiedWord>的</modifiedWord>
      <trackRevisions>false</trackRevisions>
    </reviewItem>
    <reviewItem>
      <errorID>d7c70c70-7e76-4f1d-aa71-4860917a4468</errorID>
      <errorWord>法律、法规</errorWord>
      <group>L1_Word</group>
      <groupName>字词问题</groupName>
      <ability>L2_Typo</ability>
      <abilityName>字词错误</abilityName>
      <candidateList>
        <item>法律法规</item>
      </candidateList>
      <explain/>
      <paraID>4C9C95AB</paraID>
      <start>27</start>
      <end>31</end>
      <status>modified</status>
      <modifiedWord>法律法规</modifiedWord>
      <trackRevisions>false</trackRevisions>
    </reviewItem>
    <reviewItem>
      <errorID>938fe413-cc8f-49ba-86da-c0bf09e9fdcd</errorID>
      <errorWord>，</errorWord>
      <group>L1_Word</group>
      <groupName>字词问题</groupName>
      <ability>L2_Typo</ability>
      <abilityName>字词错误</abilityName>
      <candidateList>
        <item>，用</item>
      </candidateList>
      <explain/>
      <paraID>2CB1CCFF</paraID>
      <start>45</start>
      <end>47</end>
      <status>modified</status>
      <modifiedWord>，用</modifiedWord>
      <trackRevisions>false</trackRevisions>
    </reviewItem>
    <reviewItem>
      <errorID>fef25e2b-db38-4a8c-8844-356fa5296380</errorID>
      <errorWord>它</errorWord>
      <group>L1_Word</group>
      <groupName>字词问题</groupName>
      <ability>L2_Typo</ability>
      <abilityName>字词错误</abilityName>
      <candidateList>
        <item>他</item>
      </candidateList>
      <explain/>
      <paraID> 20C0330</paraID>
      <start>56</start>
      <end>57</end>
      <status>modified</status>
      <modifiedWord>他</modifiedWord>
      <trackRevisions>false</trackRevisions>
    </reviewItem>
    <reviewItem>
      <errorID>35119ce2-4f22-4da3-aa40-bebad105e984</errorID>
      <errorWord>虽然当</errorWord>
      <group>L1_Word</group>
      <groupName>字词问题</groupName>
      <ability>L2_Typo</ability>
      <abilityName>字词错误</abilityName>
      <candidateList>
        <item>虽然</item>
      </candidateList>
      <explain/>
      <paraID>27D36341</paraID>
      <start>97</start>
      <end>99</end>
      <status>modified</status>
      <modifiedWord>虽然</modifiedWord>
      <trackRevisions>false</trackRevisions>
    </reviewItem>
    <reviewItem>
      <errorID>b6f4f65e-146f-4441-9c1d-ee19b49c4050</errorID>
      <errorWord>变化</errorWord>
      <group>L1_Grammar</group>
      <groupName>语法问题</groupName>
      <ability>L2_Grammar</ability>
      <abilityName>语法错误</abilityName>
      <candidateList>
        <item>会有变化</item>
      </candidateList>
      <explain/>
      <paraID>27D36341</paraID>
      <start>111</start>
      <end>115</end>
      <status>modified</status>
      <modifiedWord>会有变化</modifiedWord>
      <trackRevisions>false</trackRevisions>
    </reviewItem>
    <reviewItem>
      <errorID>96b2adbb-c9aa-4297-acfa-ba8ca789d052</errorID>
      <errorWord>开采</errorWord>
      <group>L1_Word</group>
      <groupName>字词问题</groupName>
      <ability>L2_Typo</ability>
      <abilityName>字词错误</abilityName>
      <candidateList>
        <item>但开采</item>
      </candidateList>
      <explain/>
      <paraID>27D36341</paraID>
      <start>116</start>
      <end>119</end>
      <status>modified</status>
      <modifiedWord>但开采</modifiedWord>
      <trackRevisions>false</trackRevisions>
    </reviewItem>
    <reviewItem>
      <errorID>53a81b07-b63e-4b84-ad9f-bc3a8312a7a1</errorID>
      <errorWord>水质变化</errorWord>
      <group>L1_Grammar</group>
      <groupName>语法问题</groupName>
      <ability>L2_Grammar</ability>
      <abilityName>语法错误</abilityName>
      <candidateList>
        <item>水质</item>
      </candidateList>
      <explain/>
      <paraID>27D36341</paraID>
      <start>149</start>
      <end>151</end>
      <status>modified</status>
      <modifiedWord>水质</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12D7A3-A5F4-4355-8AEE-2C5786D41A8F}">
  <ds:schemaRefs/>
</ds:datastoreItem>
</file>

<file path=customXml/itemProps3.xml><?xml version="1.0" encoding="utf-8"?>
<ds:datastoreItem xmlns:ds="http://schemas.openxmlformats.org/officeDocument/2006/customXml" ds:itemID="{bf303d12-94b1-43e7-8ce0-73ea5e508708}">
  <ds:schemaRefs/>
</ds:datastoreItem>
</file>

<file path=docProps/app.xml><?xml version="1.0" encoding="utf-8"?>
<Properties xmlns="http://schemas.openxmlformats.org/officeDocument/2006/extended-properties" xmlns:vt="http://schemas.openxmlformats.org/officeDocument/2006/docPropsVTypes">
  <Template>Normal</Template>
  <Company>hks</Company>
  <Pages>11</Pages>
  <Words>36</Words>
  <Characters>44</Characters>
  <Lines>96</Lines>
  <Paragraphs>27</Paragraphs>
  <TotalTime>4</TotalTime>
  <ScaleCrop>false</ScaleCrop>
  <LinksUpToDate>false</LinksUpToDate>
  <CharactersWithSpaces>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2022-04-22T07:52:00Z</dcterms:created>
  <dc:creator>Administrator</dc:creator>
  <cp:lastModifiedBy>wps</cp:lastModifiedBy>
  <cp:lastPrinted>2016-06-01T01:21:00Z</cp:lastPrinted>
  <dcterms:modified xsi:type="dcterms:W3CDTF">2026-08-05T02:02:17Z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463B9341BA354AC78EA235C0C2023254_13</vt:lpwstr>
  </property>
  <property fmtid="{D5CDD505-2E9C-101B-9397-08002B2CF9AE}" pid="4" name="KSOTemplateDocerSaveRecord">
    <vt:lpwstr>eyJoZGlkIjoiNjY3MTAyZWNmMDQ3ZjU5YjRlNDAzZWVjNzhkZjc4MWQiLCJ1c2VySWQiOiI0NTUxNzkzMTMifQ==</vt:lpwstr>
  </property>
</Properties>
</file>