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鸡环审〔2025〕28号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bCs/>
          <w:sz w:val="32"/>
          <w:szCs w:val="32"/>
          <w:shd w:val="clear" w:color="auto" w:fill="auto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jc w:val="center"/>
        <w:rPr>
          <w:rFonts w:ascii="方正小标宋简体" w:eastAsia="方正小标宋简体" w:cs="方正小标宋简体" w:hAnsi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auto"/>
        </w:rPr>
        <w:t>关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</w:rPr>
        <w:t>于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val="en-US" w:eastAsia="zh-CN"/>
        </w:rPr>
        <w:t>鸡西市滴道区金铁货场储煤场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jc w:val="center"/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</w:rPr>
      </w:pP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val="en-US" w:eastAsia="zh-CN"/>
        </w:rPr>
        <w:t>建设项目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auto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鸡西市滴道区金铁货场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你单位《关于申请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鸡西市滴道区金铁货场储煤场建设项目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环境影响评价文件的函》及相关材料收悉，经研究，批复如下。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tabs>
          <w:tab w:val="left" w:pos="4725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该项目属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新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工程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拟建于鸡西市滴道区滴道河乡金铁村西北1.5km处，占地面积77117m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，新建1座最大储煤量3万吨储煤场及其配套环保工程、储运工程等，项目建成后，年周转煤炭约30万吨，年运输次数15000次。项目总投资80万元，其中环保投资68万元。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该项目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在全面落实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《鸡西市滴道区金铁货场储煤场建设项目环境影响报告表》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（以下简称《报告表》）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和本批复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提出的各项生态环境保护措施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后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，对环境的不利影响可以得到缓解和控制。我局原则同意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报告表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》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中的环境影响评价总体结论和各项生态环境保护措施。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200" w:firstLine="640"/>
        <w:jc w:val="both"/>
        <w:textAlignment w:val="auto"/>
        <w:outlineLvl w:val="9"/>
        <w:rPr>
          <w:rFonts w:ascii="黑体" w:eastAsia="黑体" w:cs="黑体" w:hAnsi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200" w:firstLine="640"/>
        <w:jc w:val="both"/>
        <w:textAlignment w:val="auto"/>
        <w:outlineLvl w:val="9"/>
        <w:rPr>
          <w:rFonts w:ascii="黑体" w:eastAsia="黑体" w:cs="黑体" w:hAnsi="黑体"/>
          <w:color w:val="auto"/>
          <w:sz w:val="32"/>
          <w:szCs w:val="32"/>
        </w:rPr>
      </w:pPr>
      <w:r>
        <w:rPr>
          <w:rFonts w:ascii="黑体" w:eastAsia="黑体" w:cs="黑体" w:hAnsi="黑体" w:hint="eastAsia"/>
          <w:color w:val="auto"/>
          <w:sz w:val="32"/>
          <w:szCs w:val="32"/>
        </w:rPr>
        <w:t>二、项目建设的主要生态环境影响及保护措施</w:t>
      </w: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adjustRightInd/>
        <w:snapToGrid w:val="0"/>
        <w:spacing w:before="0" w:beforeAutospacing="0" w:after="0" w:afterAutospacing="0" w:line="560" w:lineRule="exact"/>
        <w:ind w:right="0" w:firstLineChars="200" w:firstLine="640"/>
        <w:contextualSpacing w:val="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32"/>
        </w:rPr>
        <w:t>（一）施工期环境影响及保护措施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>施工场地设立围挡，施工材料定点堆放并加装防风抑尘网，运输车辆加盖苫布，按时洒水降尘，施工期厂界颗粒物排放浓度应符合《大气污染物综合排放标准》（GB16297-1996）中</w:t>
      </w:r>
      <w:r>
        <w:rPr>
          <w:rFonts w:eastAsia="仿宋_GB2312" w:cs="仿宋_GB2312"/>
          <w:sz w:val="32"/>
          <w:szCs w:val="32"/>
        </w:rPr>
        <w:t>无组织排放</w:t>
      </w:r>
      <w:r>
        <w:rPr>
          <w:rFonts w:eastAsia="仿宋_GB2312" w:cs="仿宋_GB2312" w:hint="eastAsia"/>
          <w:sz w:val="32"/>
          <w:szCs w:val="32"/>
        </w:rPr>
        <w:t>限值</w:t>
      </w:r>
      <w:r>
        <w:rPr>
          <w:rFonts w:eastAsia="仿宋_GB2312" w:cs="仿宋_GB2312"/>
          <w:sz w:val="32"/>
          <w:szCs w:val="32"/>
        </w:rPr>
        <w:t>要求</w:t>
      </w:r>
      <w:r>
        <w:rPr>
          <w:rFonts w:eastAsia="仿宋_GB2312" w:cs="仿宋_GB2312" w:hint="eastAsia"/>
          <w:sz w:val="32"/>
          <w:szCs w:val="32"/>
        </w:rPr>
        <w:t>。</w:t>
      </w:r>
      <w:r>
        <w:rPr>
          <w:rFonts w:eastAsia="仿宋_GB2312" w:cs="仿宋_GB2312"/>
          <w:sz w:val="32"/>
          <w:szCs w:val="32"/>
        </w:rPr>
        <w:t>施工期</w:t>
      </w:r>
      <w:r>
        <w:rPr>
          <w:rFonts w:eastAsia="仿宋_GB2312" w:cs="仿宋_GB2312" w:hint="eastAsia"/>
          <w:sz w:val="32"/>
          <w:szCs w:val="32"/>
        </w:rPr>
        <w:t>生活污水排入临时防渗旱厕，定期清掏</w:t>
      </w:r>
      <w:r>
        <w:rPr>
          <w:rFonts w:eastAsia="仿宋_GB2312" w:cs="仿宋_GB2312"/>
          <w:sz w:val="32"/>
          <w:szCs w:val="32"/>
        </w:rPr>
        <w:t>外运堆肥</w:t>
      </w:r>
      <w:r>
        <w:rPr>
          <w:rFonts w:eastAsia="仿宋_GB2312" w:cs="仿宋_GB2312" w:hint="eastAsia"/>
          <w:sz w:val="32"/>
          <w:szCs w:val="32"/>
        </w:rPr>
        <w:t>，施工废水经沉淀后回用</w:t>
      </w:r>
      <w:r>
        <w:rPr>
          <w:rFonts w:eastAsia="仿宋_GB2312" w:cs="仿宋_GB2312"/>
          <w:sz w:val="32"/>
          <w:szCs w:val="32"/>
        </w:rPr>
        <w:t>于洒水降尘</w:t>
      </w:r>
      <w:r>
        <w:rPr>
          <w:rFonts w:eastAsia="仿宋_GB2312" w:cs="仿宋_GB2312" w:hint="eastAsia"/>
          <w:sz w:val="32"/>
          <w:szCs w:val="32"/>
        </w:rPr>
        <w:t>，不外排。选用低噪声机械，加设隔声屏障，合理安排施工时间，噪声应符合《建筑施工场界环境噪声排放标准》（GB12523-2011）。建筑垃圾</w:t>
      </w:r>
      <w:r>
        <w:rPr>
          <w:rFonts w:eastAsia="仿宋_GB2312" w:cs="仿宋_GB2312"/>
          <w:sz w:val="32"/>
          <w:szCs w:val="32"/>
        </w:rPr>
        <w:t>和生活垃圾集中收集，</w:t>
      </w:r>
      <w:r>
        <w:rPr>
          <w:rFonts w:eastAsia="仿宋_GB2312" w:cs="仿宋_GB2312" w:hint="eastAsia"/>
          <w:sz w:val="32"/>
          <w:szCs w:val="32"/>
        </w:rPr>
        <w:t>及时清运至指定地点处置</w:t>
      </w:r>
      <w:r>
        <w:rPr>
          <w:rFonts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sz w:val="32"/>
          <w:szCs w:val="32"/>
          <w:lang w:eastAsia="zh-CN"/>
        </w:rPr>
        <w:t>二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）</w:t>
      </w:r>
      <w:r>
        <w:rPr>
          <w:rFonts w:ascii="方正楷体_GBK" w:eastAsia="方正楷体_GBK" w:cs="方正楷体_GBK" w:hAnsi="方正楷体_GBK"/>
          <w:color w:val="auto"/>
          <w:sz w:val="32"/>
          <w:szCs w:val="32"/>
          <w:lang w:eastAsia="zh-CN"/>
        </w:rPr>
        <w:t>大气环境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影响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val="en-US" w:eastAsia="zh-CN"/>
        </w:rPr>
        <w:t>及保护措施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项目运营期储煤场四周设置防风抑尘网，堆存煤炭使用绿网进行苫盖，按时洒水降尘，运输车辆遮盖苫布，禁止在重污染天气、大风天气等进行作业，无组织颗粒物排放浓度应符合《煤炭工业污染物排放标准》（GB20426-2006）中表5无组织排放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ascii="方正楷体_GBK" w:eastAsia="方正楷体_GBK" w:cs="方正楷体_GBK" w:hAnsi="方正楷体_GBK"/>
          <w:sz w:val="32"/>
          <w:szCs w:val="32"/>
        </w:rPr>
        <w:t>（三）</w:t>
      </w:r>
      <w:r>
        <w:rPr>
          <w:rFonts w:ascii="方正楷体_GBK" w:eastAsia="方正楷体_GBK" w:cs="方正楷体_GBK" w:hint="eastAsia"/>
          <w:sz w:val="32"/>
          <w:szCs w:val="32"/>
        </w:rPr>
        <w:t>水环境影响及</w:t>
      </w:r>
      <w:r>
        <w:rPr>
          <w:rFonts w:ascii="方正楷体_GBK" w:eastAsia="方正楷体_GBK" w:cs="方正楷体_GBK" w:hint="eastAsia"/>
          <w:sz w:val="32"/>
          <w:szCs w:val="32"/>
          <w:lang w:val="en-US" w:eastAsia="zh-CN"/>
        </w:rPr>
        <w:t>保护措施。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项目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堆场渗出的煤泥水收集至沉煤池，沉淀后回用于洒水降尘，不外排。雨水收集至雨水收集池，沉淀后回用于洒水降尘，不外排。生活污水经市政管网排入滴道区污水处理厂处理。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项目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应严格落实地下水保护措施，采取分区防渗，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危险废物</w:t>
      </w:r>
      <w:bookmarkStart w:id="0" w:name="_GoBack"/>
      <w:bookmarkEnd w:id="0"/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贮存点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为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重点防渗，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采用1m厚黏土层，K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≤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eastAsia="仿宋_GB2312"/>
          <w:color w:val="auto"/>
          <w:kern w:val="0"/>
          <w:sz w:val="32"/>
          <w:szCs w:val="32"/>
          <w:lang w:val="en-US" w:eastAsia="zh-CN" w:bidi="ar-SA"/>
        </w:rPr>
        <w:t>×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10</w:t>
      </w:r>
      <w:r>
        <w:rPr>
          <w:rFonts w:eastAsia="仿宋_GB2312" w:cs="Times New Roman" w:hint="eastAsia"/>
          <w:color w:val="auto"/>
          <w:kern w:val="0"/>
          <w:sz w:val="32"/>
          <w:szCs w:val="32"/>
          <w:vertAlign w:val="superscript"/>
          <w:lang w:val="en-US" w:eastAsia="zh-CN" w:bidi="ar-SA"/>
        </w:rPr>
        <w:t>-</w:t>
      </w:r>
      <w:r>
        <w:rPr>
          <w:rFonts w:eastAsia="仿宋_GB2312" w:cs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7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cm/s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，或2mm厚高密度聚乙烯膜等人工防渗材料，K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≤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eastAsia="仿宋_GB2312"/>
          <w:color w:val="auto"/>
          <w:kern w:val="0"/>
          <w:sz w:val="32"/>
          <w:szCs w:val="32"/>
          <w:lang w:val="en-US" w:eastAsia="zh-CN" w:bidi="ar-SA"/>
        </w:rPr>
        <w:t>×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10</w:t>
      </w:r>
      <w:r>
        <w:rPr>
          <w:rFonts w:eastAsia="仿宋_GB2312" w:cs="Times New Roman" w:hint="eastAsia"/>
          <w:color w:val="auto"/>
          <w:kern w:val="0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cm/s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，雨水收集池和沉煤池为一般防渗，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等效粘土防渗层Mb≥1.5m，K≤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eastAsia="仿宋_GB2312"/>
          <w:color w:val="auto"/>
          <w:kern w:val="0"/>
          <w:sz w:val="32"/>
          <w:szCs w:val="32"/>
          <w:lang w:val="en-US" w:eastAsia="zh-CN" w:bidi="ar-SA"/>
        </w:rPr>
        <w:t>×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10</w:t>
      </w:r>
      <w:r>
        <w:rPr>
          <w:rFonts w:eastAsia="仿宋_GB2312" w:cs="Times New Roman" w:hint="eastAsia"/>
          <w:color w:val="auto"/>
          <w:kern w:val="0"/>
          <w:sz w:val="32"/>
          <w:szCs w:val="32"/>
          <w:vertAlign w:val="superscript"/>
          <w:lang w:val="en-US" w:eastAsia="zh-CN" w:bidi="ar-SA"/>
        </w:rPr>
        <w:t>-7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cm/s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，车辆进出口及主要通道使用水泥硬化，其余地面简单硬化。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）声环境影响及保护措施</w:t>
      </w:r>
      <w:r>
        <w:rPr>
          <w:rFonts w:ascii="仿宋_GB2312" w:eastAsia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采取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选用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低噪声设备、加强车辆维护、夜间不生产等降噪措施，厂界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噪声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《工业企业厂界环境噪声排放标准》（GB12348-2008）中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类标准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eastAsia="方正楷体_GBK" w:cs="方正楷体_GBK" w:hint="eastAsia"/>
          <w:color w:val="auto"/>
          <w:kern w:val="0"/>
          <w:sz w:val="32"/>
          <w:szCs w:val="32"/>
          <w:lang w:val="en-US" w:eastAsia="zh-CN"/>
        </w:rPr>
        <w:t>固体废物环境影响及保护措施</w:t>
      </w:r>
      <w:r>
        <w:rPr>
          <w:rFonts w:eastAsia="方正楷体_GBK" w:cs="方正楷体_GBK" w:hint="eastAsia"/>
          <w:color w:val="auto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项目</w:t>
      </w:r>
      <w:r>
        <w:rPr>
          <w:rFonts w:ascii="仿宋_GB2312" w:eastAsia="仿宋_GB2312" w:cs="仿宋_GB2312"/>
          <w:color w:val="auto"/>
          <w:sz w:val="32"/>
          <w:szCs w:val="32"/>
        </w:rPr>
        <w:t>生活垃圾集中收集，由环卫部门统一处置。雨水收集池和沉煤池沉渣定期清理外售综合利用。废机油、废含油抹布、废含油零部件及废机油桶集中收集暂存于危废贮存点，定期委托有资质单位处置。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sz w:val="32"/>
          <w:szCs w:val="32"/>
        </w:rPr>
        <w:t>（</w:t>
      </w:r>
      <w:r>
        <w:rPr>
          <w:rFonts w:ascii="方正楷体_GBK" w:eastAsia="方正楷体_GBK" w:cs="方正楷体_GBK" w:hAnsi="方正楷体_GBK"/>
          <w:sz w:val="32"/>
          <w:szCs w:val="32"/>
        </w:rPr>
        <w:t>六</w:t>
      </w:r>
      <w:r>
        <w:rPr>
          <w:rFonts w:ascii="方正楷体_GBK" w:eastAsia="方正楷体_GBK" w:cs="方正楷体_GBK" w:hAnsi="方正楷体_GBK" w:hint="eastAsia"/>
          <w:sz w:val="32"/>
          <w:szCs w:val="32"/>
        </w:rPr>
        <w:t>）环境风险及保护措施。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项目应严格落实《报告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表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》中提出的风险防范措施，编制环境风险应急预案，加强风险点位预警、预防，防止风险事故发生。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ascii="仿宋_GB2312" w:eastAsia="仿宋_GB2312" w:cs="仿宋_GB2312" w:hAnsi="仿宋_GB2312"/>
          <w:color w:val="auto"/>
          <w:sz w:val="32"/>
          <w:szCs w:val="32"/>
        </w:rPr>
        <w:t>在启动生产设施或者在实际排污之前，建设单位应依法履行排污许可手续。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项目建成后，应按规定程序实施竣工环境保护验收</w:t>
      </w:r>
      <w:r>
        <w:rPr>
          <w:rFonts w:ascii="仿宋_GB2312" w:eastAsia="仿宋_GB2312" w:cs="仿宋_GB2312" w:hAnsi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lang w:eastAsia="zh-CN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</w:rPr>
        <w:t>四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eastAsia="zh-CN"/>
        </w:rPr>
        <w:t>、《</w:t>
      </w:r>
      <w:r>
        <w:rPr>
          <w:rFonts w:ascii="Times New Roman" w:eastAsia="仿宋_GB2312" w:cs="Times New Roman" w:hAnsi="Times New Roman"/>
          <w:sz w:val="32"/>
          <w:szCs w:val="32"/>
        </w:rPr>
        <w:t>报告表》经批准后，项目的性质、规模、地点或者污染</w:t>
      </w:r>
      <w:r>
        <w:rPr>
          <w:rFonts w:eastAsia="仿宋_GB2312" w:cs="Times New Roman" w:hint="eastAsia"/>
          <w:sz w:val="32"/>
          <w:szCs w:val="32"/>
          <w:lang w:eastAsia="zh-CN"/>
        </w:rPr>
        <w:t>防治</w:t>
      </w:r>
      <w:r>
        <w:rPr>
          <w:rFonts w:ascii="Times New Roman" w:eastAsia="仿宋_GB2312" w:cs="Times New Roman" w:hAnsi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、鸡西市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滴道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《</w:t>
      </w: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报告</w:t>
      </w:r>
      <w:r>
        <w:rPr>
          <w:rFonts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》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和批复文件送至鸡西市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滴道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生态环境局，并按规定接受各级生态环境主管部门的日常监督检查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color w:val="2F5597"/>
          <w:sz w:val="32"/>
          <w:szCs w:val="32"/>
        </w:rPr>
        <w:t xml:space="preserve">                    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jc w:val="left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鸡西市生态环境局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                              2025年</w:t>
      </w:r>
      <w:r>
        <w:rPr>
          <w:rFonts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 w:hAnsi="Times New Roman"/>
          <w:sz w:val="32"/>
          <w:szCs w:val="32"/>
        </w:rPr>
        <w:t>月16日</w:t>
      </w: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pBdr>
          <w:top w:val="single" w:sz="4" w:space="0" w:color="auto"/>
          <w:bottom w:val="single" w:sz="4" w:space="0" w:color="auto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抄 送：鸡西市生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态环境保护综合行政执法局</w:t>
      </w:r>
      <w:r>
        <w:rPr>
          <w:rFonts w:eastAsia="仿宋_GB2312" w:cs="Times New Roman" w:hint="eastAsia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sz w:val="32"/>
          <w:szCs w:val="32"/>
        </w:rPr>
        <w:t>鸡西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市</w:t>
      </w:r>
      <w:r>
        <w:rPr>
          <w:rFonts w:eastAsia="仿宋_GB2312" w:cs="Times New Roman"/>
          <w:sz w:val="32"/>
          <w:szCs w:val="32"/>
          <w:lang w:val="en-US" w:eastAsia="zh-CN"/>
        </w:rPr>
        <w:t>滴道</w:t>
      </w:r>
      <w:r>
        <w:rPr>
          <w:rFonts w:ascii="Times New Roman" w:eastAsia="仿宋_GB2312" w:cs="Times New Roman" w:hAnsi="Times New Roman"/>
          <w:sz w:val="32"/>
          <w:szCs w:val="32"/>
        </w:rPr>
        <w:t>生态环境局</w:t>
      </w:r>
    </w:p>
    <w:p>
      <w:pPr>
        <w:keepNext w:val="0"/>
        <w:keepLines w:val="0"/>
        <w:pageBreakBefore w:val="0"/>
        <w:pBdr>
          <w:bottom w:val="single" w:sz="4" w:space="0" w:color="auto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鸡西市生态环境局办公室         </w:t>
        <w:tab/>
        <w:t xml:space="preserve"> 2025年</w:t>
      </w:r>
      <w:r>
        <w:rPr>
          <w:rFonts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月16日</w:t>
      </w:r>
      <w:r>
        <w:rPr>
          <w:rFonts w:ascii="Times New Roman" w:eastAsia="仿宋_GB2312" w:cs="Times New Roman" w:hAnsi="Times New Roman"/>
          <w:sz w:val="32"/>
          <w:szCs w:val="32"/>
        </w:rPr>
        <w:t>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共印8份</w:t>
      </w:r>
    </w:p>
    <w:sectPr>
      <w:footerReference w:type="default" r:id="rId2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5F"/>
    <w:family w:val="roman"/>
    <w:pitch w:val="variable"/>
    <w:sig w:usb0="00000000" w:usb1="00000000" w:usb2="00000009" w:usb3="00000000" w:csb0="400001FF" w:csb1="FFFF0000"/>
  </w:font>
  <w:font w:name="仿宋_GB2312">
    <w:altName w:val="方正仿宋_GBK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宋体">
    <w:altName w:val="方正书宋_GBK"/>
    <w:panose1 w:val="02010600030101010101"/>
    <w:charset w:val="7A"/>
    <w:family w:val="auto"/>
    <w:pitch w:val="variable"/>
    <w:sig w:usb0="00000000" w:usb1="00000000" w:usb2="00000006" w:usb3="00000000" w:csb0="00040001" w:csb1="00000000"/>
  </w:font>
  <w:font w:name="Lucida Sans">
    <w:altName w:val="Noto Music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94</wp:posOffset>
              </wp:positionV>
              <wp:extent cx="76200" cy="131445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" o:spid="_x0000_s2" filled="f" stroked="f" style="position:absolute;margin-left:0.0pt;margin-top:0.007480315pt;width:6.0pt;height:10.35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next w:val="16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customStyle="1" w:styleId="16">
    <w:name w:val="Normal (Web)1"/>
    <w:qFormat/>
    <w:basedOn w:val="0"/>
    <w:autoRedefine/>
    <w:next w:val="17"/>
    <w:pPr>
      <w:widowControl/>
    </w:pPr>
    <w:rPr>
      <w:rFonts w:ascii="宋体"/>
      <w:sz w:val="24"/>
      <w:szCs w:val="21"/>
    </w:rPr>
  </w:style>
  <w:style w:type="paragraph" w:customStyle="1" w:styleId="17">
    <w:name w:val="Date1"/>
    <w:qFormat/>
    <w:basedOn w:val="0"/>
    <w:autoRedefine/>
    <w:next w:val="0"/>
    <w:pPr>
      <w:ind w:leftChars="2500" w:left="2500"/>
    </w:pPr>
  </w:style>
  <w:style w:type="paragraph" w:styleId="18">
    <w:name w:val="annotation text"/>
    <w:qFormat/>
    <w:basedOn w:val="0"/>
    <w:pPr>
      <w:jc w:val="left"/>
    </w:pPr>
  </w:style>
  <w:style w:type="paragraph" w:styleId="19">
    <w:name w:val="Body Text Indent"/>
    <w:qFormat/>
    <w:basedOn w:val="0"/>
    <w:pPr>
      <w:spacing w:after="120"/>
      <w:ind w:left="420"/>
    </w:pPr>
  </w:style>
  <w:style w:type="paragraph" w:styleId="20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2"/>
    <w:qFormat/>
    <w:basedOn w:val="0"/>
    <w:next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3">
    <w:name w:val="Normal (Web)"/>
    <w:qFormat/>
    <w:basedOn w:val="0"/>
    <w:pPr>
      <w:spacing w:beforeAutospacing="1" w:afterAutospacing="1"/>
      <w:jc w:val="left"/>
    </w:pPr>
    <w:rPr>
      <w:kern w:val="0"/>
      <w:sz w:val="24"/>
    </w:rPr>
  </w:style>
  <w:style w:type="paragraph" w:styleId="24">
    <w:name w:val="Body Text First Indent 2"/>
    <w:qFormat/>
    <w:basedOn w:val="19"/>
    <w:pPr>
      <w:ind w:firstLine="420"/>
    </w:pPr>
  </w:style>
  <w:style w:type="paragraph" w:customStyle="1" w:styleId="25">
    <w:name w:val="报告表  段"/>
    <w:qFormat/>
    <w:basedOn w:val="0"/>
    <w:pPr>
      <w:adjustRightInd w:val="0"/>
      <w:spacing w:line="360" w:lineRule="auto"/>
      <w:ind w:firstLine="505"/>
    </w:pPr>
    <w:rPr>
      <w:rFonts w:ascii="Calibri" w:cs="宋体" w:hAnsi="Calibri"/>
    </w:rPr>
  </w:style>
  <w:style w:type="paragraph" w:styleId="26">
    <w:name w:val="List Paragraph"/>
    <w:qFormat/>
    <w:basedOn w:val="0"/>
    <w:pPr>
      <w:ind w:firstLineChars="200" w:firstLine="200"/>
    </w:pPr>
  </w:style>
  <w:style w:type="paragraph" w:customStyle="1" w:styleId="27">
    <w:name w:val="表格(新)"/>
    <w:qFormat/>
    <w:basedOn w:val="0"/>
    <w:pPr>
      <w:adjustRightInd w:val="0"/>
      <w:snapToGrid w:val="0"/>
      <w:spacing w:line="240" w:lineRule="auto"/>
      <w:ind w:firstLine="0"/>
      <w:jc w:val="center"/>
    </w:pPr>
    <w:rPr>
      <w:rFonts w:eastAsia="宋体"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3F46878-7B28-457C-837B-F11167B7915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367</TotalTime>
  <Application>WPS_Yozo_Office9.0.5233.191ZH.S1</Application>
  <Pages>4</Pages>
  <Words>0</Words>
  <Characters>1357</Characters>
  <Lines>0</Lines>
  <Paragraphs>43</Paragraphs>
  <CharactersWithSpaces>1810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01</dc:creator>
  <cp:lastModifiedBy>greatwall</cp:lastModifiedBy>
  <cp:revision>3</cp:revision>
  <cp:lastPrinted>2025-04-16T00:43:55Z</cp:lastPrinted>
  <dcterms:created xsi:type="dcterms:W3CDTF">2024-08-10T19:25:00Z</dcterms:created>
  <dcterms:modified xsi:type="dcterms:W3CDTF">2025-04-16T09:04:06Z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2052-12.8.2.1119</vt:lpwstr>
  </property>
  <property fmtid="{D5CDD505-2E9C-101B-9397-08002B2CF9AE}" pid="3" name="ICV">
    <vt:lpwstr>8C9400756EA184F22712C867274E820B_43</vt:lpwstr>
  </property>
</Properties>
</file>