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630BD">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right"/>
        <w:textAlignment w:val="auto"/>
        <w:rPr>
          <w:rFonts w:hint="default" w:ascii="Times New Roman" w:hAnsi="Times New Roman" w:eastAsia="仿宋_GB2312" w:cs="Times New Roman"/>
          <w:color w:val="auto"/>
          <w:sz w:val="32"/>
          <w:szCs w:val="32"/>
        </w:rPr>
      </w:pPr>
      <w:bookmarkStart w:id="0" w:name="_GoBack"/>
      <w:bookmarkEnd w:id="0"/>
    </w:p>
    <w:p w14:paraId="2F17090B">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right"/>
        <w:textAlignment w:val="auto"/>
        <w:rPr>
          <w:rFonts w:hint="default" w:ascii="Times New Roman" w:hAnsi="Times New Roman" w:eastAsia="仿宋_GB2312" w:cs="Times New Roman"/>
          <w:color w:val="auto"/>
          <w:sz w:val="32"/>
          <w:szCs w:val="32"/>
        </w:rPr>
      </w:pPr>
    </w:p>
    <w:p w14:paraId="60F33F07">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right"/>
        <w:textAlignment w:val="auto"/>
        <w:rPr>
          <w:rFonts w:hint="default" w:ascii="Times New Roman" w:hAnsi="Times New Roman" w:eastAsia="仿宋_GB2312" w:cs="Times New Roman"/>
          <w:color w:val="auto"/>
          <w:sz w:val="32"/>
          <w:szCs w:val="32"/>
        </w:rPr>
      </w:pPr>
    </w:p>
    <w:p w14:paraId="591AD9FC">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鸡环审〔2026〕7号</w:t>
      </w:r>
    </w:p>
    <w:p w14:paraId="3864F1A1">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p>
    <w:p w14:paraId="122610F4">
      <w:pPr>
        <w:keepNext w:val="0"/>
        <w:keepLines w:val="0"/>
        <w:pageBreakBefore w:val="0"/>
        <w:widowControl w:val="0"/>
        <w:kinsoku/>
        <w:wordWrap/>
        <w:overflowPunct/>
        <w:topLinePunct w:val="0"/>
        <w:autoSpaceDE/>
        <w:autoSpaceDN/>
        <w:bidi w:val="0"/>
        <w:adjustRightInd/>
        <w:snapToGrid/>
        <w:spacing w:after="0" w:line="600" w:lineRule="exact"/>
        <w:ind w:left="0" w:right="0" w:firstLine="0" w:firstLine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关于黑龙江省牡丹江农垦源泉奶牛养殖</w:t>
      </w:r>
      <w:r>
        <w:rPr>
          <w:rFonts w:hint="eastAsia" w:ascii="Times New Roman" w:hAnsi="Times New Roman" w:eastAsia="方正小标宋_GBK" w:cs="Times New Roman"/>
          <w:color w:val="auto"/>
          <w:sz w:val="44"/>
          <w:szCs w:val="44"/>
          <w:lang w:eastAsia="zh-CN"/>
        </w:rPr>
        <w:t>专</w:t>
      </w:r>
      <w:r>
        <w:rPr>
          <w:rFonts w:hint="default" w:ascii="Times New Roman" w:hAnsi="Times New Roman" w:eastAsia="方正小标宋_GBK" w:cs="Times New Roman"/>
          <w:color w:val="auto"/>
          <w:sz w:val="44"/>
          <w:szCs w:val="44"/>
        </w:rPr>
        <w:t>业合作社扩建项目环境影响报告书的批复</w:t>
      </w:r>
    </w:p>
    <w:p w14:paraId="3EA1F74F">
      <w:pPr>
        <w:keepNext w:val="0"/>
        <w:keepLines w:val="0"/>
        <w:pageBreakBefore w:val="0"/>
        <w:widowControl w:val="0"/>
        <w:kinsoku/>
        <w:wordWrap/>
        <w:overflowPunct/>
        <w:topLinePunct w:val="0"/>
        <w:autoSpaceDE/>
        <w:autoSpaceDN/>
        <w:bidi w:val="0"/>
        <w:adjustRightInd/>
        <w:snapToGrid/>
        <w:spacing w:after="0" w:line="600" w:lineRule="exact"/>
        <w:ind w:left="0" w:right="0" w:firstLine="0" w:firstLineChars="0"/>
        <w:jc w:val="center"/>
        <w:textAlignment w:val="auto"/>
        <w:rPr>
          <w:rFonts w:hint="default" w:ascii="Times New Roman" w:hAnsi="Times New Roman" w:eastAsia="方正小标宋_GBK" w:cs="Times New Roman"/>
          <w:color w:val="auto"/>
          <w:sz w:val="44"/>
          <w:szCs w:val="44"/>
        </w:rPr>
      </w:pPr>
    </w:p>
    <w:p w14:paraId="2C96DA43">
      <w:pPr>
        <w:keepNext w:val="0"/>
        <w:keepLines w:val="0"/>
        <w:pageBreakBefore w:val="0"/>
        <w:widowControl w:val="0"/>
        <w:kinsoku/>
        <w:wordWrap/>
        <w:overflowPunct/>
        <w:topLinePunct w:val="0"/>
        <w:autoSpaceDE/>
        <w:autoSpaceDN/>
        <w:bidi w:val="0"/>
        <w:adjustRightInd/>
        <w:snapToGrid/>
        <w:spacing w:after="0" w:line="560" w:lineRule="exact"/>
        <w:ind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黑龙江省牡丹江农垦源泉奶牛养殖专业合作社：</w:t>
      </w:r>
    </w:p>
    <w:p w14:paraId="46D96234">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你单位《关于黑龙江省牡丹江农垦源泉奶牛养殖专业合作社扩建项目环境影响报告书审批的请示》收悉。经审查研究，批复如下。</w:t>
      </w:r>
    </w:p>
    <w:p w14:paraId="1CC0125D">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一、项目基本情况</w:t>
      </w:r>
    </w:p>
    <w:p w14:paraId="1EDAB716">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该项目属改扩建工程，拟建于密山市八五一一农场第一管理区第四作业站南侧，占地面积60366㎡，本项目新建牛舍10栋、榨奶厅1栋、黑膜沼气池</w:t>
      </w:r>
      <w:r>
        <w:rPr>
          <w:rFonts w:hint="eastAsia" w:ascii="Times New Roman" w:hAnsi="Times New Roman" w:eastAsia="仿宋_GB2312" w:cs="Times New Roman"/>
          <w:color w:val="auto"/>
          <w:sz w:val="32"/>
          <w:szCs w:val="32"/>
          <w:lang w:val="en-US" w:eastAsia="zh-CN"/>
        </w:rPr>
        <w:t>1座</w:t>
      </w:r>
      <w:r>
        <w:rPr>
          <w:rFonts w:hint="default" w:ascii="Times New Roman" w:hAnsi="Times New Roman" w:eastAsia="仿宋_GB2312" w:cs="Times New Roman"/>
          <w:color w:val="auto"/>
          <w:sz w:val="32"/>
          <w:szCs w:val="32"/>
        </w:rPr>
        <w:t>、干草间</w:t>
      </w:r>
      <w:r>
        <w:rPr>
          <w:rFonts w:hint="eastAsia" w:ascii="Times New Roman" w:hAnsi="Times New Roman" w:eastAsia="仿宋_GB2312" w:cs="Times New Roman"/>
          <w:color w:val="auto"/>
          <w:sz w:val="32"/>
          <w:szCs w:val="32"/>
          <w:lang w:val="en-US" w:eastAsia="zh-CN"/>
        </w:rPr>
        <w:t>1座</w:t>
      </w:r>
      <w:r>
        <w:rPr>
          <w:rFonts w:hint="default" w:ascii="Times New Roman" w:hAnsi="Times New Roman" w:eastAsia="仿宋_GB2312" w:cs="Times New Roman"/>
          <w:color w:val="auto"/>
          <w:sz w:val="32"/>
          <w:szCs w:val="32"/>
        </w:rPr>
        <w:t>。新增奶牛1300头，牛奶3900t/a。项目建成后，厂区共15栋牛舍、1栋饲料间、2栋榨奶厅、1座黑膜沼气池、1座粪污处理车间（分别为固废分离房、堆肥车间）、2座青储窖、1座干草间，年存栏奶牛1800头，年产牛奶5400t。项目总投资900万元，其中环保投资149万元。</w:t>
      </w:r>
    </w:p>
    <w:p w14:paraId="79AC07E6">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该项目建设在全面落实《黑龙江省牡丹江农垦源泉奶牛养殖专业合作社扩建项目环境影响报告书》（以下简称《报告书》）和本批复提出的各项生态环境保护措施后，对环境的不利影响可以得到缓解和控制。我局原则同意《报告书》的环境影响评价总体结论和各项生态环境保护措施。</w:t>
      </w:r>
    </w:p>
    <w:p w14:paraId="2009EE65">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二、项目建设的主要生态环境影响及保护措施</w:t>
      </w:r>
    </w:p>
    <w:p w14:paraId="7A2C8F5B">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（一）施工期环境影响及保护措施。</w:t>
      </w:r>
      <w:r>
        <w:rPr>
          <w:rFonts w:hint="default" w:ascii="Times New Roman" w:hAnsi="Times New Roman" w:eastAsia="仿宋_GB2312" w:cs="Times New Roman"/>
          <w:color w:val="auto"/>
          <w:sz w:val="32"/>
          <w:szCs w:val="32"/>
        </w:rPr>
        <w:t>施工现场设置围挡，对车辆行驶路面、施工道路及场地采取洒水抑尘措施，运输车辆加、施工材料并进行苫盖，场界颗粒物浓度应符合《大气污染物综合排放标准》（GB16297-1996）</w:t>
      </w:r>
      <w:r>
        <w:rPr>
          <w:rFonts w:hint="eastAsia" w:ascii="Times New Roman" w:hAnsi="Times New Roman" w:eastAsia="仿宋_GB2312" w:cs="Times New Roman"/>
          <w:color w:val="auto"/>
          <w:sz w:val="32"/>
          <w:szCs w:val="32"/>
          <w:lang w:eastAsia="zh-CN"/>
        </w:rPr>
        <w:t>要求</w:t>
      </w:r>
      <w:r>
        <w:rPr>
          <w:rFonts w:hint="default" w:ascii="Times New Roman" w:hAnsi="Times New Roman" w:eastAsia="仿宋_GB2312" w:cs="Times New Roman"/>
          <w:color w:val="auto"/>
          <w:sz w:val="32"/>
          <w:szCs w:val="32"/>
        </w:rPr>
        <w:t>。施工人员生活污水排污防渗旱厕，定期清掏，</w:t>
      </w:r>
      <w:r>
        <w:rPr>
          <w:rFonts w:hint="eastAsia" w:ascii="Times New Roman" w:hAnsi="Times New Roman" w:eastAsia="仿宋_GB2312" w:cs="Times New Roman"/>
          <w:color w:val="auto"/>
          <w:sz w:val="32"/>
          <w:szCs w:val="32"/>
          <w:lang w:eastAsia="zh-CN"/>
        </w:rPr>
        <w:t>外运堆肥</w:t>
      </w:r>
      <w:r>
        <w:rPr>
          <w:rFonts w:hint="default" w:ascii="Times New Roman" w:hAnsi="Times New Roman" w:eastAsia="仿宋_GB2312" w:cs="Times New Roman"/>
          <w:color w:val="auto"/>
          <w:sz w:val="32"/>
          <w:szCs w:val="32"/>
        </w:rPr>
        <w:t>。施工废水经沉淀后洒水降尘，不外排。选用低噪声设备，合理安排施工时间，</w:t>
      </w:r>
      <w:r>
        <w:rPr>
          <w:rFonts w:hint="eastAsia" w:ascii="Times New Roman" w:hAnsi="Times New Roman" w:eastAsia="仿宋_GB2312" w:cs="Times New Roman"/>
          <w:color w:val="auto"/>
          <w:sz w:val="32"/>
          <w:szCs w:val="32"/>
          <w:lang w:eastAsia="zh-CN"/>
        </w:rPr>
        <w:t>厂</w:t>
      </w:r>
      <w:r>
        <w:rPr>
          <w:rFonts w:hint="default" w:ascii="Times New Roman" w:hAnsi="Times New Roman" w:eastAsia="仿宋_GB2312" w:cs="Times New Roman"/>
          <w:color w:val="auto"/>
          <w:sz w:val="32"/>
          <w:szCs w:val="32"/>
        </w:rPr>
        <w:t>界噪声应符合《建筑施工噪声排放标准》（GB12523-2025）</w:t>
      </w:r>
      <w:r>
        <w:rPr>
          <w:rFonts w:hint="eastAsia" w:ascii="Times New Roman" w:hAnsi="Times New Roman" w:eastAsia="仿宋_GB2312" w:cs="Times New Roman"/>
          <w:color w:val="auto"/>
          <w:sz w:val="32"/>
          <w:szCs w:val="32"/>
          <w:lang w:eastAsia="zh-CN"/>
        </w:rPr>
        <w:t>要求</w:t>
      </w:r>
      <w:r>
        <w:rPr>
          <w:rFonts w:hint="default" w:ascii="Times New Roman" w:hAnsi="Times New Roman" w:eastAsia="仿宋_GB2312" w:cs="Times New Roman"/>
          <w:color w:val="auto"/>
          <w:sz w:val="32"/>
          <w:szCs w:val="32"/>
        </w:rPr>
        <w:t>；生活垃圾及时清运至附近村庄垃圾收集点，由当地环卫部门统一处置，建筑垃圾应尽量回用，不能回用的收集后统一运送至指定地点处置。</w:t>
      </w:r>
    </w:p>
    <w:p w14:paraId="2D950C62">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（二）大气环境影响及保护措施。</w:t>
      </w:r>
      <w:r>
        <w:rPr>
          <w:rFonts w:hint="default" w:ascii="Times New Roman" w:hAnsi="Times New Roman" w:eastAsia="仿宋_GB2312" w:cs="Times New Roman"/>
          <w:color w:val="auto"/>
          <w:sz w:val="32"/>
          <w:szCs w:val="32"/>
        </w:rPr>
        <w:t>固液分离车间恶臭污染物经活性炭吸附装置处理后通过15m高排气筒排放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污染物排放浓度应符合《恶臭污染物排放标准》（GB14554-93）表2</w:t>
      </w:r>
      <w:r>
        <w:rPr>
          <w:rFonts w:hint="eastAsia" w:ascii="Times New Roman" w:hAnsi="Times New Roman" w:eastAsia="仿宋_GB2312" w:cs="Times New Roman"/>
          <w:color w:val="auto"/>
          <w:sz w:val="32"/>
          <w:szCs w:val="32"/>
          <w:lang w:eastAsia="zh-CN"/>
        </w:rPr>
        <w:t>限值</w:t>
      </w:r>
      <w:r>
        <w:rPr>
          <w:rFonts w:hint="default" w:ascii="Times New Roman" w:hAnsi="Times New Roman" w:eastAsia="仿宋_GB2312" w:cs="Times New Roman"/>
          <w:color w:val="auto"/>
          <w:sz w:val="32"/>
          <w:szCs w:val="32"/>
        </w:rPr>
        <w:t>要求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饲料加工产生的粉尘经集气罩和布袋除尘器处理后通过15m高排气筒排放，颗粒物排放浓度应符合《大气污染物综合排放标准》（GB16297-1996）表2限</w:t>
      </w:r>
      <w:r>
        <w:rPr>
          <w:rFonts w:hint="eastAsia" w:ascii="Times New Roman" w:hAnsi="Times New Roman" w:eastAsia="仿宋_GB2312" w:cs="Times New Roman"/>
          <w:color w:val="auto"/>
          <w:sz w:val="32"/>
          <w:szCs w:val="32"/>
          <w:lang w:eastAsia="zh-CN"/>
        </w:rPr>
        <w:t>值</w:t>
      </w:r>
      <w:r>
        <w:rPr>
          <w:rFonts w:hint="default" w:ascii="Times New Roman" w:hAnsi="Times New Roman" w:eastAsia="仿宋_GB2312" w:cs="Times New Roman"/>
          <w:color w:val="auto"/>
          <w:sz w:val="32"/>
          <w:szCs w:val="32"/>
        </w:rPr>
        <w:t>要求。食堂油烟经油烟净化器处理后，通过专用烟道排放，烟气排放浓度应符合《饮食业油烟排放标准（试行）》（GB18483-2001）表2中型规模</w:t>
      </w:r>
      <w:r>
        <w:rPr>
          <w:rFonts w:hint="eastAsia" w:ascii="Times New Roman" w:hAnsi="Times New Roman" w:eastAsia="仿宋_GB2312" w:cs="Times New Roman"/>
          <w:color w:val="auto"/>
          <w:sz w:val="32"/>
          <w:szCs w:val="32"/>
          <w:lang w:eastAsia="zh-CN"/>
        </w:rPr>
        <w:t>限值</w:t>
      </w:r>
      <w:r>
        <w:rPr>
          <w:rFonts w:hint="default" w:ascii="Times New Roman" w:hAnsi="Times New Roman" w:eastAsia="仿宋_GB2312" w:cs="Times New Roman"/>
          <w:color w:val="auto"/>
          <w:sz w:val="32"/>
          <w:szCs w:val="32"/>
        </w:rPr>
        <w:t>要求。黑膜沼气池产生的沼气经干法脱硫和燃烧器处理后通过8m高火炬排放，沼气燃烧排放的颗粒物、</w:t>
      </w:r>
      <w:r>
        <w:rPr>
          <w:rFonts w:hint="eastAsia" w:ascii="Times New Roman" w:hAnsi="Times New Roman" w:eastAsia="仿宋_GB2312" w:cs="Times New Roman"/>
          <w:color w:val="auto"/>
          <w:sz w:val="32"/>
          <w:szCs w:val="32"/>
          <w:lang w:eastAsia="zh-CN"/>
        </w:rPr>
        <w:t>氮氧化物、二氧化硫</w:t>
      </w:r>
      <w:r>
        <w:rPr>
          <w:rFonts w:hint="default" w:ascii="Times New Roman" w:hAnsi="Times New Roman" w:eastAsia="仿宋_GB2312" w:cs="Times New Roman"/>
          <w:color w:val="auto"/>
          <w:sz w:val="32"/>
          <w:szCs w:val="32"/>
        </w:rPr>
        <w:t>无组织排放浓度</w:t>
      </w:r>
      <w:r>
        <w:rPr>
          <w:rFonts w:hint="eastAsia" w:ascii="Times New Roman" w:hAnsi="Times New Roman" w:eastAsia="仿宋_GB2312" w:cs="Times New Roman"/>
          <w:color w:val="auto"/>
          <w:sz w:val="32"/>
          <w:szCs w:val="32"/>
          <w:lang w:eastAsia="zh-CN"/>
        </w:rPr>
        <w:t>应符合</w:t>
      </w:r>
      <w:r>
        <w:rPr>
          <w:rFonts w:hint="default" w:ascii="Times New Roman" w:hAnsi="Times New Roman" w:eastAsia="仿宋_GB2312" w:cs="Times New Roman"/>
          <w:color w:val="auto"/>
          <w:sz w:val="32"/>
          <w:szCs w:val="32"/>
        </w:rPr>
        <w:t>《大气污染物综合排放标准》（GB16297-1996）表2限值要求。牛舍及运动场及时清粪、定期冲洗、保持牛舍及运动场干燥清洁，合理调配饲料、饲料中添加EM菌，定期喷洒生物除臭剂、</w:t>
      </w:r>
      <w:r>
        <w:rPr>
          <w:rFonts w:hint="eastAsia" w:ascii="Times New Roman" w:hAnsi="Times New Roman" w:eastAsia="仿宋_GB2312" w:cs="Times New Roman"/>
          <w:color w:val="auto"/>
          <w:sz w:val="32"/>
          <w:szCs w:val="32"/>
          <w:lang w:eastAsia="zh-CN"/>
        </w:rPr>
        <w:t>加强厂区</w:t>
      </w:r>
      <w:r>
        <w:rPr>
          <w:rFonts w:hint="default" w:ascii="Times New Roman" w:hAnsi="Times New Roman" w:eastAsia="仿宋_GB2312" w:cs="Times New Roman"/>
          <w:color w:val="auto"/>
          <w:sz w:val="32"/>
          <w:szCs w:val="32"/>
        </w:rPr>
        <w:t>绿化。厂界无组织氨、硫化氢排放浓度应符合《恶臭污染物排放标准》（GB14554-93）表1限</w:t>
      </w:r>
      <w:r>
        <w:rPr>
          <w:rFonts w:hint="eastAsia" w:ascii="Times New Roman" w:hAnsi="Times New Roman" w:eastAsia="仿宋_GB2312" w:cs="Times New Roman"/>
          <w:color w:val="auto"/>
          <w:sz w:val="32"/>
          <w:szCs w:val="32"/>
          <w:lang w:eastAsia="zh-CN"/>
        </w:rPr>
        <w:t>值</w:t>
      </w:r>
      <w:r>
        <w:rPr>
          <w:rFonts w:hint="default" w:ascii="Times New Roman" w:hAnsi="Times New Roman" w:eastAsia="仿宋_GB2312" w:cs="Times New Roman"/>
          <w:color w:val="auto"/>
          <w:sz w:val="32"/>
          <w:szCs w:val="32"/>
        </w:rPr>
        <w:t>要求，厂界无组织臭气浓度应符合《畜禽养殖业污染物排放标准》（GB18596-2001）表7限值要求。</w:t>
      </w:r>
    </w:p>
    <w:p w14:paraId="72D38F20">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（三）水环境影响及保护措施。</w:t>
      </w:r>
      <w:r>
        <w:rPr>
          <w:rFonts w:hint="default" w:ascii="Times New Roman" w:hAnsi="Times New Roman" w:eastAsia="仿宋_GB2312" w:cs="Times New Roman"/>
          <w:color w:val="auto"/>
          <w:sz w:val="32"/>
          <w:szCs w:val="32"/>
        </w:rPr>
        <w:t>粪尿经固液分离后，液体排入黑膜沼气池处理。食堂废水经隔油池处理后与生活污水一同排入黑膜沼气池处理。锅炉排污水回用于洒水降尘，不外排。初期雨水、青储窖滤液、冲洗废水排入黑膜沼气池，沼液冬储夏</w:t>
      </w:r>
      <w:r>
        <w:rPr>
          <w:rFonts w:hint="eastAsia" w:ascii="Times New Roman" w:hAnsi="Times New Roman" w:eastAsia="仿宋_GB2312" w:cs="Times New Roman"/>
          <w:color w:val="auto"/>
          <w:sz w:val="32"/>
          <w:szCs w:val="32"/>
          <w:lang w:eastAsia="zh-CN"/>
        </w:rPr>
        <w:t>灌</w:t>
      </w:r>
      <w:r>
        <w:rPr>
          <w:rFonts w:hint="default" w:ascii="Times New Roman" w:hAnsi="Times New Roman" w:eastAsia="仿宋_GB2312" w:cs="Times New Roman"/>
          <w:color w:val="auto"/>
          <w:sz w:val="32"/>
          <w:szCs w:val="32"/>
        </w:rPr>
        <w:t>，无废水外排。国道北侧牛舍养殖区设置一座50m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rPr>
        <w:t>的储液池，</w:t>
      </w:r>
      <w:r>
        <w:rPr>
          <w:rFonts w:hint="eastAsia" w:ascii="Times New Roman" w:hAnsi="Times New Roman" w:eastAsia="仿宋_GB2312" w:cs="Times New Roman"/>
          <w:color w:val="auto"/>
          <w:sz w:val="32"/>
          <w:szCs w:val="32"/>
          <w:lang w:eastAsia="zh-CN"/>
        </w:rPr>
        <w:t>厂区北侧初期雨水及养殖废水定期由密闭罐车拉运至国道南侧厂区，经密闭管道泵入黑膜沼气池内进行处理。</w:t>
      </w:r>
      <w:r>
        <w:rPr>
          <w:rFonts w:hint="default" w:ascii="Times New Roman" w:hAnsi="Times New Roman" w:eastAsia="仿宋_GB2312" w:cs="Times New Roman"/>
          <w:color w:val="auto"/>
          <w:sz w:val="32"/>
          <w:szCs w:val="32"/>
        </w:rPr>
        <w:t>液体粪肥应符合《畜禽粪肥还田技术规范》（GB/T25246-2025）表1要求。</w:t>
      </w:r>
    </w:p>
    <w:p w14:paraId="6C8E6FF8">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严格落实地下水分区防渗措施。黑膜沼气池、粪污处理</w:t>
      </w:r>
      <w:r>
        <w:rPr>
          <w:rFonts w:hint="eastAsia" w:ascii="Times New Roman" w:hAnsi="Times New Roman" w:eastAsia="仿宋_GB2312" w:cs="Times New Roman"/>
          <w:color w:val="auto"/>
          <w:sz w:val="32"/>
          <w:szCs w:val="32"/>
          <w:lang w:eastAsia="zh-CN"/>
        </w:rPr>
        <w:t>车间、</w:t>
      </w:r>
      <w:r>
        <w:rPr>
          <w:rFonts w:hint="default" w:ascii="Times New Roman" w:hAnsi="Times New Roman" w:eastAsia="仿宋_GB2312" w:cs="Times New Roman"/>
          <w:color w:val="auto"/>
          <w:sz w:val="32"/>
          <w:szCs w:val="32"/>
        </w:rPr>
        <w:t>储液池、医疗废物</w:t>
      </w:r>
      <w:r>
        <w:rPr>
          <w:rFonts w:hint="eastAsia" w:ascii="Times New Roman" w:hAnsi="Times New Roman" w:eastAsia="仿宋_GB2312" w:cs="Times New Roman"/>
          <w:color w:val="auto"/>
          <w:sz w:val="32"/>
          <w:szCs w:val="32"/>
          <w:lang w:eastAsia="zh-CN"/>
        </w:rPr>
        <w:t>贮</w:t>
      </w:r>
      <w:r>
        <w:rPr>
          <w:rFonts w:hint="default" w:ascii="Times New Roman" w:hAnsi="Times New Roman" w:eastAsia="仿宋_GB2312" w:cs="Times New Roman"/>
          <w:color w:val="auto"/>
          <w:sz w:val="32"/>
          <w:szCs w:val="32"/>
        </w:rPr>
        <w:t>存间为重点防渗区，黑膜沼气池、粪污处理车间、储液池防渗等级应达到等效黏土防渗层Mb≥6m，渗透系数≤10</w:t>
      </w:r>
      <w:r>
        <w:rPr>
          <w:rFonts w:hint="default" w:ascii="Times New Roman" w:hAnsi="Times New Roman" w:eastAsia="仿宋_GB2312" w:cs="Times New Roman"/>
          <w:color w:val="auto"/>
          <w:sz w:val="32"/>
          <w:szCs w:val="32"/>
          <w:vertAlign w:val="superscript"/>
        </w:rPr>
        <w:t>-7</w:t>
      </w:r>
      <w:r>
        <w:rPr>
          <w:rFonts w:hint="default" w:ascii="Times New Roman" w:hAnsi="Times New Roman" w:eastAsia="仿宋_GB2312" w:cs="Times New Roman"/>
          <w:color w:val="auto"/>
          <w:sz w:val="32"/>
          <w:szCs w:val="32"/>
        </w:rPr>
        <w:t>cm</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s</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医疗废物</w:t>
      </w:r>
      <w:r>
        <w:rPr>
          <w:rFonts w:hint="eastAsia" w:ascii="Times New Roman" w:hAnsi="Times New Roman" w:eastAsia="仿宋_GB2312" w:cs="Times New Roman"/>
          <w:color w:val="auto"/>
          <w:sz w:val="32"/>
          <w:szCs w:val="32"/>
          <w:lang w:eastAsia="zh-CN"/>
        </w:rPr>
        <w:t>贮</w:t>
      </w:r>
      <w:r>
        <w:rPr>
          <w:rFonts w:hint="default" w:ascii="Times New Roman" w:hAnsi="Times New Roman" w:eastAsia="仿宋_GB2312" w:cs="Times New Roman"/>
          <w:color w:val="auto"/>
          <w:sz w:val="32"/>
          <w:szCs w:val="32"/>
        </w:rPr>
        <w:t>存间防渗层</w:t>
      </w:r>
      <w:r>
        <w:rPr>
          <w:rFonts w:hint="eastAsia" w:ascii="Times New Roman" w:hAnsi="Times New Roman" w:eastAsia="仿宋_GB2312" w:cs="Times New Roman"/>
          <w:color w:val="auto"/>
          <w:sz w:val="32"/>
          <w:szCs w:val="32"/>
          <w:lang w:eastAsia="zh-CN"/>
        </w:rPr>
        <w:t>应</w:t>
      </w:r>
      <w:r>
        <w:rPr>
          <w:rFonts w:hint="default" w:ascii="Times New Roman" w:hAnsi="Times New Roman" w:eastAsia="仿宋_GB2312" w:cs="Times New Roman"/>
          <w:color w:val="auto"/>
          <w:sz w:val="32"/>
          <w:szCs w:val="32"/>
        </w:rPr>
        <w:t>为至少1m厚粘土层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渗透系数≤10</w:t>
      </w:r>
      <w:r>
        <w:rPr>
          <w:rFonts w:hint="default" w:ascii="Times New Roman" w:hAnsi="Times New Roman" w:eastAsia="仿宋_GB2312" w:cs="Times New Roman"/>
          <w:color w:val="auto"/>
          <w:sz w:val="32"/>
          <w:szCs w:val="32"/>
          <w:vertAlign w:val="superscript"/>
        </w:rPr>
        <w:t>-7</w:t>
      </w:r>
      <w:r>
        <w:rPr>
          <w:rFonts w:hint="default" w:ascii="Times New Roman" w:hAnsi="Times New Roman" w:eastAsia="仿宋_GB2312" w:cs="Times New Roman"/>
          <w:color w:val="auto"/>
          <w:sz w:val="32"/>
          <w:szCs w:val="32"/>
        </w:rPr>
        <w:t>cm/s</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或至少2mm厚</w:t>
      </w:r>
      <w:r>
        <w:rPr>
          <w:rFonts w:hint="eastAsia" w:ascii="Times New Roman" w:hAnsi="Times New Roman" w:eastAsia="仿宋_GB2312" w:cs="Times New Roman"/>
          <w:color w:val="auto"/>
          <w:sz w:val="32"/>
          <w:szCs w:val="32"/>
          <w:lang w:eastAsia="zh-CN"/>
        </w:rPr>
        <w:t>高密度聚乙烯膜等</w:t>
      </w:r>
      <w:r>
        <w:rPr>
          <w:rFonts w:hint="default" w:ascii="Times New Roman" w:hAnsi="Times New Roman" w:eastAsia="仿宋_GB2312" w:cs="Times New Roman"/>
          <w:color w:val="auto"/>
          <w:sz w:val="32"/>
          <w:szCs w:val="32"/>
        </w:rPr>
        <w:t>人工材料，渗透系数≤10</w:t>
      </w:r>
      <w:r>
        <w:rPr>
          <w:rFonts w:hint="default" w:ascii="Times New Roman" w:hAnsi="Times New Roman" w:eastAsia="仿宋_GB2312" w:cs="Times New Roman"/>
          <w:color w:val="auto"/>
          <w:sz w:val="32"/>
          <w:szCs w:val="32"/>
          <w:vertAlign w:val="superscript"/>
        </w:rPr>
        <w:t>-10</w:t>
      </w:r>
      <w:r>
        <w:rPr>
          <w:rFonts w:hint="default" w:ascii="Times New Roman" w:hAnsi="Times New Roman" w:eastAsia="仿宋_GB2312" w:cs="Times New Roman"/>
          <w:color w:val="auto"/>
          <w:sz w:val="32"/>
          <w:szCs w:val="32"/>
        </w:rPr>
        <w:t>cm/s。牛舍、运动场、榨奶厅、青储窖</w:t>
      </w:r>
      <w:r>
        <w:rPr>
          <w:rFonts w:hint="eastAsia" w:ascii="Times New Roman" w:hAnsi="Times New Roman" w:eastAsia="仿宋_GB2312" w:cs="Times New Roman"/>
          <w:color w:val="auto"/>
          <w:sz w:val="32"/>
          <w:szCs w:val="32"/>
          <w:lang w:eastAsia="zh-CN"/>
        </w:rPr>
        <w:t>、病死牛暂存间</w:t>
      </w:r>
      <w:r>
        <w:rPr>
          <w:rFonts w:hint="default" w:ascii="Times New Roman" w:hAnsi="Times New Roman" w:eastAsia="仿宋_GB2312" w:cs="Times New Roman"/>
          <w:color w:val="auto"/>
          <w:sz w:val="32"/>
          <w:szCs w:val="32"/>
        </w:rPr>
        <w:t>为一般防渗区，防渗等级应达到等效黏土防渗层Mb≥1.5m，渗透系数≤10</w:t>
      </w:r>
      <w:r>
        <w:rPr>
          <w:rFonts w:hint="default" w:ascii="Times New Roman" w:hAnsi="Times New Roman" w:eastAsia="仿宋_GB2312" w:cs="Times New Roman"/>
          <w:color w:val="auto"/>
          <w:sz w:val="32"/>
          <w:szCs w:val="32"/>
          <w:vertAlign w:val="superscript"/>
        </w:rPr>
        <w:t>-7</w:t>
      </w:r>
      <w:r>
        <w:rPr>
          <w:rFonts w:hint="default" w:ascii="Times New Roman" w:hAnsi="Times New Roman" w:eastAsia="仿宋_GB2312" w:cs="Times New Roman"/>
          <w:color w:val="auto"/>
          <w:sz w:val="32"/>
          <w:szCs w:val="32"/>
        </w:rPr>
        <w:t>cm</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s；饲料间、水房、办公室等其他建筑物及道路为简单防渗区，应进行一般地面硬化。</w:t>
      </w:r>
    </w:p>
    <w:p w14:paraId="62C46889">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（四）噪声环境影响及保护措施</w:t>
      </w:r>
      <w:r>
        <w:rPr>
          <w:rFonts w:hint="eastAsia"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项目应选用低噪声设备、采取基础减振、厂房隔声等措施，并进行绿化。及时对牛进行喂食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饮水，并注意牛舍内温度及其他环境因素的变化，厂界噪声应符合《工业企业厂界环境噪声排放标准》（GB12348-2008）2类标准要求。</w:t>
      </w:r>
    </w:p>
    <w:p w14:paraId="31004426">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（五）固体废物环境影响及保护措施。</w:t>
      </w:r>
      <w:r>
        <w:rPr>
          <w:rFonts w:hint="default" w:ascii="Times New Roman" w:hAnsi="Times New Roman" w:eastAsia="仿宋_GB2312" w:cs="Times New Roman"/>
          <w:color w:val="auto"/>
          <w:sz w:val="32"/>
          <w:szCs w:val="32"/>
        </w:rPr>
        <w:t>牛粪、沼渣运至堆肥间采取好氧发酵工艺进行堆肥生产固体粪肥，施用于农田；病死牛尸体、胎盘暂存于病死牛暂存间，及时委托有资质单位处置；医疗废物暂存于医疗废物</w:t>
      </w:r>
      <w:r>
        <w:rPr>
          <w:rFonts w:hint="eastAsia" w:ascii="Times New Roman" w:hAnsi="Times New Roman" w:eastAsia="仿宋_GB2312" w:cs="Times New Roman"/>
          <w:color w:val="auto"/>
          <w:sz w:val="32"/>
          <w:szCs w:val="32"/>
          <w:lang w:eastAsia="zh-CN"/>
        </w:rPr>
        <w:t>贮</w:t>
      </w:r>
      <w:r>
        <w:rPr>
          <w:rFonts w:hint="default" w:ascii="Times New Roman" w:hAnsi="Times New Roman" w:eastAsia="仿宋_GB2312" w:cs="Times New Roman"/>
          <w:color w:val="auto"/>
          <w:sz w:val="32"/>
          <w:szCs w:val="32"/>
        </w:rPr>
        <w:t>存间，定期交由有资质单位处置；废脱硫剂、废布袋</w:t>
      </w:r>
      <w:r>
        <w:rPr>
          <w:rFonts w:hint="eastAsia" w:ascii="Times New Roman" w:hAnsi="Times New Roman" w:eastAsia="仿宋_GB2312" w:cs="Times New Roman"/>
          <w:color w:val="auto"/>
          <w:sz w:val="32"/>
          <w:szCs w:val="32"/>
          <w:lang w:eastAsia="zh-CN"/>
        </w:rPr>
        <w:t>、废活性炭更换后</w:t>
      </w:r>
      <w:r>
        <w:rPr>
          <w:rFonts w:hint="default" w:ascii="Times New Roman" w:hAnsi="Times New Roman" w:eastAsia="仿宋_GB2312" w:cs="Times New Roman"/>
          <w:color w:val="auto"/>
          <w:sz w:val="32"/>
          <w:szCs w:val="32"/>
        </w:rPr>
        <w:t>由厂家回收处</w:t>
      </w:r>
      <w:r>
        <w:rPr>
          <w:rFonts w:hint="eastAsia" w:ascii="Times New Roman" w:hAnsi="Times New Roman" w:eastAsia="仿宋_GB2312" w:cs="Times New Roman"/>
          <w:color w:val="auto"/>
          <w:sz w:val="32"/>
          <w:szCs w:val="32"/>
          <w:lang w:eastAsia="zh-CN"/>
        </w:rPr>
        <w:t>置，不在厂区贮存</w:t>
      </w:r>
      <w:r>
        <w:rPr>
          <w:rFonts w:hint="default" w:ascii="Times New Roman" w:hAnsi="Times New Roman" w:eastAsia="仿宋_GB2312" w:cs="Times New Roman"/>
          <w:color w:val="auto"/>
          <w:sz w:val="32"/>
          <w:szCs w:val="32"/>
        </w:rPr>
        <w:t>；饲料加工</w:t>
      </w:r>
      <w:r>
        <w:rPr>
          <w:rFonts w:hint="eastAsia" w:ascii="Times New Roman" w:hAnsi="Times New Roman" w:eastAsia="仿宋_GB2312" w:cs="Times New Roman"/>
          <w:color w:val="auto"/>
          <w:sz w:val="32"/>
          <w:szCs w:val="32"/>
          <w:lang w:eastAsia="zh-CN"/>
        </w:rPr>
        <w:t>布袋除尘器收尘</w:t>
      </w:r>
      <w:r>
        <w:rPr>
          <w:rFonts w:hint="default" w:ascii="Times New Roman" w:hAnsi="Times New Roman" w:eastAsia="仿宋_GB2312" w:cs="Times New Roman"/>
          <w:color w:val="auto"/>
          <w:sz w:val="32"/>
          <w:szCs w:val="32"/>
        </w:rPr>
        <w:t>，回用于饲料</w:t>
      </w:r>
      <w:r>
        <w:rPr>
          <w:rFonts w:hint="eastAsia" w:ascii="Times New Roman" w:hAnsi="Times New Roman" w:eastAsia="仿宋_GB2312" w:cs="Times New Roman"/>
          <w:color w:val="auto"/>
          <w:sz w:val="32"/>
          <w:szCs w:val="32"/>
          <w:lang w:eastAsia="zh-CN"/>
        </w:rPr>
        <w:t>生产</w:t>
      </w:r>
      <w:r>
        <w:rPr>
          <w:rFonts w:hint="default" w:ascii="Times New Roman" w:hAnsi="Times New Roman" w:eastAsia="仿宋_GB2312" w:cs="Times New Roman"/>
          <w:color w:val="auto"/>
          <w:sz w:val="32"/>
          <w:szCs w:val="32"/>
        </w:rPr>
        <w:t>；生活垃圾</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食堂餐厨垃圾</w:t>
      </w:r>
      <w:r>
        <w:rPr>
          <w:rFonts w:hint="eastAsia" w:ascii="Times New Roman" w:hAnsi="Times New Roman" w:eastAsia="仿宋_GB2312" w:cs="Times New Roman"/>
          <w:color w:val="auto"/>
          <w:sz w:val="32"/>
          <w:szCs w:val="32"/>
          <w:lang w:eastAsia="zh-CN"/>
        </w:rPr>
        <w:t>分别</w:t>
      </w:r>
      <w:r>
        <w:rPr>
          <w:rFonts w:hint="default" w:ascii="Times New Roman" w:hAnsi="Times New Roman" w:eastAsia="仿宋_GB2312" w:cs="Times New Roman"/>
          <w:color w:val="auto"/>
          <w:sz w:val="32"/>
          <w:szCs w:val="32"/>
        </w:rPr>
        <w:t>收集</w:t>
      </w:r>
      <w:r>
        <w:rPr>
          <w:rFonts w:hint="eastAsia" w:ascii="Times New Roman" w:hAnsi="Times New Roman" w:eastAsia="仿宋_GB2312" w:cs="Times New Roman"/>
          <w:color w:val="auto"/>
          <w:sz w:val="32"/>
          <w:szCs w:val="32"/>
          <w:lang w:eastAsia="zh-CN"/>
        </w:rPr>
        <w:t>，交</w:t>
      </w:r>
      <w:r>
        <w:rPr>
          <w:rFonts w:hint="default" w:ascii="Times New Roman" w:hAnsi="Times New Roman" w:eastAsia="仿宋_GB2312" w:cs="Times New Roman"/>
          <w:color w:val="auto"/>
          <w:sz w:val="32"/>
          <w:szCs w:val="32"/>
        </w:rPr>
        <w:t>由市政部门统一处置。</w:t>
      </w:r>
    </w:p>
    <w:p w14:paraId="1F21E883">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（六）环境风险及保护措施。</w:t>
      </w:r>
      <w:r>
        <w:rPr>
          <w:rFonts w:hint="default" w:ascii="Times New Roman" w:hAnsi="Times New Roman" w:eastAsia="仿宋_GB2312" w:cs="Times New Roman"/>
          <w:color w:val="auto"/>
          <w:sz w:val="32"/>
          <w:szCs w:val="32"/>
        </w:rPr>
        <w:t>严格落实《报告书》中规定的各项环境风险防范措施，制定环境风险应急预案，定期进行应急培训和演练，有效防范和应对环境风险。</w:t>
      </w:r>
    </w:p>
    <w:p w14:paraId="1C2A5C4A">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你单位应建立企业内部生态环境管理机构和制度，明确人员和职责，加强生态环境管理。项目实施必须严格执行环境保护设施与主体工程同时设计、同时施工、同时投产使用的环境保护“三同时”制度。在启动生产设施或者在实际排污之前，建设单位应依法办理排污许可手续。项目建成后，应按规定程序实施竣工环境保护验收。</w:t>
      </w:r>
    </w:p>
    <w:p w14:paraId="3729AEA7">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报告书》经批准后，项目的性质、规模、地点或者防治污染的措施发生重大变动的，应当重新报批该项目的《报告书》。自《报告书》批复文件批准之日起，如超过5年方决定开工建设的，《报告书》应当重新审核。</w:t>
      </w:r>
    </w:p>
    <w:p w14:paraId="180F705F">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鸡西市密山生态环境局组织开展该项目环境保护事中事后监管工作。你单位应在收到本批复后10日内，将批准后的《报告书》和批复文件送至鸡西市密山生态环境局，并按规定接受各级生态环境主管部门的日常监督检查。</w:t>
      </w:r>
    </w:p>
    <w:p w14:paraId="37B9A32B">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p>
    <w:p w14:paraId="002AE1D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118BDA7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rPr>
      </w:pPr>
    </w:p>
    <w:p w14:paraId="6AAF7D4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rPr>
      </w:pPr>
    </w:p>
    <w:p w14:paraId="35B6B66F">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鸡西市生态环境局</w:t>
      </w:r>
    </w:p>
    <w:p w14:paraId="4AC34A89">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2026年2月9日</w:t>
      </w:r>
    </w:p>
    <w:p w14:paraId="1E7FF2D3">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p>
    <w:p w14:paraId="68E7DC6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rPr>
      </w:pPr>
    </w:p>
    <w:p w14:paraId="6FA58A7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129B262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color w:val="auto"/>
        </w:rPr>
      </w:pPr>
    </w:p>
    <w:p w14:paraId="6D486B94">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rPr>
      </w:pPr>
    </w:p>
    <w:p w14:paraId="4933F56D">
      <w:pPr>
        <w:pStyle w:val="2"/>
        <w:rPr>
          <w:rFonts w:hint="default" w:ascii="Times New Roman" w:hAnsi="Times New Roman" w:eastAsia="仿宋_GB2312" w:cs="Times New Roman"/>
          <w:color w:val="auto"/>
          <w:sz w:val="32"/>
          <w:szCs w:val="32"/>
        </w:rPr>
      </w:pPr>
    </w:p>
    <w:p w14:paraId="27EB1566">
      <w:pPr>
        <w:rPr>
          <w:rFonts w:hint="default"/>
        </w:rPr>
      </w:pPr>
    </w:p>
    <w:p w14:paraId="37224796">
      <w:pPr>
        <w:keepNext w:val="0"/>
        <w:keepLines w:val="0"/>
        <w:pageBreakBefore w:val="0"/>
        <w:widowControl w:val="0"/>
        <w:tabs>
          <w:tab w:val="left" w:pos="7560"/>
        </w:tab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pacing w:val="-20"/>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32pt;z-index:251661312;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6x&#10;q+PQAAAAAgEAAA8AAAAAAAAAAQAgAAAAIgAAAGRycy9kb3ducmV2LnhtbFBLAQIUABQAAAAIAIdO&#10;4kDz5Hc58gEAAOYDAAAOAAAAAAAAAAEAIAAAAB8BAABkcnMvZTJvRG9jLnhtbFBLBQYAAAAABgAG&#10;AFkBAACD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pacing w:val="-20"/>
          <w:sz w:val="32"/>
        </w:rPr>
        <w:t xml:space="preserve">抄 </w:t>
      </w:r>
      <w:r>
        <w:rPr>
          <w:rFonts w:hint="default" w:ascii="Times New Roman" w:hAnsi="Times New Roman" w:eastAsia="仿宋_GB2312" w:cs="Times New Roman"/>
          <w:color w:val="auto"/>
          <w:spacing w:val="-20"/>
          <w:sz w:val="32"/>
          <w:lang w:val="en-US" w:eastAsia="zh-CN"/>
        </w:rPr>
        <w:t xml:space="preserve"> </w:t>
      </w:r>
      <w:r>
        <w:rPr>
          <w:rFonts w:hint="default" w:ascii="Times New Roman" w:hAnsi="Times New Roman" w:eastAsia="仿宋_GB2312" w:cs="Times New Roman"/>
          <w:color w:val="auto"/>
          <w:spacing w:val="-20"/>
          <w:sz w:val="32"/>
        </w:rPr>
        <w:t>送</w:t>
      </w:r>
      <w:r>
        <w:rPr>
          <w:rFonts w:hint="default" w:ascii="Times New Roman" w:hAnsi="Times New Roman" w:eastAsia="仿宋_GB2312" w:cs="Times New Roman"/>
          <w:color w:val="auto"/>
          <w:spacing w:val="-20"/>
          <w:sz w:val="32"/>
          <w:lang w:eastAsia="zh-CN"/>
        </w:rPr>
        <w:t>：</w:t>
      </w:r>
      <w:r>
        <w:rPr>
          <w:rFonts w:hint="default" w:ascii="Times New Roman" w:hAnsi="Times New Roman" w:eastAsia="仿宋_GB2312" w:cs="Times New Roman"/>
          <w:color w:val="auto"/>
          <w:spacing w:val="0"/>
          <w:sz w:val="32"/>
        </w:rPr>
        <w:t>鸡西市生态环境保护综合</w:t>
      </w:r>
      <w:r>
        <w:rPr>
          <w:rFonts w:hint="default" w:ascii="Times New Roman" w:hAnsi="Times New Roman" w:eastAsia="仿宋_GB2312" w:cs="Times New Roman"/>
          <w:color w:val="auto"/>
          <w:spacing w:val="0"/>
          <w:sz w:val="32"/>
          <w:lang w:eastAsia="zh-CN"/>
        </w:rPr>
        <w:t>行政</w:t>
      </w:r>
      <w:r>
        <w:rPr>
          <w:rFonts w:hint="default" w:ascii="Times New Roman" w:hAnsi="Times New Roman" w:eastAsia="仿宋_GB2312" w:cs="Times New Roman"/>
          <w:color w:val="auto"/>
          <w:spacing w:val="0"/>
          <w:sz w:val="32"/>
        </w:rPr>
        <w:t>执法局  鸡西市</w:t>
      </w:r>
      <w:r>
        <w:rPr>
          <w:rFonts w:hint="default" w:ascii="Times New Roman" w:hAnsi="Times New Roman" w:eastAsia="仿宋_GB2312" w:cs="Times New Roman"/>
          <w:color w:val="auto"/>
          <w:spacing w:val="0"/>
          <w:sz w:val="32"/>
          <w:lang w:eastAsia="zh-CN"/>
        </w:rPr>
        <w:t>密山</w:t>
      </w:r>
      <w:r>
        <w:rPr>
          <w:rFonts w:hint="default" w:ascii="Times New Roman" w:hAnsi="Times New Roman" w:eastAsia="仿宋_GB2312" w:cs="Times New Roman"/>
          <w:color w:val="auto"/>
          <w:spacing w:val="0"/>
          <w:sz w:val="32"/>
        </w:rPr>
        <w:t>生态环境局</w:t>
      </w:r>
    </w:p>
    <w:p w14:paraId="2C12D2FF">
      <w:pPr>
        <w:keepNext w:val="0"/>
        <w:keepLines w:val="0"/>
        <w:pageBreakBefore w:val="0"/>
        <w:widowControl w:val="0"/>
        <w:tabs>
          <w:tab w:val="left" w:pos="7560"/>
        </w:tab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鸡西</w:t>
      </w:r>
      <w:r>
        <w:rPr>
          <w:rFonts w:hint="default" w:ascii="Times New Roman" w:hAnsi="Times New Roman" w:eastAsia="仿宋_GB2312" w:cs="Times New Roman"/>
          <w:color w:val="auto"/>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64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32pt;z-index:251659264;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6x&#10;q+PQAAAAAgEAAA8AAAAAAAAAAQAgAAAAIgAAAGRycy9kb3ducmV2LnhtbFBLAQIUABQAAAAIAIdO&#10;4kANKbgz8gEAAOYDAAAOAAAAAAAAAAEAIAAAAB8BAABkcnMvZTJvRG9jLnhtbFBLBQYAAAAABgAG&#10;AFkBAACD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32"/>
        </w:rPr>
        <w:t>市生态环境局办公室</w:t>
      </w:r>
      <w:r>
        <w:rPr>
          <w:rFonts w:hint="eastAsia" w:ascii="Times New Roman" w:hAnsi="Times New Roman" w:eastAsia="仿宋_GB2312" w:cs="Times New Roman"/>
          <w:color w:val="auto"/>
          <w:sz w:val="32"/>
          <w:lang w:eastAsia="zh-CN"/>
        </w:rPr>
        <w:t>（法规科）</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sz w:val="32"/>
        </w:rPr>
        <w:t xml:space="preserve">日印发 </w:t>
      </w:r>
    </w:p>
    <w:p w14:paraId="162AC872">
      <w:pPr>
        <w:keepNext w:val="0"/>
        <w:keepLines w:val="0"/>
        <w:pageBreakBefore w:val="0"/>
        <w:widowControl w:val="0"/>
        <w:tabs>
          <w:tab w:val="left" w:pos="7560"/>
        </w:tab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32pt;z-index:251660288;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6x&#10;q+PQAAAAAgEAAA8AAAAAAAAAAQAgAAAAIgAAAGRycy9kb3ducmV2LnhtbFBLAQIUABQAAAAIAIdO&#10;4kD6D3Xx8gEAAOYDAAAOAAAAAAAAAAEAIAAAAB8BAABkcnMvZTJvRG9jLnhtbFBLBQYAAAAABgAG&#10;AFkBAACD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32"/>
        </w:rPr>
        <w:t xml:space="preserve">                                            共印</w:t>
      </w:r>
      <w:r>
        <w:rPr>
          <w:rFonts w:hint="default" w:ascii="Times New Roman" w:hAnsi="Times New Roman" w:eastAsia="仿宋_GB2312" w:cs="Times New Roman"/>
          <w:color w:val="auto"/>
          <w:kern w:val="0"/>
          <w:sz w:val="32"/>
          <w:szCs w:val="32"/>
        </w:rPr>
        <w:t>8</w:t>
      </w:r>
      <w:r>
        <w:rPr>
          <w:rFonts w:hint="default" w:ascii="Times New Roman" w:hAnsi="Times New Roman" w:eastAsia="仿宋_GB2312" w:cs="Times New Roman"/>
          <w:color w:val="auto"/>
          <w:sz w:val="32"/>
        </w:rPr>
        <w:t>份</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22041">
    <w:pPr>
      <w:spacing w:line="336" w:lineRule="auto"/>
      <w:jc w:val="both"/>
      <w:rPr>
        <w:color w:val="4874C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1A96">
    <w:pPr>
      <w:pStyle w:val="4"/>
      <w:pBdr>
        <w:bottom w:val="none" w:color="auto" w:sz="0" w:space="1"/>
      </w:pBdr>
      <w:rPr>
        <w:rFonts w:hint="eastAsia" w:eastAsia="宋体"/>
        <w:lang w:val="en-US" w:eastAsia="zh-CN"/>
      </w:rPr>
    </w:pPr>
    <w:r>
      <w:rPr>
        <w:rFonts w:hint="eastAsia"/>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F9A0B"/>
    <w:rsid w:val="3EEF1ACE"/>
    <w:rsid w:val="6E97048C"/>
    <w:rsid w:val="75BF9A0B"/>
    <w:rsid w:val="7F1FE628"/>
    <w:rsid w:val="7FCF6F96"/>
    <w:rsid w:val="D7F9DE45"/>
    <w:rsid w:val="E75E498D"/>
    <w:rsid w:val="FFFF43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oc 2"/>
    <w:basedOn w:val="1"/>
    <w:next w:val="1"/>
    <w:unhideWhenUsed/>
    <w:qFormat/>
    <w:uiPriority w:val="39"/>
    <w:pPr>
      <w:spacing w:line="360" w:lineRule="auto"/>
      <w:ind w:left="100" w:leftChars="100"/>
    </w:pPr>
    <w:rPr>
      <w:rFonts w:ascii="Times New Roman" w:cs="Calibri"/>
      <w:smallCap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表中文字】"/>
    <w:basedOn w:val="1"/>
    <w:qFormat/>
    <w:uiPriority w:val="0"/>
    <w:pPr>
      <w:overflowPunct/>
      <w:adjustRightInd/>
      <w:snapToGrid/>
      <w:spacing w:line="240" w:lineRule="auto"/>
      <w:ind w:firstLine="0" w:firstLineChars="0"/>
      <w:jc w:val="center"/>
      <w:textAlignment w:val="auto"/>
    </w:pPr>
    <w:rPr>
      <w:rFonts w:cs="Times New Roman"/>
      <w:color w:val="auto"/>
      <w:sz w:val="21"/>
      <w:szCs w:val="20"/>
      <w:lang w:val="zh-CN"/>
    </w:rPr>
  </w:style>
  <w:style w:type="paragraph" w:customStyle="1" w:styleId="8">
    <w:name w:val="正文格式"/>
    <w:basedOn w:val="1"/>
    <w:next w:val="1"/>
    <w:qFormat/>
    <w:uiPriority w:val="0"/>
    <w:pPr>
      <w:ind w:firstLine="482"/>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48</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2026-02-07T16:50:00Z</dcterms:created>
  <dc:creator>greatwall</dc:creator>
  <cp:lastModifiedBy>greatwall</cp:lastModifiedBy>
  <cp:lastPrinted>2026-02-10T01:15:34Z</cp:lastPrinted>
  <dcterms:modified xsi:type="dcterms:W3CDTF">2026-02-09T15:20:30Z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BE71964D0A341502BE8A89696BDE36C1_43</vt:lpwstr>
  </property>
</Properties>
</file>